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line="360" w:lineRule="auto"/>
        <w:jc w:val="center"/>
        <w:rPr>
          <w:rFonts w:asciiTheme="minorHAnsi" w:hAnsiTheme="minorHAnsi" w:eastAsiaTheme="minorEastAsia" w:cstheme="minorBidi"/>
          <w:highlight w:val="none"/>
        </w:rPr>
      </w:pPr>
      <w:bookmarkStart w:id="0" w:name="_GoBack"/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Supplementary Table S1</w:t>
      </w:r>
      <w:r>
        <w:rPr>
          <w:rFonts w:ascii="Times New Roman" w:hAnsi="Times New Roman"/>
          <w:kern w:val="0"/>
          <w:szCs w:val="21"/>
          <w:highlight w:val="none"/>
        </w:rPr>
        <w:t>. Characteristics of SNPs selected for causal effect of early AMD on AD risk.</w:t>
      </w:r>
    </w:p>
    <w:tbl>
      <w:tblPr>
        <w:tblStyle w:val="7"/>
        <w:tblpPr w:leftFromText="180" w:rightFromText="180" w:vertAnchor="text" w:horzAnchor="page" w:tblpXSpec="center" w:tblpY="410"/>
        <w:tblOverlap w:val="never"/>
        <w:tblW w:w="8764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558"/>
        <w:gridCol w:w="490"/>
        <w:gridCol w:w="530"/>
        <w:gridCol w:w="540"/>
        <w:gridCol w:w="510"/>
        <w:gridCol w:w="610"/>
        <w:gridCol w:w="618"/>
        <w:gridCol w:w="652"/>
        <w:gridCol w:w="648"/>
        <w:gridCol w:w="622"/>
        <w:gridCol w:w="510"/>
        <w:gridCol w:w="599"/>
        <w:gridCol w:w="718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Target SNPs</w:t>
            </w:r>
          </w:p>
        </w:tc>
        <w:tc>
          <w:tcPr>
            <w:tcW w:w="55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Chr</w:t>
            </w:r>
          </w:p>
        </w:tc>
        <w:tc>
          <w:tcPr>
            <w:tcW w:w="49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EA</w:t>
            </w:r>
          </w:p>
        </w:tc>
        <w:tc>
          <w:tcPr>
            <w:tcW w:w="5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OA</w:t>
            </w:r>
          </w:p>
        </w:tc>
        <w:tc>
          <w:tcPr>
            <w:tcW w:w="2278" w:type="dxa"/>
            <w:gridSpan w:val="4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Association with AD</w:t>
            </w:r>
          </w:p>
        </w:tc>
        <w:tc>
          <w:tcPr>
            <w:tcW w:w="65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MAF</w:t>
            </w:r>
          </w:p>
        </w:tc>
        <w:tc>
          <w:tcPr>
            <w:tcW w:w="64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highlight w:val="none"/>
                <w:lang w:bidi="ar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vertAlign w:val="superscript"/>
                <w:lang w:bidi="ar"/>
              </w:rPr>
              <w:t>2</w:t>
            </w:r>
          </w:p>
        </w:tc>
        <w:tc>
          <w:tcPr>
            <w:tcW w:w="2449" w:type="dxa"/>
            <w:gridSpan w:val="4"/>
            <w:tcBorders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Association with AMD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558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490" w:type="dxa"/>
            <w:tcBorders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530" w:type="dxa"/>
            <w:tcBorders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β</w:t>
            </w:r>
          </w:p>
        </w:tc>
        <w:tc>
          <w:tcPr>
            <w:tcW w:w="51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SE</w:t>
            </w:r>
          </w:p>
        </w:tc>
        <w:tc>
          <w:tcPr>
            <w:tcW w:w="61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EAF</w:t>
            </w:r>
          </w:p>
        </w:tc>
        <w:tc>
          <w:tcPr>
            <w:tcW w:w="618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highlight w:val="none"/>
                <w:lang w:bidi="ar"/>
              </w:rPr>
              <w:t>p</w:t>
            </w:r>
          </w:p>
        </w:tc>
        <w:tc>
          <w:tcPr>
            <w:tcW w:w="652" w:type="dxa"/>
            <w:vMerge w:val="continue"/>
            <w:tcBorders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48" w:type="dxa"/>
            <w:vMerge w:val="continue"/>
            <w:tcBorders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622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β</w:t>
            </w:r>
          </w:p>
        </w:tc>
        <w:tc>
          <w:tcPr>
            <w:tcW w:w="510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SE</w:t>
            </w:r>
          </w:p>
        </w:tc>
        <w:tc>
          <w:tcPr>
            <w:tcW w:w="599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  <w:highlight w:val="none"/>
                <w:lang w:bidi="ar"/>
              </w:rPr>
              <w:t>EAF</w:t>
            </w:r>
          </w:p>
        </w:tc>
        <w:tc>
          <w:tcPr>
            <w:tcW w:w="718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highlight w:val="none"/>
                <w:lang w:bidi="ar"/>
              </w:rPr>
              <w:t>p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rs1065712</w:t>
            </w:r>
          </w:p>
        </w:tc>
        <w:tc>
          <w:tcPr>
            <w:tcW w:w="558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</w:t>
            </w:r>
          </w:p>
        </w:tc>
        <w:tc>
          <w:tcPr>
            <w:tcW w:w="49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3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0.1081</w:t>
            </w:r>
          </w:p>
        </w:tc>
        <w:tc>
          <w:tcPr>
            <w:tcW w:w="51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0.0185</w:t>
            </w:r>
          </w:p>
        </w:tc>
        <w:tc>
          <w:tcPr>
            <w:tcW w:w="61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0.053</w:t>
            </w:r>
          </w:p>
        </w:tc>
        <w:tc>
          <w:tcPr>
            <w:tcW w:w="618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5.46E−09</w:t>
            </w:r>
          </w:p>
        </w:tc>
        <w:tc>
          <w:tcPr>
            <w:tcW w:w="652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0.947</w:t>
            </w:r>
          </w:p>
        </w:tc>
        <w:tc>
          <w:tcPr>
            <w:tcW w:w="648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3.50849E−05</w:t>
            </w:r>
          </w:p>
        </w:tc>
        <w:tc>
          <w:tcPr>
            <w:tcW w:w="622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−0.0151</w:t>
            </w:r>
          </w:p>
        </w:tc>
        <w:tc>
          <w:tcPr>
            <w:tcW w:w="51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0.0311</w:t>
            </w:r>
          </w:p>
        </w:tc>
        <w:tc>
          <w:tcPr>
            <w:tcW w:w="599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0.0602</w:t>
            </w:r>
          </w:p>
        </w:tc>
        <w:tc>
          <w:tcPr>
            <w:tcW w:w="718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0.6273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rs10792832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−0.1056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0.3578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6.33E−36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0.6422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0.000162063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−0.0414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0.0149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0.3657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0.00539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rs10933431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0.0852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0.7657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1.04E−17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0.2343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7.61032E−05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0.0184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0.7806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0.9121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rs11218343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0.1654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0.0214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0.961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1.01E−14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6.12636E−05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−0.0243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0.0365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0.9602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0.5061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rs112481437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0.2935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0.0278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0.0281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4.86E−26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0.9719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0.000114526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0.0386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0.5404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rs113706587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0.0925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0.0133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0.1103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3.38E−12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0.8897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4.96071E−05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0.0292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0.0249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0.1025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0.2402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rs1140239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−0.0592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0.3789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4.61E−12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0.6211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4.94671E−05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0.3925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0.4117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rs11500477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0.0585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0.3747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3.28E−12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0.6253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4.97413E−05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-0.0108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0.0148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0.3831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0.4669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rs117310449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0.7701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0.0338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0.0169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3.26E−115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0.9831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0.000533782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0.0218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0.0867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0.8016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rs117618017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15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0.113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0.0119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0.1439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1.75E−21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0.8561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9.24716E−05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−0.0018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0.0244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0.1288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0.9403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rs11769559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0.0695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0.5941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4E−16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0.4059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6.99278E−05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0.0183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0.0212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0.5839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0.3889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rs12151021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0.1055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0.3357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4.09E−30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0.6643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0.000132224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−0.0326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0.0177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0.3072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0.06563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rs12444183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−0.0591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0.3872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2.21E−12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0.6128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5.07668E−05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−0.0252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0.3845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0.08455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rs12590654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14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−0.0693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0.0087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0.3279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2.08E−15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0.6721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6.50707E−05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−0.0308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0.0158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0.3407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0.05093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rs1385742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0.0624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0.3572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4.69E−13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0.6428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5.39926E−05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−0.0166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0.0152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0.3475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0.2739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rs143332484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0.3346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0.0376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0.0126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6.04E−19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0.9874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8.13707E−05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−0.1025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0.0774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0.0105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0.1856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rs148601586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−0.6483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0.0366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0.9855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2.72E−70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0.0145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0.000322689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0.0285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0.0856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0.9894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0.7391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rs1582763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−0.086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0.371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1.65E−24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0.629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0.000107492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−0.0141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0.3766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0.3351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rs1693551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−0.0459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0.5328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1.79E−08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0.4672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3.29326E−05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−0.0002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0.0139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0.5371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0.9888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rs17125924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14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−0.0881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0.9108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5.82E−10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0.0892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3.94769E−05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−0.0021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0.0245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0.9081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0.9314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rs190651665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0.1598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0.9701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8.37E−10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0.0299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3.88166E−05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−0.033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0.0432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0.9696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0.4448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rs2070902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−0.0537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0.2539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1.05E−08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0.7461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3.34706E−05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0.0163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0.2511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0.6251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rs2154481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0.5236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1.02E−09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0.4764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3.81313E−05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−0.0006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0.0147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0.5314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0.9684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rs2526377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0.0452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0.5551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4.11E−08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0.4449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3.11617E−05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0.553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0.8903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rs2830489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−0.0547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0.2809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1.72E−09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0.7191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3.70562E−05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−0.0006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0.2894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0.9721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rs28577986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14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0.0698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0.0111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0.2632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3.38E−10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0.7368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4.18786E−05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0.0263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0.2821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0.7289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rs34173062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0.1139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0.0163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0.0814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2.93E−12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0.9186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5.01739E−05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0.0659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0.0492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0.0692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0.1808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rs35472547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−0.0954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0.0113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0.1634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4.27E−17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0.8366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7.44045E−05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−0.0253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0.0219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0.17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0.248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rs365653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0.256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0.8918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1.85E−68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0.1082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0.000315838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−0.0427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0.8855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0.06326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rs4292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0.0688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0.617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3.47E−16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0.383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6.87977E−05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−0.0112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0.0151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0.6186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0.4553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rs4485362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0.0463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0.5396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0.00000002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0.4604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3.19137E−05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0.0158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0.5238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0.0881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rs4690197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−0.0586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0.0102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0.1997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8.39E−09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0.8003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3.38506E−05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−0.0082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0.0181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0.2034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0.6521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rs4714447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0.0578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0.3449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1.73E−11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0.6551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4.63259E−05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0.0155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0.339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0.5549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rs4734295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−0.0487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0.5394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1.98E−09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0.4606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3.7073E−05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0.5416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0.2683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rs563366239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0.2978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0.0428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0.9878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3.28E−12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0.0122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4.97471E−05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−0.17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0.0919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0.9809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0.06441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rs57402520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0.0905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0.0126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0.1217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6.59E−13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0.8783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5.38548E−05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−0.0103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0.0218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0.1212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0.6389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rs5848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0.0646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0.2886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1.76E−12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0.7114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5.05653E−05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0.0244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0.0168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0.2894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0.1456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rs593742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15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0.7052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1.04E−11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0.2948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4.71129E−05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−0.0031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0.0155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0.6999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0.8407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rs6014724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20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0.1176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0.9102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4.84E-16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0.0898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6.74582E−05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0.0023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0.0263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0.9084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0.9308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rs61762319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−0.143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0.0255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0.9737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2.14E-08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0.0263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3.22525E−05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0.108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0.0486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0.9746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0.02621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rs62375397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0.0746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0.2104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8.58E−14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0.7896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5.7074E−05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−0.0016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0.0174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0.2045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0.9255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rs6586028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10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0.0791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0.0103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0.8036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1.33E−14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0.1964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6.04836E−05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−0.0333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0.0177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0.7975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0.06029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rs6656401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0.1253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0.0104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0.1881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2.84E-33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0.8119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0.000148853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0.0226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0.0183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0.1887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0.2173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rs67250450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0.0559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0.7875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2.02E−08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0.2125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3.20476E−05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−0.0049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0.0174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0.7846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0.777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rs6733839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0.1686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0.3891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6.48E−90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0.6109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0.000413012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0.0046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0.0151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0.3941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0.7582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rs6846529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−0.0673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0.0091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0.7174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1.25E−13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0.2826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5.6093E−05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−0.0198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0.0157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0.7312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0.208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rs7068231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10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−0.0487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0.4026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6.79E−09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0.5974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3.44723E−05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0.0145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0.402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0.5526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rs7225002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0.0537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0.597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1.78E−10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0.403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4.19138E−05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0.6022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0.1613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rs73223431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0.0656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0.3694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5.34E−15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0.6306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6.25472E−05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0.3534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0.291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rs7384878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0.0775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0.0089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2.13E−18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7.77634E−05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0.0299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0.0159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0.692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0.06034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rs74504435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7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0.0842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0.0141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0.9065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2.05E−09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0.0935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3.65726E−05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0.0185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0.0253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0.4643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rs74685827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11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T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−0.1964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0.0303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0.9814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8.63E−11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0.0186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4.31724E−05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0.0252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0.0605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0.9808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0.6768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rs74745468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14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0.0822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0.0145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0.0875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0.000000014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0.9125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3.29594E−05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−0.0128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0.0268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0.0853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0.6336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rs7912495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10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−0.0572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0.0082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0.5381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2.87E−12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0.4619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4.99032E−05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−0.0114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0.0148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0.5442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0.4407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rs867230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8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C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0.1009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0.6031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1.5E−33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0.3969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0.00014796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−0.0197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0.0151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0.5956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0.1899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rs9676738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19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0.1689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0.0228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0.0419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1.24E−13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0.9581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5.63888E−05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−0.0216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0.0492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0.0332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0.6609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rs976271</w:t>
            </w:r>
          </w:p>
        </w:tc>
        <w:tc>
          <w:tcPr>
            <w:tcW w:w="55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6</w:t>
            </w:r>
          </w:p>
        </w:tc>
        <w:tc>
          <w:tcPr>
            <w:tcW w:w="4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A</w:t>
            </w:r>
          </w:p>
        </w:tc>
        <w:tc>
          <w:tcPr>
            <w:tcW w:w="5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G</w:t>
            </w:r>
          </w:p>
        </w:tc>
        <w:tc>
          <w:tcPr>
            <w:tcW w:w="54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0.0467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0.0084</w:t>
            </w:r>
          </w:p>
        </w:tc>
        <w:tc>
          <w:tcPr>
            <w:tcW w:w="6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0.3613</w:t>
            </w:r>
          </w:p>
        </w:tc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3.24E−08</w:t>
            </w:r>
          </w:p>
        </w:tc>
        <w:tc>
          <w:tcPr>
            <w:tcW w:w="65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0.6387</w:t>
            </w:r>
          </w:p>
        </w:tc>
        <w:tc>
          <w:tcPr>
            <w:tcW w:w="6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3.16991E−05</w:t>
            </w:r>
          </w:p>
        </w:tc>
        <w:tc>
          <w:tcPr>
            <w:tcW w:w="62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0.0285</w:t>
            </w:r>
          </w:p>
        </w:tc>
        <w:tc>
          <w:tcPr>
            <w:tcW w:w="5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0.0146</w:t>
            </w:r>
          </w:p>
        </w:tc>
        <w:tc>
          <w:tcPr>
            <w:tcW w:w="5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0.356</w:t>
            </w:r>
          </w:p>
        </w:tc>
        <w:tc>
          <w:tcPr>
            <w:tcW w:w="7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0.05125</w:t>
            </w:r>
          </w:p>
        </w:tc>
      </w:tr>
    </w:tbl>
    <w:p>
      <w:pPr>
        <w:adjustRightInd w:val="0"/>
        <w:snapToGrid w:val="0"/>
        <w:spacing w:line="228" w:lineRule="auto"/>
        <w:rPr>
          <w:rFonts w:ascii="Palatino Linotype" w:hAnsi="Palatino Linotype" w:eastAsia="Times New Roman" w:cs="Cordia New"/>
          <w:color w:val="000000"/>
          <w:sz w:val="18"/>
          <w:szCs w:val="22"/>
          <w:highlight w:val="none"/>
          <w:lang w:eastAsia="de-DE" w:bidi="en-US"/>
        </w:rPr>
      </w:pPr>
      <w:r>
        <w:rPr>
          <w:rFonts w:ascii="Palatino Linotype" w:hAnsi="Palatino Linotype" w:eastAsia="Times New Roman" w:cs="Cordia New"/>
          <w:b/>
          <w:bCs/>
          <w:color w:val="000000"/>
          <w:sz w:val="18"/>
          <w:szCs w:val="22"/>
          <w:highlight w:val="none"/>
          <w:lang w:eastAsia="de-DE" w:bidi="en-US"/>
        </w:rPr>
        <w:t>Abbreviations:</w:t>
      </w:r>
      <w:r>
        <w:rPr>
          <w:rFonts w:ascii="Palatino Linotype" w:hAnsi="Palatino Linotype" w:eastAsia="Times New Roman" w:cs="Cordia New"/>
          <w:color w:val="000000"/>
          <w:sz w:val="18"/>
          <w:szCs w:val="22"/>
          <w:highlight w:val="none"/>
          <w:lang w:eastAsia="de-DE" w:bidi="en-US"/>
        </w:rPr>
        <w:t xml:space="preserve"> Chr = chromosome; β: regression effect size; EAF = effect allele frequency; MAF = minor allele frequency; SE = standard error; R2: denotes proportion of phenotypic variation explained by each SNP.</w:t>
      </w:r>
    </w:p>
    <w:p>
      <w:pPr>
        <w:rPr>
          <w:rFonts w:asciiTheme="minorHAnsi" w:hAnsiTheme="minorHAnsi" w:eastAsiaTheme="minorEastAsia" w:cstheme="minorBidi"/>
          <w:highlight w:val="none"/>
        </w:rPr>
      </w:pPr>
    </w:p>
    <w:p>
      <w:pPr>
        <w:rPr>
          <w:rFonts w:asciiTheme="minorHAnsi" w:hAnsiTheme="minorHAnsi" w:eastAsiaTheme="minorEastAsia" w:cstheme="minorBidi"/>
          <w:highlight w:val="none"/>
        </w:rPr>
      </w:pPr>
    </w:p>
    <w:p>
      <w:pPr>
        <w:widowControl/>
        <w:spacing w:beforeAutospacing="1" w:line="360" w:lineRule="auto"/>
        <w:jc w:val="center"/>
        <w:rPr>
          <w:rFonts w:ascii="Times New Roman" w:hAnsi="Times New Roman"/>
          <w:kern w:val="0"/>
          <w:szCs w:val="21"/>
          <w:highlight w:val="none"/>
        </w:rPr>
      </w:pP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Supplementary Table S2</w:t>
      </w: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.</w:t>
      </w:r>
      <w:r>
        <w:rPr>
          <w:rFonts w:ascii="宋体" w:hAnsi="Times New Roman" w:cs="宋体"/>
          <w:kern w:val="0"/>
          <w:szCs w:val="21"/>
          <w:highlight w:val="none"/>
        </w:rPr>
        <w:t xml:space="preserve"> </w:t>
      </w:r>
      <w:r>
        <w:rPr>
          <w:rFonts w:ascii="Times New Roman" w:hAnsi="Times New Roman"/>
          <w:kern w:val="0"/>
          <w:szCs w:val="21"/>
          <w:highlight w:val="none"/>
        </w:rPr>
        <w:t>Heterogeneity analysis of SNPs selected for causal effect of early AMD on AD risk.</w:t>
      </w:r>
    </w:p>
    <w:tbl>
      <w:tblPr>
        <w:tblStyle w:val="7"/>
        <w:tblW w:w="8823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4"/>
        <w:gridCol w:w="2190"/>
        <w:gridCol w:w="1270"/>
        <w:gridCol w:w="1070"/>
        <w:gridCol w:w="779"/>
        <w:gridCol w:w="920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594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Exposure</w:t>
            </w:r>
          </w:p>
        </w:tc>
        <w:tc>
          <w:tcPr>
            <w:tcW w:w="2190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Outcome</w:t>
            </w:r>
          </w:p>
        </w:tc>
        <w:tc>
          <w:tcPr>
            <w:tcW w:w="1270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Method</w:t>
            </w:r>
          </w:p>
        </w:tc>
        <w:tc>
          <w:tcPr>
            <w:tcW w:w="1070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Q</w:t>
            </w:r>
          </w:p>
        </w:tc>
        <w:tc>
          <w:tcPr>
            <w:tcW w:w="779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Q_df</w:t>
            </w:r>
          </w:p>
        </w:tc>
        <w:tc>
          <w:tcPr>
            <w:tcW w:w="920" w:type="dxa"/>
            <w:tcBorders>
              <w:bottom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Q_pval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594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Early age-related macular degeneration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||id:GCST010723</w:t>
            </w:r>
          </w:p>
        </w:tc>
        <w:tc>
          <w:tcPr>
            <w:tcW w:w="219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Alzheimer's disease and related dementias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||id:GCST90027158</w:t>
            </w:r>
          </w:p>
        </w:tc>
        <w:tc>
          <w:tcPr>
            <w:tcW w:w="127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MR–Egger</w:t>
            </w:r>
          </w:p>
        </w:tc>
        <w:tc>
          <w:tcPr>
            <w:tcW w:w="107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16.06002</w:t>
            </w:r>
          </w:p>
        </w:tc>
        <w:tc>
          <w:tcPr>
            <w:tcW w:w="779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6</w:t>
            </w:r>
          </w:p>
        </w:tc>
        <w:tc>
          <w:tcPr>
            <w:tcW w:w="920" w:type="dxa"/>
            <w:tcBorders>
              <w:top w:val="single" w:color="000000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 xml:space="preserve">0.0134 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59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Early age-related macular degeneration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||id:GCST010723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Alzheimer's disease and related dementias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||id:GCST90027158</w:t>
            </w:r>
          </w:p>
        </w:tc>
        <w:tc>
          <w:tcPr>
            <w:tcW w:w="12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IVW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18.26888</w:t>
            </w:r>
          </w:p>
        </w:tc>
        <w:tc>
          <w:tcPr>
            <w:tcW w:w="77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>7</w:t>
            </w:r>
          </w:p>
        </w:tc>
        <w:tc>
          <w:tcPr>
            <w:tcW w:w="9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  <w:highlight w:val="none"/>
                <w:lang w:bidi="ar"/>
              </w:rPr>
              <w:t xml:space="preserve">0.0108 </w:t>
            </w:r>
          </w:p>
        </w:tc>
      </w:tr>
    </w:tbl>
    <w:p>
      <w:pPr>
        <w:adjustRightInd w:val="0"/>
        <w:snapToGrid w:val="0"/>
        <w:spacing w:line="228" w:lineRule="auto"/>
        <w:rPr>
          <w:rFonts w:ascii="Palatino Linotype" w:hAnsi="Palatino Linotype" w:cs="Cordia New"/>
          <w:color w:val="000000"/>
          <w:sz w:val="18"/>
          <w:szCs w:val="22"/>
          <w:highlight w:val="none"/>
          <w:lang w:bidi="en-US"/>
        </w:rPr>
      </w:pPr>
      <w:r>
        <w:rPr>
          <w:rFonts w:ascii="Palatino Linotype" w:hAnsi="Palatino Linotype" w:eastAsia="Times New Roman" w:cs="Cordia New"/>
          <w:b/>
          <w:bCs/>
          <w:color w:val="000000"/>
          <w:sz w:val="18"/>
          <w:szCs w:val="22"/>
          <w:highlight w:val="none"/>
          <w:lang w:eastAsia="de-DE" w:bidi="en-US"/>
        </w:rPr>
        <w:t>Abbreviations:</w:t>
      </w:r>
      <w:r>
        <w:rPr>
          <w:rFonts w:ascii="Palatino Linotype" w:hAnsi="Palatino Linotype" w:eastAsia="Times New Roman" w:cs="Cordia New"/>
          <w:color w:val="000000"/>
          <w:sz w:val="18"/>
          <w:szCs w:val="22"/>
          <w:highlight w:val="none"/>
          <w:lang w:eastAsia="de-DE" w:bidi="en-US"/>
        </w:rPr>
        <w:t xml:space="preserve"> Chr = chromosome; β: regression effect size; EAF = effect allele frequency; MAF = minor allele frequency; SE = standard error; R2: denotes proportion of phenotypic variation explained by each SNP</w:t>
      </w:r>
      <w:r>
        <w:rPr>
          <w:rFonts w:ascii="Palatino Linotype" w:hAnsi="Palatino Linotype" w:cs="Cordia New"/>
          <w:color w:val="000000"/>
          <w:sz w:val="18"/>
          <w:szCs w:val="22"/>
          <w:highlight w:val="none"/>
          <w:lang w:bidi="en-US"/>
        </w:rPr>
        <w:t xml:space="preserve">; </w:t>
      </w:r>
      <w:r>
        <w:rPr>
          <w:rFonts w:ascii="Palatino Linotype" w:hAnsi="Palatino Linotype" w:eastAsia="Times New Roman" w:cs="Cordia New"/>
          <w:color w:val="000000"/>
          <w:sz w:val="18"/>
          <w:szCs w:val="22"/>
          <w:highlight w:val="none"/>
          <w:lang w:eastAsia="de-DE" w:bidi="en-US"/>
        </w:rPr>
        <w:t>IVW = inverse-variance weighting</w:t>
      </w:r>
      <w:r>
        <w:rPr>
          <w:rFonts w:ascii="Palatino Linotype" w:hAnsi="Palatino Linotype" w:cs="Cordia New"/>
          <w:color w:val="000000"/>
          <w:sz w:val="18"/>
          <w:szCs w:val="22"/>
          <w:highlight w:val="none"/>
          <w:lang w:bidi="en-US"/>
        </w:rPr>
        <w:t xml:space="preserve">; Q_df = degree of freedom. </w:t>
      </w:r>
    </w:p>
    <w:p>
      <w:pPr>
        <w:rPr>
          <w:rFonts w:asciiTheme="minorHAnsi" w:hAnsiTheme="minorHAnsi" w:eastAsiaTheme="minorEastAsia" w:cstheme="minorBidi"/>
          <w:highlight w:val="none"/>
        </w:rPr>
      </w:pPr>
    </w:p>
    <w:p>
      <w:pPr>
        <w:jc w:val="center"/>
        <w:rPr>
          <w:rFonts w:ascii="Times New Roman" w:hAnsi="Times New Roman"/>
          <w:b/>
          <w:bCs/>
          <w:kern w:val="0"/>
          <w:szCs w:val="21"/>
          <w:highlight w:val="none"/>
        </w:rPr>
      </w:pP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Supplementary Table S3</w:t>
      </w: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.</w:t>
      </w:r>
      <w:r>
        <w:rPr>
          <w:rFonts w:ascii="Times New Roman" w:hAnsi="Times New Roman"/>
          <w:b/>
          <w:bCs/>
          <w:kern w:val="0"/>
          <w:sz w:val="24"/>
          <w:highlight w:val="none"/>
        </w:rPr>
        <w:t xml:space="preserve"> </w:t>
      </w:r>
      <w:r>
        <w:rPr>
          <w:rFonts w:ascii="Times New Roman" w:hAnsi="Times New Roman"/>
          <w:b/>
          <w:bCs/>
          <w:kern w:val="0"/>
          <w:szCs w:val="21"/>
          <w:highlight w:val="none"/>
        </w:rPr>
        <w:t>MR estimates for causal effect of AD on early AMD with five MR methods.</w:t>
      </w:r>
    </w:p>
    <w:tbl>
      <w:tblPr>
        <w:tblStyle w:val="7"/>
        <w:tblpPr w:leftFromText="180" w:rightFromText="180" w:vertAnchor="text" w:horzAnchor="page" w:tblpXSpec="center" w:tblpY="220"/>
        <w:tblOverlap w:val="never"/>
        <w:tblW w:w="107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869"/>
        <w:gridCol w:w="1530"/>
        <w:gridCol w:w="884"/>
        <w:gridCol w:w="884"/>
        <w:gridCol w:w="1844"/>
        <w:gridCol w:w="1092"/>
        <w:gridCol w:w="1092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1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Method</w:t>
            </w:r>
          </w:p>
        </w:tc>
        <w:tc>
          <w:tcPr>
            <w:tcW w:w="86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No. Of SNP</w:t>
            </w:r>
          </w:p>
        </w:tc>
        <w:tc>
          <w:tcPr>
            <w:tcW w:w="153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β</w:t>
            </w:r>
          </w:p>
        </w:tc>
        <w:tc>
          <w:tcPr>
            <w:tcW w:w="88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SE</w:t>
            </w:r>
          </w:p>
        </w:tc>
        <w:tc>
          <w:tcPr>
            <w:tcW w:w="88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p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OR (95% CI)</w:t>
            </w:r>
          </w:p>
        </w:tc>
        <w:tc>
          <w:tcPr>
            <w:tcW w:w="109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MR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PRESSO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pval</w:t>
            </w:r>
          </w:p>
        </w:tc>
        <w:tc>
          <w:tcPr>
            <w:tcW w:w="109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vertAlign w:val="superscript"/>
                <w:lang w:bidi="ar"/>
              </w:rPr>
              <w:t>2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lang w:bidi="ar"/>
              </w:rPr>
              <w:t xml:space="preserve"> combined</w:t>
            </w:r>
          </w:p>
        </w:tc>
        <w:tc>
          <w:tcPr>
            <w:tcW w:w="127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F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lang w:bidi="ar"/>
              </w:rPr>
              <w:t>-statistic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MR–Egger</w:t>
            </w:r>
          </w:p>
        </w:tc>
        <w:tc>
          <w:tcPr>
            <w:tcW w:w="86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59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0.157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0.058 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0.009 </w:t>
            </w:r>
          </w:p>
        </w:tc>
        <w:tc>
          <w:tcPr>
            <w:tcW w:w="184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0.855 (0.763–0.958)</w:t>
            </w: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Egger intercept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0.015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0.005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0.009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WMed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0.023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0.044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0.602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0.977 (0.905–1.066)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IVW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0.027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0.034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0.432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0.974 (0.911–1.041)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0.172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0.0052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212.06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WMod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59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0.107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0.080 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0.186 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0.899 (0.768–1.051)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highlight w:val="none"/>
        </w:rPr>
      </w:pPr>
      <w:r>
        <w:rPr>
          <w:rFonts w:ascii="Times New Roman" w:hAnsi="Times New Roman" w:eastAsia="等线" w:cstheme="minorBidi"/>
          <w:b/>
          <w:bCs/>
          <w:highlight w:val="none"/>
          <w:lang w:bidi="ar"/>
        </w:rPr>
        <w:t>Abbreviations:</w:t>
      </w:r>
      <w:r>
        <w:rPr>
          <w:rFonts w:ascii="Times New Roman" w:hAnsi="Times New Roman" w:eastAsia="等线" w:cstheme="minorBidi"/>
          <w:highlight w:val="none"/>
          <w:lang w:bidi="ar"/>
        </w:rPr>
        <w:t xml:space="preserve"> SNP: single-nucleotide polymorphism; β: regression effect size; CI = confidence interval; OR = odds ratio; PRESSO = Pleiotropy RESidual Sum and Outlier; SE = standard error; R2 combined: variance of exposure explained by selected instrumental variables; WMed = weighted median; IVW = inverse-variance weighting; Wmod = weighted mode.</w:t>
      </w:r>
    </w:p>
    <w:p>
      <w:pPr>
        <w:rPr>
          <w:rFonts w:asciiTheme="minorHAnsi" w:hAnsiTheme="minorHAnsi" w:eastAsiaTheme="minorEastAsia" w:cstheme="minorBidi"/>
          <w:highlight w:val="none"/>
        </w:rPr>
      </w:pPr>
    </w:p>
    <w:p>
      <w:pPr>
        <w:rPr>
          <w:rFonts w:asciiTheme="minorHAnsi" w:hAnsiTheme="minorHAnsi" w:eastAsiaTheme="minorEastAsia" w:cstheme="minorBidi"/>
          <w:highlight w:val="none"/>
        </w:rPr>
      </w:pPr>
    </w:p>
    <w:p>
      <w:pPr>
        <w:jc w:val="center"/>
        <w:rPr>
          <w:rFonts w:ascii="Times New Roman" w:hAnsi="Times New Roman"/>
          <w:b/>
          <w:bCs/>
          <w:kern w:val="0"/>
          <w:szCs w:val="21"/>
          <w:highlight w:val="none"/>
        </w:rPr>
      </w:pP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Supplementary Table S4</w:t>
      </w: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.</w:t>
      </w:r>
      <w:r>
        <w:rPr>
          <w:rFonts w:ascii="Times New Roman" w:hAnsi="Times New Roman"/>
          <w:b/>
          <w:bCs/>
          <w:kern w:val="0"/>
          <w:sz w:val="24"/>
          <w:highlight w:val="none"/>
        </w:rPr>
        <w:t xml:space="preserve"> </w:t>
      </w:r>
      <w:r>
        <w:rPr>
          <w:rFonts w:ascii="Times New Roman" w:hAnsi="Times New Roman"/>
          <w:b/>
          <w:bCs/>
          <w:kern w:val="0"/>
          <w:szCs w:val="21"/>
          <w:highlight w:val="none"/>
        </w:rPr>
        <w:t>MR estimates for causal effect of AD on early AMD with five MR methods after outliers-corrected.</w:t>
      </w:r>
    </w:p>
    <w:tbl>
      <w:tblPr>
        <w:tblStyle w:val="7"/>
        <w:tblpPr w:leftFromText="180" w:rightFromText="180" w:vertAnchor="text" w:horzAnchor="page" w:tblpXSpec="center" w:tblpY="220"/>
        <w:tblOverlap w:val="never"/>
        <w:tblW w:w="107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869"/>
        <w:gridCol w:w="1530"/>
        <w:gridCol w:w="884"/>
        <w:gridCol w:w="884"/>
        <w:gridCol w:w="1844"/>
        <w:gridCol w:w="1092"/>
        <w:gridCol w:w="1092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1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Method</w:t>
            </w:r>
          </w:p>
        </w:tc>
        <w:tc>
          <w:tcPr>
            <w:tcW w:w="86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No. Of SNPs</w:t>
            </w:r>
          </w:p>
        </w:tc>
        <w:tc>
          <w:tcPr>
            <w:tcW w:w="153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β</w:t>
            </w:r>
          </w:p>
        </w:tc>
        <w:tc>
          <w:tcPr>
            <w:tcW w:w="88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SE</w:t>
            </w:r>
          </w:p>
        </w:tc>
        <w:tc>
          <w:tcPr>
            <w:tcW w:w="88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p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OR (95% CI)</w:t>
            </w:r>
          </w:p>
        </w:tc>
        <w:tc>
          <w:tcPr>
            <w:tcW w:w="109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MR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PRESSO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pval</w:t>
            </w:r>
          </w:p>
        </w:tc>
        <w:tc>
          <w:tcPr>
            <w:tcW w:w="109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vertAlign w:val="superscript"/>
                <w:lang w:bidi="ar"/>
              </w:rPr>
              <w:t>2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lang w:bidi="ar"/>
              </w:rPr>
              <w:t xml:space="preserve"> combined</w:t>
            </w:r>
          </w:p>
        </w:tc>
        <w:tc>
          <w:tcPr>
            <w:tcW w:w="127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F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lang w:bidi="ar"/>
              </w:rPr>
              <w:t xml:space="preserve"> statistic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MR–Egger</w:t>
            </w:r>
          </w:p>
        </w:tc>
        <w:tc>
          <w:tcPr>
            <w:tcW w:w="86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57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0.097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0.060 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0.111 </w:t>
            </w:r>
          </w:p>
        </w:tc>
        <w:tc>
          <w:tcPr>
            <w:tcW w:w="184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0.907 (0.807–1.020)</w:t>
            </w: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Egger Intercept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0.012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0.005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0.034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WMed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0.017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0.047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0.718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1.017 (0.927–1.116)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IVW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0.016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0.031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0.615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1.016 (0.956–1.080)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0.0932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0.0047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193.60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WMod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57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0.039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0.070 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0.578 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0.961 (0.838–1.103)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highlight w:val="none"/>
        </w:rPr>
      </w:pPr>
      <w:r>
        <w:rPr>
          <w:rFonts w:ascii="Times New Roman" w:hAnsi="Times New Roman" w:eastAsia="等线" w:cstheme="minorBidi"/>
          <w:b/>
          <w:bCs/>
          <w:highlight w:val="none"/>
          <w:lang w:bidi="ar"/>
        </w:rPr>
        <w:t>Abbreviations:</w:t>
      </w:r>
      <w:r>
        <w:rPr>
          <w:rFonts w:ascii="Times New Roman" w:hAnsi="Times New Roman" w:eastAsia="等线" w:cstheme="minorBidi"/>
          <w:highlight w:val="none"/>
          <w:lang w:bidi="ar"/>
        </w:rPr>
        <w:t xml:space="preserve"> SNP: single-nucleotide polymorphism; β: regression effect size; CI = confidence interval; OR = odds ratio; PRESSO = Pleiotropy RESidual Sum and Outlier; SE = standard error; R2 combined: variance of exposure explained by selected instrumental variables; WMed = weighted median; IVW = inverse-variance weighting; WMod = weighted mode.</w:t>
      </w:r>
    </w:p>
    <w:p>
      <w:pPr>
        <w:rPr>
          <w:rFonts w:asciiTheme="minorHAnsi" w:hAnsiTheme="minorHAnsi" w:eastAsiaTheme="minorEastAsia" w:cstheme="minorBidi"/>
          <w:highlight w:val="none"/>
        </w:rPr>
      </w:pPr>
    </w:p>
    <w:p>
      <w:pPr>
        <w:rPr>
          <w:rFonts w:asciiTheme="minorHAnsi" w:hAnsiTheme="minorHAnsi" w:eastAsiaTheme="minorEastAsia" w:cstheme="minorBidi"/>
          <w:highlight w:val="none"/>
        </w:rPr>
      </w:pPr>
    </w:p>
    <w:p>
      <w:pPr>
        <w:jc w:val="center"/>
        <w:rPr>
          <w:rFonts w:ascii="Times New Roman" w:hAnsi="Times New Roman"/>
          <w:b/>
          <w:bCs/>
          <w:kern w:val="0"/>
          <w:szCs w:val="21"/>
          <w:highlight w:val="none"/>
        </w:rPr>
      </w:pP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Supplementary Table S5</w:t>
      </w:r>
      <w:r>
        <w:rPr>
          <w:rFonts w:ascii="Times New Roman" w:hAnsi="Times New Roman"/>
          <w:b/>
          <w:bCs/>
          <w:color w:val="000000"/>
          <w:kern w:val="0"/>
          <w:szCs w:val="21"/>
          <w:highlight w:val="none"/>
        </w:rPr>
        <w:t>.</w:t>
      </w:r>
      <w:r>
        <w:rPr>
          <w:rFonts w:ascii="Times New Roman" w:hAnsi="Times New Roman"/>
          <w:b/>
          <w:bCs/>
          <w:kern w:val="0"/>
          <w:sz w:val="24"/>
          <w:highlight w:val="none"/>
        </w:rPr>
        <w:t xml:space="preserve"> </w:t>
      </w:r>
      <w:r>
        <w:rPr>
          <w:rFonts w:ascii="Times New Roman" w:hAnsi="Times New Roman"/>
          <w:b/>
          <w:bCs/>
          <w:kern w:val="0"/>
          <w:szCs w:val="21"/>
          <w:highlight w:val="none"/>
        </w:rPr>
        <w:t>MR estimates for causal effect of AD on AMD progression with five MR methods in validation dataset.</w:t>
      </w:r>
    </w:p>
    <w:tbl>
      <w:tblPr>
        <w:tblStyle w:val="7"/>
        <w:tblpPr w:leftFromText="180" w:rightFromText="180" w:vertAnchor="text" w:horzAnchor="page" w:tblpXSpec="center" w:tblpY="220"/>
        <w:tblOverlap w:val="never"/>
        <w:tblW w:w="107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869"/>
        <w:gridCol w:w="1530"/>
        <w:gridCol w:w="884"/>
        <w:gridCol w:w="884"/>
        <w:gridCol w:w="1844"/>
        <w:gridCol w:w="1092"/>
        <w:gridCol w:w="1092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318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Method</w:t>
            </w:r>
          </w:p>
        </w:tc>
        <w:tc>
          <w:tcPr>
            <w:tcW w:w="869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No. of SNPs</w:t>
            </w:r>
          </w:p>
        </w:tc>
        <w:tc>
          <w:tcPr>
            <w:tcW w:w="153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β</w:t>
            </w:r>
          </w:p>
        </w:tc>
        <w:tc>
          <w:tcPr>
            <w:tcW w:w="88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SE</w:t>
            </w:r>
          </w:p>
        </w:tc>
        <w:tc>
          <w:tcPr>
            <w:tcW w:w="88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p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OR (95% CI)</w:t>
            </w:r>
          </w:p>
        </w:tc>
        <w:tc>
          <w:tcPr>
            <w:tcW w:w="109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MR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PRESSO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  <w:highlight w:val="none"/>
                <w:lang w:bidi="ar"/>
              </w:rPr>
              <w:t>pval</w:t>
            </w:r>
          </w:p>
        </w:tc>
        <w:tc>
          <w:tcPr>
            <w:tcW w:w="1092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vertAlign w:val="superscript"/>
                <w:lang w:bidi="ar"/>
              </w:rPr>
              <w:t>2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lang w:bidi="ar"/>
              </w:rPr>
              <w:t xml:space="preserve"> combined</w:t>
            </w:r>
          </w:p>
        </w:tc>
        <w:tc>
          <w:tcPr>
            <w:tcW w:w="127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kern w:val="0"/>
                <w:szCs w:val="21"/>
                <w:highlight w:val="none"/>
                <w:lang w:bidi="ar"/>
              </w:rPr>
              <w:t>F</w:t>
            </w:r>
            <w:r>
              <w:rPr>
                <w:rFonts w:ascii="Times New Roman" w:hAnsi="Times New Roman"/>
                <w:b/>
                <w:bCs/>
                <w:color w:val="000000"/>
                <w:szCs w:val="21"/>
                <w:highlight w:val="none"/>
                <w:lang w:bidi="ar"/>
              </w:rPr>
              <w:t>-statistic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MR–Egger</w:t>
            </w:r>
          </w:p>
        </w:tc>
        <w:tc>
          <w:tcPr>
            <w:tcW w:w="86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45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0.149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0.263 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0.573 </w:t>
            </w:r>
          </w:p>
        </w:tc>
        <w:tc>
          <w:tcPr>
            <w:tcW w:w="184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0.861 (0.514–1.442)</w:t>
            </w: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318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Egger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intercept</w:t>
            </w:r>
          </w:p>
        </w:tc>
        <w:tc>
          <w:tcPr>
            <w:tcW w:w="86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45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0.017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0.022</w:t>
            </w:r>
          </w:p>
        </w:tc>
        <w:tc>
          <w:tcPr>
            <w:tcW w:w="88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0.450</w:t>
            </w:r>
          </w:p>
        </w:tc>
        <w:tc>
          <w:tcPr>
            <w:tcW w:w="1844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WMed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0.107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0.153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0.486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0.899 (0.666–1.213)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IVW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0.332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0.109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0.760 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1.034 (0.835–1.279)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0.077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0.0033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135.57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WMod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szCs w:val="21"/>
                <w:highlight w:val="none"/>
              </w:rPr>
              <w:t>45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−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0.096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0.164 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 xml:space="preserve">0.560 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  <w:highlight w:val="none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highlight w:val="none"/>
                <w:lang w:bidi="ar"/>
              </w:rPr>
              <w:t>0.908 (0.659–1.252)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Calibri"/>
                <w:color w:val="000000"/>
                <w:szCs w:val="2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  <w:highlight w:val="none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highlight w:val="none"/>
        </w:rPr>
      </w:pPr>
      <w:r>
        <w:rPr>
          <w:rFonts w:ascii="Times New Roman" w:hAnsi="Times New Roman" w:eastAsia="等线" w:cstheme="minorBidi"/>
          <w:b/>
          <w:bCs/>
          <w:highlight w:val="none"/>
          <w:lang w:bidi="ar"/>
        </w:rPr>
        <w:t>Abbreviations:</w:t>
      </w:r>
      <w:r>
        <w:rPr>
          <w:rFonts w:ascii="Times New Roman" w:hAnsi="Times New Roman" w:eastAsia="等线" w:cstheme="minorBidi"/>
          <w:highlight w:val="none"/>
          <w:lang w:bidi="ar"/>
        </w:rPr>
        <w:t xml:space="preserve"> SNP: single-nucleotide polymorphism; β: regression effect size; CI = confidence interval; OR = odds ratio; PRESSO = Pleiotropy RESidual Sum and Outlier; SE = standard error; R2 combined: variance of exposure explained by selected instrumental variables; WMed = weighted median; IVW = inverse-variance weighting; WMod = weighted mode.</w:t>
      </w:r>
    </w:p>
    <w:p>
      <w:pPr>
        <w:rPr>
          <w:highlight w:val="none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NDE2tTQxNDQ2NDSzNDZR0lEKTi0uzszPAykwrAUA2rBa+CwAAAA="/>
    <w:docVar w:name="commondata" w:val="eyJoZGlkIjoiNTExZTBjMTdlNWJmOWM5NDMzNWNkNTExYTA2YjNiYTEifQ=="/>
  </w:docVars>
  <w:rsids>
    <w:rsidRoot w:val="00B74324"/>
    <w:rsid w:val="008E2342"/>
    <w:rsid w:val="00B74324"/>
    <w:rsid w:val="00CE6D4D"/>
    <w:rsid w:val="00D00AA0"/>
    <w:rsid w:val="2804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99" w:semiHidden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Balloon Text"/>
    <w:basedOn w:val="1"/>
    <w:link w:val="16"/>
    <w:autoRedefine/>
    <w:qFormat/>
    <w:uiPriority w:val="0"/>
    <w:rPr>
      <w:rFonts w:ascii="Times New Roman" w:hAnsi="Times New Roman"/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autoRedefine/>
    <w:qFormat/>
    <w:uiPriority w:val="0"/>
    <w:rPr>
      <w:b/>
      <w:bCs/>
    </w:rPr>
  </w:style>
  <w:style w:type="table" w:styleId="8">
    <w:name w:val="Table Grid"/>
    <w:basedOn w:val="7"/>
    <w:autoRedefine/>
    <w:qFormat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0">
    <w:name w:val="line number"/>
    <w:basedOn w:val="9"/>
    <w:autoRedefine/>
    <w:qFormat/>
    <w:uiPriority w:val="0"/>
  </w:style>
  <w:style w:type="character" w:styleId="11">
    <w:name w:val="Hyperlink"/>
    <w:basedOn w:val="9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styleId="12">
    <w:name w:val="annotation reference"/>
    <w:basedOn w:val="9"/>
    <w:autoRedefine/>
    <w:qFormat/>
    <w:uiPriority w:val="0"/>
    <w:rPr>
      <w:sz w:val="21"/>
      <w:szCs w:val="21"/>
    </w:rPr>
  </w:style>
  <w:style w:type="character" w:customStyle="1" w:styleId="13">
    <w:name w:val="页眉 字符"/>
    <w:basedOn w:val="9"/>
    <w:link w:val="5"/>
    <w:qFormat/>
    <w:uiPriority w:val="0"/>
    <w:rPr>
      <w:sz w:val="18"/>
      <w:szCs w:val="18"/>
    </w:rPr>
  </w:style>
  <w:style w:type="character" w:customStyle="1" w:styleId="14">
    <w:name w:val="页脚 字符"/>
    <w:basedOn w:val="9"/>
    <w:link w:val="4"/>
    <w:autoRedefine/>
    <w:qFormat/>
    <w:uiPriority w:val="0"/>
    <w:rPr>
      <w:sz w:val="18"/>
      <w:szCs w:val="18"/>
    </w:rPr>
  </w:style>
  <w:style w:type="character" w:customStyle="1" w:styleId="15">
    <w:name w:val="批注文字 字符"/>
    <w:basedOn w:val="9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6">
    <w:name w:val="批注框文本 字符"/>
    <w:basedOn w:val="9"/>
    <w:link w:val="3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7">
    <w:name w:val="批注主题 字符"/>
    <w:basedOn w:val="15"/>
    <w:link w:val="6"/>
    <w:autoRedefine/>
    <w:qFormat/>
    <w:uiPriority w:val="0"/>
    <w:rPr>
      <w:rFonts w:ascii="Calibri" w:hAnsi="Calibri" w:eastAsia="宋体" w:cs="Times New Roman"/>
      <w:b/>
      <w:bCs/>
      <w:szCs w:val="24"/>
    </w:rPr>
  </w:style>
  <w:style w:type="character" w:customStyle="1" w:styleId="18">
    <w:name w:val="font5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  <w:vertAlign w:val="superscript"/>
    </w:rPr>
  </w:style>
  <w:style w:type="character" w:customStyle="1" w:styleId="19">
    <w:name w:val="EndNote Bibliography Char"/>
    <w:basedOn w:val="9"/>
    <w:link w:val="20"/>
    <w:autoRedefine/>
    <w:qFormat/>
    <w:uiPriority w:val="0"/>
    <w:rPr>
      <w:rFonts w:ascii="Calibri" w:hAnsi="Calibri" w:cs="Calibri"/>
    </w:rPr>
  </w:style>
  <w:style w:type="paragraph" w:customStyle="1" w:styleId="20">
    <w:name w:val="EndNote Bibliography"/>
    <w:basedOn w:val="1"/>
    <w:link w:val="19"/>
    <w:autoRedefine/>
    <w:qFormat/>
    <w:uiPriority w:val="0"/>
    <w:pPr>
      <w:widowControl/>
      <w:spacing w:beforeAutospacing="1" w:after="200"/>
      <w:jc w:val="left"/>
    </w:pPr>
    <w:rPr>
      <w:rFonts w:cs="Calibri" w:eastAsiaTheme="minorEastAsia"/>
      <w:szCs w:val="22"/>
    </w:rPr>
  </w:style>
  <w:style w:type="character" w:customStyle="1" w:styleId="21">
    <w:name w:val="EndNote Bibliography Title Char"/>
    <w:basedOn w:val="9"/>
    <w:autoRedefine/>
    <w:qFormat/>
    <w:uiPriority w:val="0"/>
    <w:rPr>
      <w:rFonts w:hint="default" w:ascii="Times New Roman" w:hAnsi="Times New Roman" w:eastAsia="宋体" w:cs="Times New Roman"/>
      <w:kern w:val="0"/>
      <w:sz w:val="22"/>
    </w:rPr>
  </w:style>
  <w:style w:type="paragraph" w:customStyle="1" w:styleId="22">
    <w:name w:val="MDPI_4.3_table_footer"/>
    <w:basedOn w:val="1"/>
    <w:next w:val="1"/>
    <w:autoRedefine/>
    <w:qFormat/>
    <w:uiPriority w:val="0"/>
    <w:pPr>
      <w:widowControl/>
      <w:adjustRightInd w:val="0"/>
      <w:snapToGrid w:val="0"/>
      <w:spacing w:beforeAutospacing="1" w:afterAutospacing="1"/>
      <w:ind w:left="2608"/>
    </w:pPr>
    <w:rPr>
      <w:rFonts w:ascii="Palatino Linotype" w:hAnsi="Palatino Linotype" w:eastAsia="Times New Roman"/>
      <w:color w:val="000000"/>
      <w:kern w:val="0"/>
      <w:sz w:val="18"/>
      <w:szCs w:val="18"/>
    </w:rPr>
  </w:style>
  <w:style w:type="paragraph" w:customStyle="1" w:styleId="23">
    <w:name w:val="EndNote Bibliography Title"/>
    <w:autoRedefine/>
    <w:qFormat/>
    <w:uiPriority w:val="0"/>
    <w:pPr>
      <w:jc w:val="center"/>
    </w:pPr>
    <w:rPr>
      <w:rFonts w:ascii="Calibri" w:hAnsi="Calibri" w:eastAsia="宋体" w:cs="Calibri"/>
      <w:kern w:val="2"/>
      <w:sz w:val="20"/>
      <w:szCs w:val="24"/>
      <w:lang w:val="en-US" w:eastAsia="zh-CN" w:bidi="ar-SA"/>
    </w:rPr>
  </w:style>
  <w:style w:type="table" w:customStyle="1" w:styleId="24">
    <w:name w:val="网格型1"/>
    <w:basedOn w:val="7"/>
    <w:autoRedefine/>
    <w:qFormat/>
    <w:uiPriority w:val="0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25">
    <w:name w:val="font2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  <w:vertAlign w:val="superscript"/>
    </w:rPr>
  </w:style>
  <w:style w:type="character" w:customStyle="1" w:styleId="26">
    <w:name w:val="font31"/>
    <w:basedOn w:val="9"/>
    <w:autoRedefine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paragraph" w:customStyle="1" w:styleId="27">
    <w:name w:val="Revision"/>
    <w:autoRedefine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8">
    <w:name w:val="formula"/>
    <w:basedOn w:val="1"/>
    <w:next w:val="1"/>
    <w:autoRedefine/>
    <w:qFormat/>
    <w:uiPriority w:val="0"/>
    <w:pPr>
      <w:widowControl/>
      <w:tabs>
        <w:tab w:val="center" w:pos="1537"/>
        <w:tab w:val="right" w:pos="3742"/>
      </w:tabs>
      <w:spacing w:beforeAutospacing="1" w:line="360" w:lineRule="auto"/>
      <w:ind w:firstLine="420" w:firstLineChars="200"/>
    </w:pPr>
    <w:rPr>
      <w:rFonts w:hAnsi="Times New Roman"/>
      <w:szCs w:val="21"/>
    </w:rPr>
  </w:style>
  <w:style w:type="character" w:styleId="29">
    <w:name w:val="Placeholder Text"/>
    <w:basedOn w:val="9"/>
    <w:autoRedefine/>
    <w:semiHidden/>
    <w:qFormat/>
    <w:uiPriority w:val="99"/>
    <w:rPr>
      <w:color w:val="808080"/>
    </w:rPr>
  </w:style>
  <w:style w:type="character" w:customStyle="1" w:styleId="30">
    <w:name w:val="Unresolved Mention"/>
    <w:basedOn w:val="9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1341</Words>
  <Characters>7646</Characters>
  <Lines>63</Lines>
  <Paragraphs>17</Paragraphs>
  <TotalTime>0</TotalTime>
  <ScaleCrop>false</ScaleCrop>
  <LinksUpToDate>false</LinksUpToDate>
  <CharactersWithSpaces>8970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2022-12-01T09:10:00Z</dcterms:created>
  <dc:creator>netuser</dc:creator>
  <cp:lastModifiedBy>Yvonne</cp:lastModifiedBy>
  <dcterms:modified xsi:type="dcterms:W3CDTF">2024-02-01T06:57:14Z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8F80491ED9CD49BEB6E6B84BCC4562FC_12</vt:lpwstr>
  </property>
</Properties>
</file>