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E8" w:rsidRDefault="00054FE8" w:rsidP="00054FE8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Searching Prognostic Hub Genes for the Management of </w:t>
      </w:r>
      <w:proofErr w:type="spellStart"/>
      <w:r>
        <w:rPr>
          <w:b/>
          <w:sz w:val="28"/>
          <w:szCs w:val="28"/>
        </w:rPr>
        <w:t>Gliomagenesis</w:t>
      </w:r>
      <w:proofErr w:type="spellEnd"/>
      <w:r>
        <w:rPr>
          <w:b/>
          <w:sz w:val="28"/>
          <w:szCs w:val="28"/>
        </w:rPr>
        <w:t xml:space="preserve"> through Transcriptome Profiling</w:t>
      </w:r>
    </w:p>
    <w:p w:rsidR="00054FE8" w:rsidRDefault="00054FE8" w:rsidP="00054FE8">
      <w:pPr>
        <w:spacing w:line="480" w:lineRule="auto"/>
        <w:jc w:val="center"/>
        <w:rPr>
          <w:b/>
        </w:rPr>
      </w:pPr>
      <w:proofErr w:type="spellStart"/>
      <w:r>
        <w:rPr>
          <w:b/>
        </w:rPr>
        <w:t>Poornimaa</w:t>
      </w:r>
      <w:proofErr w:type="spellEnd"/>
      <w:r>
        <w:rPr>
          <w:b/>
        </w:rPr>
        <w:t xml:space="preserve"> Murali</w:t>
      </w:r>
      <w:r>
        <w:rPr>
          <w:b/>
          <w:vertAlign w:val="superscript"/>
        </w:rPr>
        <w:t>1</w:t>
      </w:r>
      <w:r>
        <w:rPr>
          <w:b/>
        </w:rPr>
        <w:t>, Muthu Kumar Thirunavukkarasu</w:t>
      </w:r>
      <w:r>
        <w:rPr>
          <w:b/>
          <w:vertAlign w:val="superscript"/>
        </w:rPr>
        <w:t>2</w:t>
      </w:r>
      <w:r>
        <w:rPr>
          <w:b/>
        </w:rPr>
        <w:t>, Priyanka Ramesh</w:t>
      </w:r>
      <w:r>
        <w:rPr>
          <w:b/>
          <w:vertAlign w:val="superscript"/>
        </w:rPr>
        <w:t>3</w:t>
      </w:r>
      <w:r>
        <w:rPr>
          <w:b/>
        </w:rPr>
        <w:t xml:space="preserve">, </w:t>
      </w:r>
      <w:proofErr w:type="spellStart"/>
      <w:r>
        <w:rPr>
          <w:b/>
        </w:rPr>
        <w:t>Shanthi</w:t>
      </w:r>
      <w:proofErr w:type="spellEnd"/>
      <w:r>
        <w:rPr>
          <w:b/>
        </w:rPr>
        <w:t xml:space="preserve"> Veerappapillai</w:t>
      </w:r>
      <w:r>
        <w:rPr>
          <w:b/>
          <w:vertAlign w:val="superscript"/>
        </w:rPr>
        <w:t xml:space="preserve">1 </w:t>
      </w:r>
      <w:r>
        <w:rPr>
          <w:b/>
        </w:rPr>
        <w:t xml:space="preserve">and </w:t>
      </w:r>
      <w:proofErr w:type="spellStart"/>
      <w:r>
        <w:rPr>
          <w:b/>
        </w:rPr>
        <w:t>Ramanathan</w:t>
      </w:r>
      <w:proofErr w:type="spellEnd"/>
      <w:r>
        <w:rPr>
          <w:b/>
        </w:rPr>
        <w:t xml:space="preserve"> Karuppasamy</w:t>
      </w:r>
      <w:r>
        <w:rPr>
          <w:b/>
          <w:vertAlign w:val="superscript"/>
        </w:rPr>
        <w:t>1</w:t>
      </w:r>
      <w:r>
        <w:rPr>
          <w:b/>
        </w:rPr>
        <w:t>*</w:t>
      </w:r>
    </w:p>
    <w:p w:rsidR="00054FE8" w:rsidRDefault="00054FE8" w:rsidP="00054FE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jc w:val="center"/>
        <w:rPr>
          <w:color w:val="000000"/>
        </w:rPr>
      </w:pPr>
      <w:r>
        <w:rPr>
          <w:color w:val="000000"/>
          <w:vertAlign w:val="superscript"/>
        </w:rPr>
        <w:t>1</w:t>
      </w:r>
      <w:r>
        <w:rPr>
          <w:color w:val="000000"/>
        </w:rPr>
        <w:t>Department of Biotechnology, School of Bio Sciences and Technology, Vellore Institute of Technology, Vellore, Tamil Nadu, India.</w:t>
      </w:r>
    </w:p>
    <w:p w:rsidR="00054FE8" w:rsidRDefault="00054FE8" w:rsidP="00054FE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jc w:val="center"/>
        <w:rPr>
          <w:color w:val="000000"/>
        </w:rPr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School of Sciences and Humanities, SR University, Warangal, Telangana - 506371, </w:t>
      </w:r>
      <w:r>
        <w:t>India</w:t>
      </w:r>
      <w:r>
        <w:rPr>
          <w:color w:val="000000"/>
        </w:rPr>
        <w:t>.</w:t>
      </w:r>
    </w:p>
    <w:p w:rsidR="00054FE8" w:rsidRDefault="00054FE8" w:rsidP="00054FE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jc w:val="center"/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>Bioinformatics Core, College of Agriculture, Agriculture research and graduate education, Purdue University, West Lafayette, Indiana, United States 47907</w:t>
      </w:r>
    </w:p>
    <w:p w:rsidR="00054FE8" w:rsidRDefault="00054FE8" w:rsidP="00054FE8">
      <w:pPr>
        <w:spacing w:line="480" w:lineRule="auto"/>
        <w:jc w:val="center"/>
      </w:pPr>
      <w:r>
        <w:t>*Corresponding author. Email: kramanathan@vit.ac.in; Phone: 0416-2202625</w:t>
      </w: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</w:p>
    <w:p w:rsidR="00054FE8" w:rsidRDefault="00054FE8" w:rsidP="00D536EE">
      <w:pPr>
        <w:spacing w:line="480" w:lineRule="auto"/>
        <w:jc w:val="both"/>
        <w:rPr>
          <w:b/>
        </w:rPr>
      </w:pPr>
      <w:bookmarkStart w:id="0" w:name="_GoBack"/>
      <w:bookmarkEnd w:id="0"/>
    </w:p>
    <w:p w:rsidR="00D536EE" w:rsidRPr="00D536EE" w:rsidRDefault="00D536EE" w:rsidP="00D536EE">
      <w:pPr>
        <w:spacing w:line="480" w:lineRule="auto"/>
        <w:jc w:val="both"/>
        <w:rPr>
          <w:b/>
        </w:rPr>
      </w:pPr>
      <w:r w:rsidRPr="00D536EE">
        <w:rPr>
          <w:b/>
        </w:rPr>
        <w:lastRenderedPageBreak/>
        <w:t>Supplementary Figures</w:t>
      </w:r>
    </w:p>
    <w:p w:rsidR="00D536EE" w:rsidRPr="00D536EE" w:rsidRDefault="00D536EE" w:rsidP="00D536EE">
      <w:pPr>
        <w:spacing w:line="480" w:lineRule="auto"/>
        <w:jc w:val="both"/>
        <w:rPr>
          <w:b/>
        </w:rPr>
      </w:pPr>
      <w:bookmarkStart w:id="1" w:name="_heading=h.uwq4w7uqxz8z"/>
      <w:bookmarkEnd w:id="1"/>
      <w:r w:rsidRPr="00D536EE">
        <w:rPr>
          <w:b/>
        </w:rPr>
        <w:t>Figure legends</w:t>
      </w:r>
    </w:p>
    <w:p w:rsidR="00D536EE" w:rsidRDefault="00D536EE" w:rsidP="00D536EE">
      <w:pPr>
        <w:spacing w:line="480" w:lineRule="auto"/>
        <w:jc w:val="both"/>
      </w:pPr>
      <w:bookmarkStart w:id="2" w:name="_heading=h.30j0zll"/>
      <w:bookmarkEnd w:id="2"/>
      <w:r>
        <w:t>Fig. S1: The principal component analysis (PCA) plot of samples (mRNAseq_693 dataset) retrieved from the CCGA dataset</w:t>
      </w:r>
    </w:p>
    <w:p w:rsidR="00D536EE" w:rsidRDefault="00D536EE" w:rsidP="00D536EE">
      <w:pPr>
        <w:spacing w:line="480" w:lineRule="auto"/>
        <w:jc w:val="both"/>
      </w:pPr>
      <w:r>
        <w:t>Fig. S2: Hierarchical tree clustering between control and</w:t>
      </w:r>
      <w:r w:rsidR="00237AC9">
        <w:t xml:space="preserve"> different glioma grades</w:t>
      </w:r>
    </w:p>
    <w:p w:rsidR="00D536EE" w:rsidRDefault="00D536EE" w:rsidP="00D536EE">
      <w:pPr>
        <w:spacing w:line="480" w:lineRule="auto"/>
        <w:jc w:val="both"/>
      </w:pPr>
      <w:r>
        <w:t>Fig. S3: Box-plot analyses of five hub genes a) TP53 b) SRC c) CDK1 d) UBA52 e) UBB using GEPIA2 server tool. GBM tissues (n = 163) and LGG tissues (n = 518) are represented in blue color and noncancerous tissues present in both GBM and LGG tissues are represented in grey (n = 207); a red asterisk denotes a p-value &lt;0.01</w:t>
      </w:r>
    </w:p>
    <w:p w:rsidR="00D536EE" w:rsidRDefault="00D536EE" w:rsidP="00D536EE">
      <w:pPr>
        <w:spacing w:line="480" w:lineRule="auto"/>
        <w:jc w:val="both"/>
      </w:pPr>
      <w:r>
        <w:t>Fig. S4: Top fold enrichment pathways analysis of (a) Biological process (b) Cellular Component (c) Molecu</w:t>
      </w:r>
      <w:r w:rsidR="00237AC9">
        <w:t xml:space="preserve">lar functions and (d) KEGG </w:t>
      </w:r>
    </w:p>
    <w:p w:rsidR="00D536EE" w:rsidRDefault="00D536EE" w:rsidP="00D536EE">
      <w:pPr>
        <w:spacing w:line="480" w:lineRule="auto"/>
        <w:jc w:val="both"/>
      </w:pPr>
      <w:r>
        <w:t xml:space="preserve">Fig. S5: Schematic illustration of (a) </w:t>
      </w:r>
      <w:proofErr w:type="spellStart"/>
      <w:r>
        <w:t>mitophagy</w:t>
      </w:r>
      <w:proofErr w:type="spellEnd"/>
      <w:r>
        <w:t xml:space="preserve"> and (b) cell cycle pathway generated using </w:t>
      </w:r>
      <w:proofErr w:type="spellStart"/>
      <w:r>
        <w:t>ShinyGO</w:t>
      </w:r>
      <w:proofErr w:type="spellEnd"/>
      <w:r>
        <w:t>. The overexpressed genes are</w:t>
      </w:r>
      <w:r w:rsidR="00237AC9">
        <w:t xml:space="preserve"> highlighted in red color</w:t>
      </w: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557ECF">
      <w:pPr>
        <w:spacing w:line="480" w:lineRule="auto"/>
        <w:jc w:val="both"/>
      </w:pPr>
      <w:r>
        <w:rPr>
          <w:noProof/>
        </w:rPr>
        <w:drawing>
          <wp:inline distT="0" distB="0" distL="0" distR="0">
            <wp:extent cx="5943600" cy="2419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CF" w:rsidRDefault="00557ECF" w:rsidP="00557ECF">
      <w:pPr>
        <w:spacing w:line="480" w:lineRule="auto"/>
        <w:jc w:val="both"/>
      </w:pPr>
      <w:bookmarkStart w:id="3" w:name="_heading=h.3znysh7"/>
      <w:bookmarkEnd w:id="3"/>
      <w:r>
        <w:t>Fig. S1: The principal component analysis (PCA) plot of samples (mRNAseq_693 dataset) retrieved from the CCGA dataset.</w:t>
      </w:r>
    </w:p>
    <w:p w:rsidR="00557ECF" w:rsidRDefault="00557ECF" w:rsidP="00557ECF">
      <w:pPr>
        <w:spacing w:line="480" w:lineRule="auto"/>
        <w:jc w:val="both"/>
      </w:pPr>
    </w:p>
    <w:p w:rsidR="00557ECF" w:rsidRDefault="00557ECF" w:rsidP="00557ECF">
      <w:pPr>
        <w:spacing w:line="480" w:lineRule="auto"/>
        <w:jc w:val="both"/>
      </w:pPr>
    </w:p>
    <w:p w:rsidR="00557ECF" w:rsidRDefault="00557ECF" w:rsidP="00557ECF">
      <w:pPr>
        <w:spacing w:line="480" w:lineRule="auto"/>
        <w:jc w:val="both"/>
      </w:pPr>
    </w:p>
    <w:p w:rsidR="00557ECF" w:rsidRDefault="00557ECF" w:rsidP="00557ECF">
      <w:pPr>
        <w:spacing w:line="480" w:lineRule="auto"/>
        <w:jc w:val="both"/>
      </w:pPr>
    </w:p>
    <w:p w:rsidR="00557ECF" w:rsidRDefault="00557ECF" w:rsidP="00557ECF">
      <w:pPr>
        <w:spacing w:line="480" w:lineRule="auto"/>
        <w:jc w:val="both"/>
      </w:pPr>
    </w:p>
    <w:p w:rsidR="00557ECF" w:rsidRDefault="00557ECF" w:rsidP="00557ECF">
      <w:pPr>
        <w:spacing w:line="480" w:lineRule="auto"/>
        <w:jc w:val="both"/>
      </w:pPr>
    </w:p>
    <w:p w:rsidR="00557ECF" w:rsidRDefault="00557ECF" w:rsidP="00557ECF">
      <w:pPr>
        <w:spacing w:line="480" w:lineRule="auto"/>
        <w:jc w:val="both"/>
      </w:pPr>
    </w:p>
    <w:p w:rsidR="00557ECF" w:rsidRDefault="00557ECF" w:rsidP="00D536EE">
      <w:pPr>
        <w:spacing w:line="480" w:lineRule="auto"/>
        <w:jc w:val="both"/>
      </w:pPr>
    </w:p>
    <w:p w:rsidR="00557ECF" w:rsidRDefault="00557ECF" w:rsidP="00557ECF">
      <w:pPr>
        <w:ind w:left="360"/>
        <w:jc w:val="center"/>
        <w:rPr>
          <w:color w:val="000000"/>
          <w:highlight w:val="yellow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733925" cy="3419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CF" w:rsidRDefault="00557ECF" w:rsidP="00557ECF">
      <w:pPr>
        <w:rPr>
          <w:highlight w:val="yellow"/>
        </w:rPr>
      </w:pPr>
    </w:p>
    <w:p w:rsidR="00557ECF" w:rsidRDefault="00557ECF" w:rsidP="00557ECF">
      <w:pPr>
        <w:spacing w:line="480" w:lineRule="auto"/>
        <w:jc w:val="center"/>
      </w:pPr>
    </w:p>
    <w:p w:rsidR="00557ECF" w:rsidRDefault="00557ECF" w:rsidP="00557ECF">
      <w:pPr>
        <w:spacing w:line="480" w:lineRule="auto"/>
      </w:pPr>
      <w:r>
        <w:t>Fig. S2: Hierarchical tree clustering between control and different glioma grades of average samples.</w:t>
      </w:r>
    </w:p>
    <w:p w:rsidR="00041C15" w:rsidRDefault="00041C15"/>
    <w:p w:rsidR="00557ECF" w:rsidRDefault="00557ECF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/>
    <w:p w:rsidR="00041C15" w:rsidRDefault="00041C15" w:rsidP="00041C15">
      <w:pPr>
        <w:spacing w:line="480" w:lineRule="auto"/>
        <w:rPr>
          <w:b/>
        </w:rPr>
      </w:pPr>
      <w:r>
        <w:rPr>
          <w:noProof/>
        </w:rPr>
        <w:drawing>
          <wp:inline distT="0" distB="0" distL="0" distR="0">
            <wp:extent cx="2857500" cy="24479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noProof/>
        </w:rPr>
        <w:drawing>
          <wp:inline distT="0" distB="0" distL="0" distR="0">
            <wp:extent cx="2914650" cy="25050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15" w:rsidRDefault="00041C15" w:rsidP="00041C15">
      <w:pPr>
        <w:spacing w:line="480" w:lineRule="auto"/>
        <w:jc w:val="center"/>
        <w:rPr>
          <w:b/>
        </w:rPr>
      </w:pPr>
      <w:r>
        <w:rPr>
          <w:b/>
        </w:rPr>
        <w:t>(a)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</w:t>
      </w:r>
      <w:proofErr w:type="gramStart"/>
      <w:r>
        <w:rPr>
          <w:b/>
        </w:rPr>
        <w:t>b</w:t>
      </w:r>
      <w:proofErr w:type="gramEnd"/>
      <w:r>
        <w:rPr>
          <w:b/>
        </w:rPr>
        <w:t>)</w:t>
      </w:r>
    </w:p>
    <w:p w:rsidR="00041C15" w:rsidRDefault="00041C15" w:rsidP="00041C15">
      <w:pPr>
        <w:spacing w:line="480" w:lineRule="auto"/>
      </w:pPr>
      <w:r>
        <w:rPr>
          <w:noProof/>
        </w:rPr>
        <w:drawing>
          <wp:inline distT="0" distB="0" distL="0" distR="0">
            <wp:extent cx="2952750" cy="2476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14650" cy="2505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15" w:rsidRDefault="00041C15" w:rsidP="00041C15">
      <w:pPr>
        <w:spacing w:line="480" w:lineRule="auto"/>
        <w:jc w:val="center"/>
        <w:rPr>
          <w:b/>
        </w:rPr>
      </w:pPr>
      <w:r>
        <w:rPr>
          <w:b/>
        </w:rPr>
        <w:t>(c)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</w:t>
      </w:r>
      <w:proofErr w:type="gramStart"/>
      <w:r>
        <w:rPr>
          <w:b/>
        </w:rPr>
        <w:t>d</w:t>
      </w:r>
      <w:proofErr w:type="gramEnd"/>
      <w:r>
        <w:rPr>
          <w:b/>
        </w:rPr>
        <w:t>)</w:t>
      </w:r>
    </w:p>
    <w:p w:rsidR="00041C15" w:rsidRDefault="00041C15" w:rsidP="00041C15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124200" cy="2657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15" w:rsidRDefault="00041C15" w:rsidP="00041C15">
      <w:pPr>
        <w:spacing w:line="480" w:lineRule="auto"/>
        <w:jc w:val="center"/>
        <w:rPr>
          <w:b/>
        </w:rPr>
      </w:pPr>
      <w:r>
        <w:rPr>
          <w:b/>
        </w:rPr>
        <w:t>(e)</w:t>
      </w:r>
    </w:p>
    <w:p w:rsidR="00041C15" w:rsidRDefault="00041C15" w:rsidP="00041C15">
      <w:pPr>
        <w:spacing w:line="480" w:lineRule="auto"/>
        <w:jc w:val="both"/>
      </w:pPr>
      <w:r>
        <w:t>Fig. S3:</w:t>
      </w:r>
      <w:r>
        <w:rPr>
          <w:b/>
        </w:rPr>
        <w:t xml:space="preserve"> </w:t>
      </w:r>
      <w:r>
        <w:t xml:space="preserve">Box-plot analyses of five hub genes </w:t>
      </w:r>
      <w:r>
        <w:rPr>
          <w:b/>
        </w:rPr>
        <w:t>(a)</w:t>
      </w:r>
      <w:r>
        <w:t xml:space="preserve"> TP53 </w:t>
      </w:r>
      <w:r>
        <w:rPr>
          <w:b/>
        </w:rPr>
        <w:t>(b)</w:t>
      </w:r>
      <w:r>
        <w:t xml:space="preserve"> SRC </w:t>
      </w:r>
      <w:r>
        <w:rPr>
          <w:b/>
        </w:rPr>
        <w:t>(c)</w:t>
      </w:r>
      <w:r>
        <w:t xml:space="preserve"> CDK1 </w:t>
      </w:r>
      <w:r>
        <w:rPr>
          <w:b/>
        </w:rPr>
        <w:t>(d)</w:t>
      </w:r>
      <w:r>
        <w:t xml:space="preserve"> UBA52 </w:t>
      </w:r>
      <w:r>
        <w:rPr>
          <w:b/>
        </w:rPr>
        <w:t>(e)</w:t>
      </w:r>
      <w:r>
        <w:t xml:space="preserve"> UBB using GEPIA2 server tool. GBM tissues (n = 163) and LGG tissues (n = 518) are represented in blue color and noncancerous tissues present in both GBM and LGG tissues are represented in grey (n = 207); a red asterisk denotes a p-value &lt;0.01.</w:t>
      </w: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6C3B4D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80C47BB" wp14:editId="2A289B30">
            <wp:extent cx="5943600" cy="2377440"/>
            <wp:effectExtent l="0" t="0" r="0" b="0"/>
            <wp:docPr id="209840867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B4D" w:rsidRDefault="006C3B4D" w:rsidP="006C3B4D">
      <w:pPr>
        <w:spacing w:line="480" w:lineRule="auto"/>
        <w:jc w:val="center"/>
        <w:rPr>
          <w:b/>
        </w:rPr>
      </w:pPr>
      <w:r>
        <w:rPr>
          <w:b/>
        </w:rPr>
        <w:t>(a)</w:t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2D65A80" wp14:editId="245AC714">
            <wp:extent cx="5943600" cy="2377440"/>
            <wp:effectExtent l="0" t="0" r="0" b="0"/>
            <wp:docPr id="209840867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</w:rPr>
      </w:pPr>
      <w:r>
        <w:rPr>
          <w:b/>
          <w:color w:val="000000"/>
        </w:rPr>
        <w:t>(b)</w:t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994175E" wp14:editId="51514777">
            <wp:extent cx="5943600" cy="2377440"/>
            <wp:effectExtent l="0" t="0" r="0" b="0"/>
            <wp:docPr id="209840867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</w:rPr>
      </w:pPr>
      <w:r>
        <w:rPr>
          <w:b/>
          <w:color w:val="000000"/>
        </w:rPr>
        <w:t>(c)</w:t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62F83A9" wp14:editId="57DAC5A8">
            <wp:extent cx="5943600" cy="2377440"/>
            <wp:effectExtent l="0" t="0" r="0" b="0"/>
            <wp:docPr id="209840868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</w:rPr>
      </w:pPr>
      <w:r>
        <w:rPr>
          <w:b/>
          <w:color w:val="000000"/>
        </w:rPr>
        <w:t>(d)</w:t>
      </w:r>
    </w:p>
    <w:p w:rsidR="006C3B4D" w:rsidRDefault="006C3B4D" w:rsidP="006C3B4D"/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color w:val="000000"/>
        </w:rPr>
        <w:t>Fig. S4: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Top fold enrichment pathways analysis of </w:t>
      </w:r>
      <w:r>
        <w:rPr>
          <w:b/>
          <w:color w:val="000000"/>
        </w:rPr>
        <w:t>(a)</w:t>
      </w:r>
      <w:r>
        <w:rPr>
          <w:color w:val="000000"/>
        </w:rPr>
        <w:t xml:space="preserve"> Biological process </w:t>
      </w:r>
      <w:r>
        <w:rPr>
          <w:b/>
          <w:color w:val="000000"/>
        </w:rPr>
        <w:t>(b)</w:t>
      </w:r>
      <w:r>
        <w:rPr>
          <w:color w:val="000000"/>
        </w:rPr>
        <w:t xml:space="preserve"> Cellular Component </w:t>
      </w:r>
      <w:r>
        <w:rPr>
          <w:b/>
          <w:color w:val="000000"/>
        </w:rPr>
        <w:t>(c)</w:t>
      </w:r>
      <w:r>
        <w:rPr>
          <w:color w:val="000000"/>
        </w:rPr>
        <w:t xml:space="preserve"> Molecular functions and </w:t>
      </w:r>
      <w:r>
        <w:rPr>
          <w:b/>
          <w:color w:val="000000"/>
        </w:rPr>
        <w:t>(d)</w:t>
      </w:r>
      <w:r>
        <w:rPr>
          <w:color w:val="000000"/>
        </w:rPr>
        <w:t xml:space="preserve"> KEGG</w:t>
      </w: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BBCD169" wp14:editId="05BA7474">
            <wp:extent cx="6348508" cy="4187234"/>
            <wp:effectExtent l="0" t="0" r="0" b="0"/>
            <wp:docPr id="209840868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8508" cy="41872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p w:rsidR="006C3B4D" w:rsidRDefault="006C3B4D" w:rsidP="006C3B4D">
      <w:pPr>
        <w:jc w:val="center"/>
        <w:rPr>
          <w:b/>
        </w:rPr>
      </w:pPr>
      <w:r>
        <w:rPr>
          <w:b/>
        </w:rPr>
        <w:t>(a)</w:t>
      </w:r>
    </w:p>
    <w:p w:rsidR="006C3B4D" w:rsidRDefault="006C3B4D" w:rsidP="006C3B4D">
      <w:pPr>
        <w:jc w:val="center"/>
      </w:pPr>
    </w:p>
    <w:p w:rsidR="006C3B4D" w:rsidRDefault="006C3B4D" w:rsidP="006C3B4D">
      <w:pPr>
        <w:rPr>
          <w:highlight w:val="yellow"/>
        </w:rPr>
      </w:pPr>
    </w:p>
    <w:p w:rsidR="006C3B4D" w:rsidRDefault="006C3B4D" w:rsidP="006C3B4D">
      <w:pPr>
        <w:rPr>
          <w:highlight w:val="yellow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highlight w:val="yellow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highlight w:val="yellow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highlight w:val="yellow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highlight w:val="yellow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highlight w:val="yellow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highlight w:val="yellow"/>
        </w:rPr>
      </w:pPr>
    </w:p>
    <w:p w:rsidR="006C3B4D" w:rsidRDefault="006C3B4D" w:rsidP="006C3B4D">
      <w:pPr>
        <w:jc w:val="center"/>
        <w:rPr>
          <w:b/>
        </w:rPr>
      </w:pPr>
    </w:p>
    <w:p w:rsidR="006C3B4D" w:rsidRDefault="006C3B4D" w:rsidP="006C3B4D">
      <w:pPr>
        <w:jc w:val="center"/>
        <w:rPr>
          <w:b/>
        </w:rPr>
      </w:pPr>
    </w:p>
    <w:p w:rsidR="006C3B4D" w:rsidRDefault="006C3B4D" w:rsidP="006C3B4D">
      <w:pPr>
        <w:jc w:val="center"/>
        <w:rPr>
          <w:b/>
        </w:rPr>
      </w:pPr>
    </w:p>
    <w:p w:rsidR="006C3B4D" w:rsidRDefault="006C3B4D" w:rsidP="006C3B4D">
      <w:pPr>
        <w:jc w:val="center"/>
        <w:rPr>
          <w:b/>
        </w:rPr>
      </w:pPr>
    </w:p>
    <w:p w:rsidR="006C3B4D" w:rsidRDefault="006C3B4D" w:rsidP="006C3B4D">
      <w:pPr>
        <w:jc w:val="center"/>
        <w:rPr>
          <w:b/>
        </w:rPr>
      </w:pPr>
    </w:p>
    <w:p w:rsidR="006C3B4D" w:rsidRDefault="006C3B4D" w:rsidP="006C3B4D">
      <w:pPr>
        <w:jc w:val="center"/>
        <w:rPr>
          <w:b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C3B4D" w:rsidRDefault="006C3B4D" w:rsidP="006C3B4D">
      <w:pPr>
        <w:jc w:val="center"/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D12284E" wp14:editId="1CA131F2">
            <wp:extent cx="6313553" cy="4981367"/>
            <wp:effectExtent l="0" t="0" r="0" b="0"/>
            <wp:docPr id="2098408690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3553" cy="49813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</w:rPr>
      </w:pPr>
      <w:r>
        <w:rPr>
          <w:b/>
          <w:color w:val="000000"/>
        </w:rPr>
        <w:t>(b)</w:t>
      </w: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6C3B4D" w:rsidRDefault="006C3B4D" w:rsidP="006C3B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jc w:val="both"/>
        <w:rPr>
          <w:b/>
          <w:color w:val="000000"/>
        </w:rPr>
      </w:pPr>
      <w:r>
        <w:rPr>
          <w:color w:val="000000"/>
        </w:rPr>
        <w:t>Fig. S5: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Schematic illustration of </w:t>
      </w:r>
      <w:r>
        <w:rPr>
          <w:b/>
          <w:color w:val="000000"/>
        </w:rPr>
        <w:t>(a)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mitophagy</w:t>
      </w:r>
      <w:proofErr w:type="spellEnd"/>
      <w:r>
        <w:rPr>
          <w:color w:val="000000"/>
        </w:rPr>
        <w:t xml:space="preserve"> and </w:t>
      </w:r>
      <w:r>
        <w:rPr>
          <w:b/>
          <w:color w:val="000000"/>
        </w:rPr>
        <w:t>(b)</w:t>
      </w:r>
      <w:r>
        <w:rPr>
          <w:color w:val="000000"/>
        </w:rPr>
        <w:t xml:space="preserve"> cell cycle pathway generated using </w:t>
      </w:r>
      <w:proofErr w:type="spellStart"/>
      <w:r>
        <w:rPr>
          <w:color w:val="000000"/>
        </w:rPr>
        <w:t>ShinyGo</w:t>
      </w:r>
      <w:proofErr w:type="spellEnd"/>
      <w:r>
        <w:rPr>
          <w:color w:val="000000"/>
        </w:rPr>
        <w:t>. The lower expressed genes are highlighted in red color.</w:t>
      </w: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6C3B4D" w:rsidRDefault="006C3B4D" w:rsidP="00041C15">
      <w:pPr>
        <w:spacing w:line="480" w:lineRule="auto"/>
        <w:jc w:val="both"/>
      </w:pPr>
    </w:p>
    <w:p w:rsidR="00041C15" w:rsidRDefault="00041C15"/>
    <w:sectPr w:rsidR="00041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2E"/>
    <w:rsid w:val="0003772E"/>
    <w:rsid w:val="00041C15"/>
    <w:rsid w:val="00054FE8"/>
    <w:rsid w:val="00073E7A"/>
    <w:rsid w:val="00237AC9"/>
    <w:rsid w:val="00557ECF"/>
    <w:rsid w:val="006C3B4D"/>
    <w:rsid w:val="00A85AEB"/>
    <w:rsid w:val="00D536EE"/>
    <w:rsid w:val="00DB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373ECF-96E1-4073-A692-EC6F1BAF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shanthi</dc:creator>
  <cp:keywords/>
  <dc:description/>
  <cp:lastModifiedBy>shanthi</cp:lastModifiedBy>
  <cp:revision>7</cp:revision>
  <dcterms:created xsi:type="dcterms:W3CDTF">2024-01-31T06:42:00Z</dcterms:created>
  <dcterms:modified xsi:type="dcterms:W3CDTF">2024-01-31T07:11:00Z</dcterms:modified>
</cp:coreProperties>
</file>