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66FDB" w14:textId="6AE85CD9" w:rsidR="003A1F4D" w:rsidRDefault="003A1F4D">
      <w:pPr>
        <w:rPr>
          <w:b/>
          <w:bCs/>
        </w:rPr>
      </w:pPr>
      <w:r w:rsidRPr="003A1F4D">
        <w:rPr>
          <w:b/>
          <w:bCs/>
        </w:rPr>
        <w:t>Supporting information</w:t>
      </w:r>
      <w:r w:rsidR="002A3AE4">
        <w:rPr>
          <w:b/>
          <w:bCs/>
        </w:rPr>
        <w:t xml:space="preserve"> for</w:t>
      </w:r>
    </w:p>
    <w:p w14:paraId="5E03C022" w14:textId="77777777" w:rsidR="00167797" w:rsidRPr="00187302" w:rsidRDefault="00167797" w:rsidP="00167797">
      <w:pPr>
        <w:jc w:val="center"/>
        <w:rPr>
          <w:b/>
          <w:bCs/>
          <w:sz w:val="24"/>
          <w:szCs w:val="24"/>
        </w:rPr>
      </w:pPr>
      <w:r w:rsidRPr="00187302">
        <w:rPr>
          <w:b/>
          <w:bCs/>
          <w:sz w:val="24"/>
          <w:szCs w:val="24"/>
        </w:rPr>
        <w:t>Massively Parallel Microbubble Nano-Assembly</w:t>
      </w:r>
    </w:p>
    <w:p w14:paraId="50EEC8AB" w14:textId="77777777" w:rsidR="00167797" w:rsidRPr="006E0F46" w:rsidRDefault="00167797" w:rsidP="00167797">
      <w:pPr>
        <w:jc w:val="center"/>
      </w:pPr>
      <w:r w:rsidRPr="006E0F46">
        <w:t>Hyungmok Joh</w:t>
      </w:r>
      <w:r w:rsidRPr="006E0F46">
        <w:rPr>
          <w:vertAlign w:val="superscript"/>
        </w:rPr>
        <w:t>1</w:t>
      </w:r>
      <w:r w:rsidRPr="006E0F46">
        <w:t>, Shaw-long Hsueh</w:t>
      </w:r>
      <w:r w:rsidRPr="006E0F46">
        <w:rPr>
          <w:vertAlign w:val="superscript"/>
        </w:rPr>
        <w:t>2</w:t>
      </w:r>
      <w:r w:rsidRPr="006E0F46">
        <w:t>, Zhichao Ma</w:t>
      </w:r>
      <w:r w:rsidRPr="006E0F46">
        <w:rPr>
          <w:vertAlign w:val="superscript"/>
        </w:rPr>
        <w:t>3</w:t>
      </w:r>
      <w:r w:rsidRPr="00FE4721">
        <w:rPr>
          <w:vertAlign w:val="superscript"/>
        </w:rPr>
        <w:t>,4</w:t>
      </w:r>
      <w:r w:rsidRPr="006E0F46">
        <w:t xml:space="preserve"> Bin Lian</w:t>
      </w:r>
      <w:r w:rsidRPr="006E0F46">
        <w:rPr>
          <w:vertAlign w:val="superscript"/>
        </w:rPr>
        <w:t>1</w:t>
      </w:r>
      <w:r w:rsidRPr="006E0F46">
        <w:t>, Peer Fischer</w:t>
      </w:r>
      <w:r w:rsidRPr="006E0F46">
        <w:rPr>
          <w:vertAlign w:val="superscript"/>
        </w:rPr>
        <w:t xml:space="preserve">3, </w:t>
      </w:r>
      <w:r>
        <w:rPr>
          <w:vertAlign w:val="superscript"/>
        </w:rPr>
        <w:t>5</w:t>
      </w:r>
      <w:r w:rsidRPr="006E0F46">
        <w:rPr>
          <w:vertAlign w:val="superscript"/>
        </w:rPr>
        <w:t xml:space="preserve">, </w:t>
      </w:r>
      <w:r>
        <w:rPr>
          <w:vertAlign w:val="superscript"/>
        </w:rPr>
        <w:t>6</w:t>
      </w:r>
      <w:r w:rsidRPr="006E0F46">
        <w:t>, and Donglei Emma Fan</w:t>
      </w:r>
      <w:r w:rsidRPr="006E0F46">
        <w:rPr>
          <w:vertAlign w:val="superscript"/>
        </w:rPr>
        <w:t>1,</w:t>
      </w:r>
      <w:r>
        <w:rPr>
          <w:vertAlign w:val="superscript"/>
        </w:rPr>
        <w:t>7</w:t>
      </w:r>
      <w:r w:rsidRPr="006E0F46">
        <w:rPr>
          <w:vertAlign w:val="superscript"/>
        </w:rPr>
        <w:t>*</w:t>
      </w:r>
    </w:p>
    <w:p w14:paraId="73952CAC" w14:textId="77777777" w:rsidR="00167797" w:rsidRPr="006E0F46" w:rsidRDefault="00167797" w:rsidP="00167797">
      <w:pPr>
        <w:jc w:val="center"/>
      </w:pPr>
      <w:r w:rsidRPr="006E0F46">
        <w:rPr>
          <w:vertAlign w:val="superscript"/>
        </w:rPr>
        <w:t>1</w:t>
      </w:r>
      <w:r w:rsidRPr="006E0F46">
        <w:t>Materials Science and Engineering Program, Texas Materials Institute, The University of Texas at Austin</w:t>
      </w:r>
      <w:r w:rsidRPr="006E0F46">
        <w:rPr>
          <w:vertAlign w:val="superscript"/>
        </w:rPr>
        <w:t xml:space="preserve"> </w:t>
      </w:r>
      <w:r>
        <w:rPr>
          <w:vertAlign w:val="superscript"/>
        </w:rPr>
        <w:t xml:space="preserve">2 </w:t>
      </w:r>
      <w:r w:rsidRPr="00222619">
        <w:t>Chandra Family Department of Electrical and Computer Engineering</w:t>
      </w:r>
      <w:r w:rsidRPr="006E0F46">
        <w:t>, The University of Texas at Austin</w:t>
      </w:r>
    </w:p>
    <w:p w14:paraId="3CDFB98C" w14:textId="77777777" w:rsidR="00167797" w:rsidRDefault="00167797" w:rsidP="00167797">
      <w:pPr>
        <w:jc w:val="center"/>
        <w:rPr>
          <w:lang w:val="de-DE"/>
        </w:rPr>
      </w:pPr>
      <w:r w:rsidRPr="005A486C">
        <w:rPr>
          <w:vertAlign w:val="superscript"/>
          <w:lang w:val="de-DE"/>
        </w:rPr>
        <w:t>3</w:t>
      </w:r>
      <w:r w:rsidRPr="005A486C">
        <w:rPr>
          <w:lang w:val="de-DE"/>
        </w:rPr>
        <w:t>Max Planck Institute for Intelligent Systems, Heisenbergstr. 3, Stuttgart 70569, Germany</w:t>
      </w:r>
    </w:p>
    <w:p w14:paraId="6DDDFB76" w14:textId="77777777" w:rsidR="00167797" w:rsidRPr="005A6BDC" w:rsidRDefault="00167797" w:rsidP="00167797">
      <w:pPr>
        <w:jc w:val="center"/>
      </w:pPr>
      <w:r w:rsidRPr="005A6BDC">
        <w:rPr>
          <w:vertAlign w:val="superscript"/>
        </w:rPr>
        <w:t>4</w:t>
      </w:r>
      <w:r w:rsidRPr="005A6BDC">
        <w:t>Current address: School of Biomedical Engineering and Institute of Medical Robotics, Shanghai Jiao Tong University, China</w:t>
      </w:r>
    </w:p>
    <w:p w14:paraId="7804C245" w14:textId="77777777" w:rsidR="00167797" w:rsidRPr="006E0F46" w:rsidRDefault="00167797" w:rsidP="00167797">
      <w:pPr>
        <w:jc w:val="center"/>
      </w:pPr>
      <w:r>
        <w:rPr>
          <w:vertAlign w:val="superscript"/>
        </w:rPr>
        <w:t>5</w:t>
      </w:r>
      <w:r w:rsidRPr="006E0F46">
        <w:t xml:space="preserve"> Institute for Molecular Systems Engineering and Advanced Materials, Heidelberg University, INF 255, 69120 Heidelberg, Germany</w:t>
      </w:r>
    </w:p>
    <w:p w14:paraId="699DBA30" w14:textId="77777777" w:rsidR="00167797" w:rsidRPr="006E0F46" w:rsidRDefault="00167797" w:rsidP="00167797">
      <w:pPr>
        <w:jc w:val="center"/>
      </w:pPr>
      <w:r>
        <w:rPr>
          <w:vertAlign w:val="superscript"/>
        </w:rPr>
        <w:t>6</w:t>
      </w:r>
      <w:r w:rsidRPr="006E0F46">
        <w:t xml:space="preserve"> Max Planck Institute for Medical Research, Jahnstrasse 29, 69120 Heidelberg, Germany</w:t>
      </w:r>
    </w:p>
    <w:p w14:paraId="62FCBDA5" w14:textId="77777777" w:rsidR="00167797" w:rsidRPr="006E0F46" w:rsidRDefault="00167797" w:rsidP="00167797">
      <w:pPr>
        <w:jc w:val="center"/>
      </w:pPr>
      <w:r>
        <w:rPr>
          <w:vertAlign w:val="superscript"/>
        </w:rPr>
        <w:t>7</w:t>
      </w:r>
      <w:r w:rsidRPr="006E0F46">
        <w:t xml:space="preserve"> Walker Department of Mechanical Engineering, University of Texas at Austin, Austin, TX 78712, USA</w:t>
      </w:r>
    </w:p>
    <w:p w14:paraId="40D7CE38" w14:textId="77777777" w:rsidR="00290FD7" w:rsidRDefault="00290FD7" w:rsidP="002A3AE4">
      <w:pPr>
        <w:jc w:val="center"/>
      </w:pPr>
    </w:p>
    <w:p w14:paraId="2E318E1B" w14:textId="77777777" w:rsidR="002A3AE4" w:rsidRPr="002A3AE4" w:rsidRDefault="002A3AE4" w:rsidP="002A3AE4"/>
    <w:p w14:paraId="175B4E47" w14:textId="07E5E893" w:rsidR="00CD0938" w:rsidRDefault="002E51B0" w:rsidP="00CD0938">
      <w:r>
        <w:rPr>
          <w:noProof/>
          <w:lang w:eastAsia="en-US"/>
        </w:rPr>
        <w:drawing>
          <wp:inline distT="0" distB="0" distL="0" distR="0" wp14:anchorId="12CD083E" wp14:editId="260CF0B6">
            <wp:extent cx="3365500" cy="2692400"/>
            <wp:effectExtent l="0" t="0" r="6350" b="0"/>
            <wp:docPr id="13946623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73126" cy="2698501"/>
                    </a:xfrm>
                    <a:prstGeom prst="rect">
                      <a:avLst/>
                    </a:prstGeom>
                    <a:noFill/>
                    <a:ln>
                      <a:noFill/>
                    </a:ln>
                  </pic:spPr>
                </pic:pic>
              </a:graphicData>
            </a:graphic>
          </wp:inline>
        </w:drawing>
      </w:r>
    </w:p>
    <w:p w14:paraId="55E9BD69" w14:textId="5792EFDB" w:rsidR="00CD0938" w:rsidRDefault="00CD0938" w:rsidP="00CD0938">
      <w:pPr>
        <w:pStyle w:val="Caption"/>
        <w:jc w:val="both"/>
        <w:rPr>
          <w:sz w:val="22"/>
          <w:szCs w:val="22"/>
        </w:rPr>
      </w:pPr>
      <w:r w:rsidRPr="00351084">
        <w:rPr>
          <w:sz w:val="22"/>
          <w:szCs w:val="22"/>
        </w:rPr>
        <w:t xml:space="preserve">Figure </w:t>
      </w:r>
      <w:r>
        <w:rPr>
          <w:sz w:val="22"/>
          <w:szCs w:val="22"/>
        </w:rPr>
        <w:t>S</w:t>
      </w:r>
      <w:r w:rsidR="00354907">
        <w:rPr>
          <w:sz w:val="22"/>
          <w:szCs w:val="22"/>
        </w:rPr>
        <w:t>1</w:t>
      </w:r>
      <w:r w:rsidRPr="00351084">
        <w:rPr>
          <w:sz w:val="22"/>
          <w:szCs w:val="22"/>
        </w:rPr>
        <w:t xml:space="preserve">. </w:t>
      </w:r>
      <w:r w:rsidR="00376CAA">
        <w:rPr>
          <w:sz w:val="22"/>
          <w:szCs w:val="22"/>
        </w:rPr>
        <w:t xml:space="preserve">Voltage sweep from +4 V to -4 V of the </w:t>
      </w:r>
      <w:r w:rsidR="00376CAA" w:rsidRPr="00CD0938">
        <w:rPr>
          <w:sz w:val="22"/>
          <w:szCs w:val="22"/>
        </w:rPr>
        <w:t xml:space="preserve">α-Si:H </w:t>
      </w:r>
      <w:r w:rsidR="00376CAA">
        <w:rPr>
          <w:sz w:val="22"/>
          <w:szCs w:val="22"/>
        </w:rPr>
        <w:t>sample used in this work.</w:t>
      </w:r>
    </w:p>
    <w:p w14:paraId="5AED1FCC" w14:textId="77777777" w:rsidR="00CD0938" w:rsidRDefault="00CD0938" w:rsidP="00CD0938"/>
    <w:p w14:paraId="218B44D9" w14:textId="4CF2B704" w:rsidR="00CD0938" w:rsidRDefault="002E51B0" w:rsidP="00CD0938">
      <w:r>
        <w:rPr>
          <w:noProof/>
          <w:lang w:eastAsia="en-US"/>
          <w14:ligatures w14:val="standardContextual"/>
        </w:rPr>
        <w:lastRenderedPageBreak/>
        <w:drawing>
          <wp:inline distT="0" distB="0" distL="0" distR="0" wp14:anchorId="796EFE9A" wp14:editId="5A599AA5">
            <wp:extent cx="4283179" cy="3208866"/>
            <wp:effectExtent l="0" t="0" r="3175" b="0"/>
            <wp:docPr id="1470898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7989" cy="3212469"/>
                    </a:xfrm>
                    <a:prstGeom prst="rect">
                      <a:avLst/>
                    </a:prstGeom>
                    <a:noFill/>
                    <a:ln>
                      <a:noFill/>
                    </a:ln>
                  </pic:spPr>
                </pic:pic>
              </a:graphicData>
            </a:graphic>
          </wp:inline>
        </w:drawing>
      </w:r>
    </w:p>
    <w:p w14:paraId="5CBDDE24" w14:textId="57E3EB82" w:rsidR="00CD0938" w:rsidRPr="00CD0938" w:rsidRDefault="00CD0938" w:rsidP="00CD0938">
      <w:pPr>
        <w:pStyle w:val="Caption"/>
        <w:jc w:val="both"/>
        <w:rPr>
          <w:sz w:val="22"/>
          <w:szCs w:val="22"/>
        </w:rPr>
      </w:pPr>
      <w:r w:rsidRPr="004B664D">
        <w:rPr>
          <w:sz w:val="22"/>
          <w:szCs w:val="22"/>
        </w:rPr>
        <w:t>Figure S</w:t>
      </w:r>
      <w:r w:rsidR="00354907">
        <w:rPr>
          <w:sz w:val="22"/>
          <w:szCs w:val="22"/>
        </w:rPr>
        <w:t>2</w:t>
      </w:r>
      <w:r w:rsidRPr="004B664D">
        <w:rPr>
          <w:sz w:val="22"/>
          <w:szCs w:val="22"/>
        </w:rPr>
        <w:t xml:space="preserve">. </w:t>
      </w:r>
      <w:r w:rsidR="00866697">
        <w:rPr>
          <w:sz w:val="22"/>
          <w:szCs w:val="22"/>
        </w:rPr>
        <w:t>S</w:t>
      </w:r>
      <w:r w:rsidRPr="004B664D">
        <w:rPr>
          <w:sz w:val="22"/>
          <w:szCs w:val="22"/>
        </w:rPr>
        <w:t xml:space="preserve">imulation results of heat generated by a </w:t>
      </w:r>
      <w:r w:rsidR="005A6BDC">
        <w:rPr>
          <w:sz w:val="22"/>
          <w:szCs w:val="22"/>
        </w:rPr>
        <w:t xml:space="preserve">focused </w:t>
      </w:r>
      <w:r w:rsidRPr="004B664D">
        <w:rPr>
          <w:sz w:val="22"/>
          <w:szCs w:val="22"/>
        </w:rPr>
        <w:t>532</w:t>
      </w:r>
      <w:r>
        <w:rPr>
          <w:sz w:val="22"/>
          <w:szCs w:val="22"/>
        </w:rPr>
        <w:t xml:space="preserve"> </w:t>
      </w:r>
      <w:r w:rsidRPr="004B664D">
        <w:rPr>
          <w:sz w:val="22"/>
          <w:szCs w:val="22"/>
        </w:rPr>
        <w:t>nm laser</w:t>
      </w:r>
      <w:r w:rsidR="005A6BDC">
        <w:rPr>
          <w:sz w:val="22"/>
          <w:szCs w:val="22"/>
        </w:rPr>
        <w:t xml:space="preserve"> with an intensity of </w:t>
      </w:r>
      <w:r w:rsidR="005A6BDC" w:rsidRPr="004B664D">
        <w:rPr>
          <w:sz w:val="22"/>
          <w:szCs w:val="22"/>
        </w:rPr>
        <w:t>100</w:t>
      </w:r>
      <w:r w:rsidR="005A6BDC">
        <w:rPr>
          <w:sz w:val="22"/>
          <w:szCs w:val="22"/>
        </w:rPr>
        <w:t xml:space="preserve"> </w:t>
      </w:r>
      <w:r w:rsidR="005A6BDC" w:rsidRPr="004B664D">
        <w:rPr>
          <w:sz w:val="22"/>
          <w:szCs w:val="22"/>
        </w:rPr>
        <w:t>mW/cm</w:t>
      </w:r>
      <w:r w:rsidR="005A6BDC" w:rsidRPr="004B664D">
        <w:rPr>
          <w:sz w:val="22"/>
          <w:szCs w:val="22"/>
          <w:vertAlign w:val="superscript"/>
        </w:rPr>
        <w:t>2</w:t>
      </w:r>
      <w:r w:rsidRPr="004B664D">
        <w:rPr>
          <w:sz w:val="22"/>
          <w:szCs w:val="22"/>
        </w:rPr>
        <w:t>.</w:t>
      </w:r>
    </w:p>
    <w:p w14:paraId="19980B29" w14:textId="01C190A6" w:rsidR="00E6379C" w:rsidRDefault="00E82E99">
      <w:r>
        <w:rPr>
          <w:noProof/>
          <w:lang w:eastAsia="en-US"/>
        </w:rPr>
        <w:drawing>
          <wp:inline distT="0" distB="0" distL="0" distR="0" wp14:anchorId="645A6B80" wp14:editId="55AE2552">
            <wp:extent cx="4228157" cy="3124412"/>
            <wp:effectExtent l="0" t="0" r="1270" b="0"/>
            <wp:docPr id="2573455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34528" cy="3129120"/>
                    </a:xfrm>
                    <a:prstGeom prst="rect">
                      <a:avLst/>
                    </a:prstGeom>
                    <a:noFill/>
                    <a:ln>
                      <a:noFill/>
                    </a:ln>
                  </pic:spPr>
                </pic:pic>
              </a:graphicData>
            </a:graphic>
          </wp:inline>
        </w:drawing>
      </w:r>
    </w:p>
    <w:p w14:paraId="7E1BEEE9" w14:textId="43B58E86" w:rsidR="00E6379C" w:rsidRDefault="00E6379C" w:rsidP="00E6379C">
      <w:pPr>
        <w:pStyle w:val="Caption"/>
        <w:jc w:val="both"/>
        <w:rPr>
          <w:sz w:val="22"/>
          <w:szCs w:val="22"/>
        </w:rPr>
      </w:pPr>
      <w:r w:rsidRPr="00351084">
        <w:rPr>
          <w:sz w:val="22"/>
          <w:szCs w:val="22"/>
        </w:rPr>
        <w:t xml:space="preserve">Figure </w:t>
      </w:r>
      <w:r>
        <w:rPr>
          <w:sz w:val="22"/>
          <w:szCs w:val="22"/>
        </w:rPr>
        <w:t>S</w:t>
      </w:r>
      <w:r w:rsidR="00354907">
        <w:rPr>
          <w:sz w:val="22"/>
          <w:szCs w:val="22"/>
        </w:rPr>
        <w:t>3</w:t>
      </w:r>
      <w:r w:rsidRPr="00351084">
        <w:rPr>
          <w:sz w:val="22"/>
          <w:szCs w:val="22"/>
        </w:rPr>
        <w:t xml:space="preserve">. </w:t>
      </w:r>
      <w:r w:rsidR="00E82E99">
        <w:rPr>
          <w:sz w:val="22"/>
          <w:szCs w:val="22"/>
        </w:rPr>
        <w:t>P</w:t>
      </w:r>
      <w:r>
        <w:rPr>
          <w:sz w:val="22"/>
          <w:szCs w:val="22"/>
        </w:rPr>
        <w:t xml:space="preserve">hotocurrent measurement results of </w:t>
      </w:r>
      <w:r w:rsidR="00E82E99">
        <w:rPr>
          <w:sz w:val="22"/>
          <w:szCs w:val="22"/>
        </w:rPr>
        <w:t xml:space="preserve">an </w:t>
      </w:r>
      <w:r w:rsidR="002B5E8D" w:rsidRPr="00CD0938">
        <w:rPr>
          <w:sz w:val="22"/>
          <w:szCs w:val="22"/>
        </w:rPr>
        <w:t xml:space="preserve">α-Si:H </w:t>
      </w:r>
      <w:r>
        <w:rPr>
          <w:sz w:val="22"/>
          <w:szCs w:val="22"/>
        </w:rPr>
        <w:t>sample.</w:t>
      </w:r>
    </w:p>
    <w:p w14:paraId="0F78FF3F" w14:textId="2FE4D274" w:rsidR="00F37F92" w:rsidRDefault="00F37F92" w:rsidP="00F37F92"/>
    <w:p w14:paraId="2FDB4455" w14:textId="615692DE" w:rsidR="00E6379C" w:rsidRPr="00E6379C" w:rsidRDefault="00D3653D" w:rsidP="00E6379C">
      <w:r>
        <w:rPr>
          <w:noProof/>
          <w:lang w:eastAsia="en-US"/>
        </w:rPr>
        <w:lastRenderedPageBreak/>
        <w:drawing>
          <wp:inline distT="0" distB="0" distL="0" distR="0" wp14:anchorId="18A5B202" wp14:editId="7FD1403E">
            <wp:extent cx="2530111" cy="2371725"/>
            <wp:effectExtent l="0" t="0" r="3810" b="0"/>
            <wp:docPr id="16575960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4990" cy="2376298"/>
                    </a:xfrm>
                    <a:prstGeom prst="rect">
                      <a:avLst/>
                    </a:prstGeom>
                    <a:noFill/>
                    <a:ln>
                      <a:noFill/>
                    </a:ln>
                  </pic:spPr>
                </pic:pic>
              </a:graphicData>
            </a:graphic>
          </wp:inline>
        </w:drawing>
      </w:r>
    </w:p>
    <w:p w14:paraId="0C2F2D84" w14:textId="7E6638A4" w:rsidR="00F37F92" w:rsidRDefault="00C221AB" w:rsidP="00C221AB">
      <w:pPr>
        <w:pStyle w:val="Caption"/>
        <w:jc w:val="both"/>
        <w:rPr>
          <w:sz w:val="22"/>
          <w:szCs w:val="22"/>
        </w:rPr>
      </w:pPr>
      <w:r w:rsidRPr="00D3653D">
        <w:rPr>
          <w:sz w:val="22"/>
          <w:szCs w:val="22"/>
        </w:rPr>
        <w:t>Figure S</w:t>
      </w:r>
      <w:r w:rsidR="00354907">
        <w:rPr>
          <w:sz w:val="22"/>
          <w:szCs w:val="22"/>
        </w:rPr>
        <w:t>4</w:t>
      </w:r>
      <w:r w:rsidRPr="00D3653D">
        <w:rPr>
          <w:sz w:val="22"/>
          <w:szCs w:val="22"/>
        </w:rPr>
        <w:t xml:space="preserve">. </w:t>
      </w:r>
      <w:r w:rsidR="00F37F92">
        <w:rPr>
          <w:sz w:val="22"/>
          <w:szCs w:val="22"/>
        </w:rPr>
        <w:t>Coffee ring patterns form when the surface is h</w:t>
      </w:r>
      <w:r w:rsidRPr="00C221AB">
        <w:rPr>
          <w:sz w:val="22"/>
          <w:szCs w:val="22"/>
        </w:rPr>
        <w:t xml:space="preserve">ydrophobic. Image has been enhanced </w:t>
      </w:r>
      <w:r w:rsidR="005A6BDC">
        <w:rPr>
          <w:sz w:val="22"/>
          <w:szCs w:val="22"/>
        </w:rPr>
        <w:t xml:space="preserve">by adjusting the </w:t>
      </w:r>
      <w:r w:rsidRPr="00C221AB">
        <w:rPr>
          <w:sz w:val="22"/>
          <w:szCs w:val="22"/>
        </w:rPr>
        <w:t xml:space="preserve">contrast / brightness / sharpness to </w:t>
      </w:r>
      <w:r w:rsidR="005A6BDC">
        <w:rPr>
          <w:sz w:val="22"/>
          <w:szCs w:val="22"/>
        </w:rPr>
        <w:t xml:space="preserve">show more clearly the </w:t>
      </w:r>
      <w:r w:rsidRPr="00C221AB">
        <w:rPr>
          <w:sz w:val="22"/>
          <w:szCs w:val="22"/>
        </w:rPr>
        <w:t>deposited particles. Scale bar: 50</w:t>
      </w:r>
      <w:r w:rsidR="00F47E36">
        <w:rPr>
          <w:sz w:val="22"/>
          <w:szCs w:val="22"/>
        </w:rPr>
        <w:t xml:space="preserve"> </w:t>
      </w:r>
      <w:r w:rsidR="005A6BDC" w:rsidRPr="002E51B0">
        <w:rPr>
          <w:sz w:val="22"/>
          <w:szCs w:val="22"/>
        </w:rPr>
        <w:t>μ</w:t>
      </w:r>
      <w:r w:rsidRPr="00C221AB">
        <w:rPr>
          <w:sz w:val="22"/>
          <w:szCs w:val="22"/>
        </w:rPr>
        <w:t xml:space="preserve">m. </w:t>
      </w:r>
    </w:p>
    <w:p w14:paraId="086872FA" w14:textId="1785E9E4" w:rsidR="00354907" w:rsidRDefault="00354907" w:rsidP="00354907">
      <w:r>
        <w:rPr>
          <w:noProof/>
        </w:rPr>
        <w:drawing>
          <wp:inline distT="0" distB="0" distL="0" distR="0" wp14:anchorId="68299D73" wp14:editId="5191580E">
            <wp:extent cx="3174553" cy="2852928"/>
            <wp:effectExtent l="0" t="0" r="6985" b="5080"/>
            <wp:docPr id="3743668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81106" cy="2858817"/>
                    </a:xfrm>
                    <a:prstGeom prst="rect">
                      <a:avLst/>
                    </a:prstGeom>
                    <a:noFill/>
                    <a:ln>
                      <a:noFill/>
                    </a:ln>
                  </pic:spPr>
                </pic:pic>
              </a:graphicData>
            </a:graphic>
          </wp:inline>
        </w:drawing>
      </w:r>
    </w:p>
    <w:p w14:paraId="11233CA1" w14:textId="610F9F09" w:rsidR="00354907" w:rsidRDefault="00354907" w:rsidP="00354907">
      <w:pPr>
        <w:pStyle w:val="Caption"/>
        <w:jc w:val="both"/>
        <w:rPr>
          <w:sz w:val="22"/>
          <w:szCs w:val="22"/>
        </w:rPr>
      </w:pPr>
      <w:r w:rsidRPr="00D3653D">
        <w:rPr>
          <w:sz w:val="22"/>
          <w:szCs w:val="22"/>
        </w:rPr>
        <w:t>Figure S</w:t>
      </w:r>
      <w:r>
        <w:rPr>
          <w:sz w:val="22"/>
          <w:szCs w:val="22"/>
        </w:rPr>
        <w:t>5</w:t>
      </w:r>
      <w:r w:rsidRPr="00D3653D">
        <w:rPr>
          <w:sz w:val="22"/>
          <w:szCs w:val="22"/>
        </w:rPr>
        <w:t xml:space="preserve">. </w:t>
      </w:r>
      <w:r w:rsidRPr="00354907">
        <w:rPr>
          <w:sz w:val="22"/>
          <w:szCs w:val="22"/>
        </w:rPr>
        <w:t xml:space="preserve">The </w:t>
      </w:r>
      <w:r>
        <w:rPr>
          <w:sz w:val="22"/>
          <w:szCs w:val="22"/>
        </w:rPr>
        <w:t>center of the bubble</w:t>
      </w:r>
      <w:r w:rsidRPr="00354907">
        <w:rPr>
          <w:sz w:val="22"/>
          <w:szCs w:val="22"/>
        </w:rPr>
        <w:t xml:space="preserve"> </w:t>
      </w:r>
      <w:r>
        <w:rPr>
          <w:sz w:val="22"/>
          <w:szCs w:val="22"/>
        </w:rPr>
        <w:t xml:space="preserve">position </w:t>
      </w:r>
      <w:r w:rsidRPr="00354907">
        <w:rPr>
          <w:sz w:val="22"/>
          <w:szCs w:val="22"/>
        </w:rPr>
        <w:t xml:space="preserve">is within </w:t>
      </w:r>
      <w:r>
        <w:rPr>
          <w:sz w:val="22"/>
          <w:szCs w:val="22"/>
        </w:rPr>
        <w:t>2.45</w:t>
      </w:r>
      <w:r w:rsidRPr="00354907">
        <w:rPr>
          <w:sz w:val="22"/>
          <w:szCs w:val="22"/>
        </w:rPr>
        <w:t xml:space="preserve"> ± </w:t>
      </w:r>
      <w:r>
        <w:rPr>
          <w:sz w:val="22"/>
          <w:szCs w:val="22"/>
        </w:rPr>
        <w:t>1.08</w:t>
      </w:r>
      <w:r w:rsidRPr="00354907">
        <w:rPr>
          <w:sz w:val="22"/>
          <w:szCs w:val="22"/>
        </w:rPr>
        <w:t xml:space="preserve"> μm relative to the center of the </w:t>
      </w:r>
      <w:r>
        <w:rPr>
          <w:sz w:val="22"/>
          <w:szCs w:val="22"/>
        </w:rPr>
        <w:t>laser spot</w:t>
      </w:r>
      <w:r w:rsidRPr="00354907">
        <w:rPr>
          <w:sz w:val="22"/>
          <w:szCs w:val="22"/>
        </w:rPr>
        <w:t>.</w:t>
      </w:r>
    </w:p>
    <w:p w14:paraId="462B95EB" w14:textId="77777777" w:rsidR="00354907" w:rsidRPr="00354907" w:rsidRDefault="00354907" w:rsidP="00354907"/>
    <w:p w14:paraId="4A3186B1" w14:textId="1B59B9E0" w:rsidR="00C221AB" w:rsidRDefault="002E51B0" w:rsidP="00C221AB">
      <w:pPr>
        <w:pStyle w:val="Caption"/>
        <w:jc w:val="both"/>
        <w:rPr>
          <w:sz w:val="22"/>
          <w:szCs w:val="22"/>
        </w:rPr>
      </w:pPr>
      <w:r>
        <w:rPr>
          <w:noProof/>
          <w:sz w:val="22"/>
          <w:szCs w:val="22"/>
          <w:lang w:eastAsia="en-US"/>
        </w:rPr>
        <w:lastRenderedPageBreak/>
        <w:drawing>
          <wp:inline distT="0" distB="0" distL="0" distR="0" wp14:anchorId="4446B7B4" wp14:editId="7FC3F34C">
            <wp:extent cx="5943600" cy="3141345"/>
            <wp:effectExtent l="0" t="0" r="0" b="1905"/>
            <wp:docPr id="15270226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141345"/>
                    </a:xfrm>
                    <a:prstGeom prst="rect">
                      <a:avLst/>
                    </a:prstGeom>
                    <a:noFill/>
                    <a:ln>
                      <a:noFill/>
                    </a:ln>
                  </pic:spPr>
                </pic:pic>
              </a:graphicData>
            </a:graphic>
          </wp:inline>
        </w:drawing>
      </w:r>
    </w:p>
    <w:p w14:paraId="668B6F7B" w14:textId="7A1E7AD4" w:rsidR="009326A6" w:rsidRDefault="00F37F92" w:rsidP="007F20EC">
      <w:pPr>
        <w:pStyle w:val="Caption"/>
        <w:jc w:val="both"/>
        <w:rPr>
          <w:sz w:val="22"/>
          <w:szCs w:val="22"/>
        </w:rPr>
      </w:pPr>
      <w:r w:rsidRPr="00351084">
        <w:rPr>
          <w:sz w:val="22"/>
          <w:szCs w:val="22"/>
        </w:rPr>
        <w:t xml:space="preserve">Figure </w:t>
      </w:r>
      <w:r>
        <w:rPr>
          <w:sz w:val="22"/>
          <w:szCs w:val="22"/>
        </w:rPr>
        <w:t>S</w:t>
      </w:r>
      <w:r w:rsidR="00106D15">
        <w:rPr>
          <w:sz w:val="22"/>
          <w:szCs w:val="22"/>
        </w:rPr>
        <w:t>6</w:t>
      </w:r>
      <w:r w:rsidRPr="00351084">
        <w:rPr>
          <w:sz w:val="22"/>
          <w:szCs w:val="22"/>
        </w:rPr>
        <w:t xml:space="preserve">. </w:t>
      </w:r>
      <w:r w:rsidRPr="00F37F92">
        <w:rPr>
          <w:sz w:val="22"/>
          <w:szCs w:val="22"/>
        </w:rPr>
        <w:t xml:space="preserve">Laser patterns used for line thickness vs bubble pattern determination: a) 8 </w:t>
      </w:r>
      <w:r w:rsidR="005A6BDC" w:rsidRPr="002E51B0">
        <w:rPr>
          <w:sz w:val="22"/>
          <w:szCs w:val="22"/>
        </w:rPr>
        <w:t>μ</w:t>
      </w:r>
      <w:r w:rsidRPr="00F37F92">
        <w:rPr>
          <w:sz w:val="22"/>
          <w:szCs w:val="22"/>
        </w:rPr>
        <w:t xml:space="preserve">m, b) 16 </w:t>
      </w:r>
      <w:r w:rsidR="005A6BDC" w:rsidRPr="002E51B0">
        <w:rPr>
          <w:sz w:val="22"/>
          <w:szCs w:val="22"/>
        </w:rPr>
        <w:t>μ</w:t>
      </w:r>
      <w:r w:rsidRPr="00F37F92">
        <w:rPr>
          <w:sz w:val="22"/>
          <w:szCs w:val="22"/>
        </w:rPr>
        <w:t xml:space="preserve">m and c) 32 </w:t>
      </w:r>
      <w:r w:rsidR="005A6BDC" w:rsidRPr="002E51B0">
        <w:rPr>
          <w:sz w:val="22"/>
          <w:szCs w:val="22"/>
        </w:rPr>
        <w:t>μ</w:t>
      </w:r>
      <w:r w:rsidRPr="00F37F92">
        <w:rPr>
          <w:sz w:val="22"/>
          <w:szCs w:val="22"/>
        </w:rPr>
        <w:t>m</w:t>
      </w:r>
      <w:r>
        <w:rPr>
          <w:sz w:val="22"/>
          <w:szCs w:val="22"/>
        </w:rPr>
        <w:t>, and their corresponding bubble patterns</w:t>
      </w:r>
      <w:r w:rsidR="002E51B0">
        <w:rPr>
          <w:sz w:val="22"/>
          <w:szCs w:val="22"/>
        </w:rPr>
        <w:t>.</w:t>
      </w:r>
      <w:r>
        <w:rPr>
          <w:sz w:val="22"/>
          <w:szCs w:val="22"/>
        </w:rPr>
        <w:t xml:space="preserve"> d-f) </w:t>
      </w:r>
      <w:r w:rsidRPr="00F37F92">
        <w:rPr>
          <w:sz w:val="22"/>
          <w:szCs w:val="22"/>
        </w:rPr>
        <w:t xml:space="preserve">Scale bars: 50 </w:t>
      </w:r>
      <w:r w:rsidR="005A6BDC" w:rsidRPr="002E51B0">
        <w:rPr>
          <w:sz w:val="22"/>
          <w:szCs w:val="22"/>
        </w:rPr>
        <w:t>μ</w:t>
      </w:r>
      <w:r w:rsidRPr="00F37F92">
        <w:rPr>
          <w:sz w:val="22"/>
          <w:szCs w:val="22"/>
        </w:rPr>
        <w:t>m.</w:t>
      </w:r>
    </w:p>
    <w:p w14:paraId="5F73FB51" w14:textId="77777777" w:rsidR="0088218E" w:rsidRPr="0088218E" w:rsidRDefault="0088218E" w:rsidP="00F961EB"/>
    <w:p w14:paraId="427CEDBE" w14:textId="22636C9E" w:rsidR="002E51B0" w:rsidRDefault="002E51B0" w:rsidP="009326A6"/>
    <w:p w14:paraId="7DCC96FF" w14:textId="77777777" w:rsidR="00A64417" w:rsidRDefault="00A64417">
      <w:pPr>
        <w:rPr>
          <w:i/>
          <w:iCs/>
          <w:color w:val="44546A" w:themeColor="text2"/>
        </w:rPr>
      </w:pPr>
      <w:r>
        <w:br w:type="page"/>
      </w:r>
    </w:p>
    <w:p w14:paraId="383C2B4B" w14:textId="0044ABE3" w:rsidR="00A64417" w:rsidRDefault="00841038" w:rsidP="002E51B0">
      <w:pPr>
        <w:pStyle w:val="Caption"/>
        <w:jc w:val="both"/>
        <w:rPr>
          <w:sz w:val="22"/>
          <w:szCs w:val="22"/>
        </w:rPr>
      </w:pPr>
      <w:r>
        <w:rPr>
          <w:i w:val="0"/>
          <w:iCs w:val="0"/>
          <w:noProof/>
          <w:lang w:eastAsia="en-US"/>
          <w14:ligatures w14:val="standardContextual"/>
        </w:rPr>
        <w:lastRenderedPageBreak/>
        <mc:AlternateContent>
          <mc:Choice Requires="wps">
            <w:drawing>
              <wp:anchor distT="0" distB="0" distL="114300" distR="114300" simplePos="0" relativeHeight="251659264" behindDoc="0" locked="0" layoutInCell="1" allowOverlap="1" wp14:anchorId="2FA7B23E" wp14:editId="6684158C">
                <wp:simplePos x="0" y="0"/>
                <wp:positionH relativeFrom="margin">
                  <wp:posOffset>946150</wp:posOffset>
                </wp:positionH>
                <wp:positionV relativeFrom="paragraph">
                  <wp:posOffset>273050</wp:posOffset>
                </wp:positionV>
                <wp:extent cx="4533900" cy="698500"/>
                <wp:effectExtent l="0" t="0" r="0" b="6350"/>
                <wp:wrapNone/>
                <wp:docPr id="685937232" name="Text Box 2"/>
                <wp:cNvGraphicFramePr/>
                <a:graphic xmlns:a="http://schemas.openxmlformats.org/drawingml/2006/main">
                  <a:graphicData uri="http://schemas.microsoft.com/office/word/2010/wordprocessingShape">
                    <wps:wsp>
                      <wps:cNvSpPr txBox="1"/>
                      <wps:spPr>
                        <a:xfrm>
                          <a:off x="0" y="0"/>
                          <a:ext cx="4533900" cy="698500"/>
                        </a:xfrm>
                        <a:prstGeom prst="rect">
                          <a:avLst/>
                        </a:prstGeom>
                        <a:solidFill>
                          <a:schemeClr val="lt1"/>
                        </a:solidFill>
                        <a:ln w="6350">
                          <a:noFill/>
                        </a:ln>
                      </wps:spPr>
                      <wps:txbx>
                        <w:txbxContent>
                          <w:p w14:paraId="2F9ABD46" w14:textId="445B466C" w:rsidR="00B83FB5" w:rsidRDefault="00B83FB5" w:rsidP="00841038">
                            <w:pPr>
                              <w:pStyle w:val="Caption"/>
                              <w:jc w:val="both"/>
                              <w:rPr>
                                <w:sz w:val="22"/>
                                <w:szCs w:val="22"/>
                              </w:rPr>
                            </w:pPr>
                            <w:r w:rsidRPr="00351084">
                              <w:rPr>
                                <w:sz w:val="22"/>
                                <w:szCs w:val="22"/>
                              </w:rPr>
                              <w:t xml:space="preserve">Figure </w:t>
                            </w:r>
                            <w:r>
                              <w:rPr>
                                <w:sz w:val="22"/>
                                <w:szCs w:val="22"/>
                              </w:rPr>
                              <w:t>S7</w:t>
                            </w:r>
                            <w:r w:rsidRPr="00351084">
                              <w:rPr>
                                <w:sz w:val="22"/>
                                <w:szCs w:val="22"/>
                              </w:rPr>
                              <w:t xml:space="preserve">. </w:t>
                            </w:r>
                            <w:r w:rsidRPr="002E51B0">
                              <w:rPr>
                                <w:sz w:val="22"/>
                                <w:szCs w:val="22"/>
                              </w:rPr>
                              <w:t>Bubble-assisted large-scale assembling of ordered arrays of nanospheres (total length: 2</w:t>
                            </w:r>
                            <w:r>
                              <w:rPr>
                                <w:sz w:val="22"/>
                                <w:szCs w:val="22"/>
                              </w:rPr>
                              <w:t>.</w:t>
                            </w:r>
                            <w:r w:rsidRPr="002E51B0">
                              <w:rPr>
                                <w:sz w:val="22"/>
                                <w:szCs w:val="22"/>
                              </w:rPr>
                              <w:t>56</w:t>
                            </w:r>
                            <w:r>
                              <w:rPr>
                                <w:sz w:val="22"/>
                                <w:szCs w:val="22"/>
                              </w:rPr>
                              <w:t>m</w:t>
                            </w:r>
                            <w:r w:rsidRPr="002E51B0">
                              <w:rPr>
                                <w:sz w:val="22"/>
                                <w:szCs w:val="22"/>
                              </w:rPr>
                              <w:t>m). Scale bar: 100 μm.</w:t>
                            </w:r>
                            <w:r>
                              <w:rPr>
                                <w:sz w:val="22"/>
                                <w:szCs w:val="22"/>
                              </w:rPr>
                              <w:t xml:space="preserve"> </w:t>
                            </w:r>
                          </w:p>
                          <w:p w14:paraId="252A53EB" w14:textId="109141EC" w:rsidR="00B83FB5" w:rsidRDefault="00B83F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A7B23E" id="_x0000_t202" coordsize="21600,21600" o:spt="202" path="m,l,21600r21600,l21600,xe">
                <v:stroke joinstyle="miter"/>
                <v:path gradientshapeok="t" o:connecttype="rect"/>
              </v:shapetype>
              <v:shape id="Text Box 2" o:spid="_x0000_s1026" type="#_x0000_t202" style="position:absolute;left:0;text-align:left;margin-left:74.5pt;margin-top:21.5pt;width:357pt;height: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" fillcolor="white [3201]" stroked="f" strokeweight=".5pt">
                <v:textbox>
                  <w:txbxContent>
                    <w:p w14:paraId="2F9ABD46" w14:textId="445B466C" w:rsidR="00B83FB5" w:rsidRDefault="00B83FB5" w:rsidP="00841038">
                      <w:pPr>
                        <w:pStyle w:val="Caption"/>
                        <w:jc w:val="both"/>
                        <w:rPr>
                          <w:sz w:val="22"/>
                          <w:szCs w:val="22"/>
                        </w:rPr>
                      </w:pPr>
                      <w:r w:rsidRPr="00351084">
                        <w:rPr>
                          <w:sz w:val="22"/>
                          <w:szCs w:val="22"/>
                        </w:rPr>
                        <w:t xml:space="preserve">Figure </w:t>
                      </w:r>
                      <w:r>
                        <w:rPr>
                          <w:sz w:val="22"/>
                          <w:szCs w:val="22"/>
                        </w:rPr>
                        <w:t>S7</w:t>
                      </w:r>
                      <w:r w:rsidRPr="00351084">
                        <w:rPr>
                          <w:sz w:val="22"/>
                          <w:szCs w:val="22"/>
                        </w:rPr>
                        <w:t xml:space="preserve">. </w:t>
                      </w:r>
                      <w:r w:rsidRPr="002E51B0">
                        <w:rPr>
                          <w:sz w:val="22"/>
                          <w:szCs w:val="22"/>
                        </w:rPr>
                        <w:t>Bubble-assisted large-scale assembling of ordered arrays of nanospheres (total length: 2</w:t>
                      </w:r>
                      <w:r>
                        <w:rPr>
                          <w:sz w:val="22"/>
                          <w:szCs w:val="22"/>
                        </w:rPr>
                        <w:t>.</w:t>
                      </w:r>
                      <w:r w:rsidRPr="002E51B0">
                        <w:rPr>
                          <w:sz w:val="22"/>
                          <w:szCs w:val="22"/>
                        </w:rPr>
                        <w:t>56</w:t>
                      </w:r>
                      <w:r>
                        <w:rPr>
                          <w:sz w:val="22"/>
                          <w:szCs w:val="22"/>
                        </w:rPr>
                        <w:t>m</w:t>
                      </w:r>
                      <w:r w:rsidRPr="002E51B0">
                        <w:rPr>
                          <w:sz w:val="22"/>
                          <w:szCs w:val="22"/>
                        </w:rPr>
                        <w:t>m). Scale bar: 100 μm.</w:t>
                      </w:r>
                      <w:r>
                        <w:rPr>
                          <w:sz w:val="22"/>
                          <w:szCs w:val="22"/>
                        </w:rPr>
                        <w:t xml:space="preserve"> </w:t>
                      </w:r>
                    </w:p>
                    <w:p w14:paraId="252A53EB" w14:textId="109141EC" w:rsidR="00B83FB5" w:rsidRDefault="00B83FB5"/>
                  </w:txbxContent>
                </v:textbox>
                <w10:wrap anchorx="margin"/>
              </v:shape>
            </w:pict>
          </mc:Fallback>
        </mc:AlternateContent>
      </w:r>
      <w:r w:rsidR="00F56CEB">
        <w:rPr>
          <w:noProof/>
          <w:sz w:val="22"/>
          <w:szCs w:val="22"/>
          <w:lang w:eastAsia="en-US"/>
        </w:rPr>
        <w:drawing>
          <wp:inline distT="0" distB="0" distL="0" distR="0" wp14:anchorId="09D46D41" wp14:editId="45F0DFB0">
            <wp:extent cx="8174475" cy="603250"/>
            <wp:effectExtent l="0" t="5397" r="0" b="0"/>
            <wp:docPr id="3463234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6200000">
                      <a:off x="0" y="0"/>
                      <a:ext cx="8183237" cy="603897"/>
                    </a:xfrm>
                    <a:prstGeom prst="rect">
                      <a:avLst/>
                    </a:prstGeom>
                    <a:noFill/>
                    <a:ln>
                      <a:noFill/>
                    </a:ln>
                  </pic:spPr>
                </pic:pic>
              </a:graphicData>
            </a:graphic>
          </wp:inline>
        </w:drawing>
      </w:r>
    </w:p>
    <w:p w14:paraId="2EA7569F" w14:textId="6F399FF0" w:rsidR="00A64417" w:rsidRDefault="00A64417" w:rsidP="002E51B0">
      <w:pPr>
        <w:pStyle w:val="Caption"/>
        <w:jc w:val="both"/>
        <w:rPr>
          <w:sz w:val="22"/>
          <w:szCs w:val="22"/>
        </w:rPr>
      </w:pPr>
    </w:p>
    <w:p w14:paraId="11A8BEE1" w14:textId="739346DF" w:rsidR="00ED37B3" w:rsidRPr="004E3BE7" w:rsidRDefault="005A451B" w:rsidP="00ED37B3">
      <w:pPr>
        <w:pStyle w:val="Caption"/>
        <w:jc w:val="both"/>
        <w:rPr>
          <w:rFonts w:cstheme="minorHAnsi"/>
          <w:sz w:val="22"/>
          <w:szCs w:val="22"/>
        </w:rPr>
      </w:pPr>
      <w:bookmarkStart w:id="0" w:name="_Hlk136534698"/>
      <w:bookmarkEnd w:id="0"/>
      <w:r>
        <w:rPr>
          <w:i w:val="0"/>
          <w:iCs w:val="0"/>
          <w:noProof/>
          <w:lang w:eastAsia="en-US"/>
        </w:rPr>
        <w:drawing>
          <wp:inline distT="0" distB="0" distL="0" distR="0" wp14:anchorId="07E0D514" wp14:editId="1EAF66AB">
            <wp:extent cx="5943600" cy="3810000"/>
            <wp:effectExtent l="0" t="0" r="0" b="0"/>
            <wp:docPr id="537003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810000"/>
                    </a:xfrm>
                    <a:prstGeom prst="rect">
                      <a:avLst/>
                    </a:prstGeom>
                    <a:noFill/>
                    <a:ln>
                      <a:noFill/>
                    </a:ln>
                  </pic:spPr>
                </pic:pic>
              </a:graphicData>
            </a:graphic>
          </wp:inline>
        </w:drawing>
      </w:r>
      <w:r w:rsidR="00ED37B3" w:rsidRPr="004E3BE7">
        <w:rPr>
          <w:rFonts w:cstheme="minorHAnsi"/>
          <w:sz w:val="22"/>
          <w:szCs w:val="22"/>
        </w:rPr>
        <w:t xml:space="preserve">Figure </w:t>
      </w:r>
      <w:r w:rsidR="00FE25C1" w:rsidRPr="004E3BE7">
        <w:rPr>
          <w:rFonts w:cstheme="minorHAnsi"/>
          <w:sz w:val="22"/>
          <w:szCs w:val="22"/>
        </w:rPr>
        <w:t>S</w:t>
      </w:r>
      <w:r w:rsidR="00FE25C1">
        <w:rPr>
          <w:rFonts w:cstheme="minorHAnsi"/>
          <w:sz w:val="22"/>
          <w:szCs w:val="22"/>
        </w:rPr>
        <w:t>8</w:t>
      </w:r>
      <w:r w:rsidR="00ED37B3" w:rsidRPr="004E3BE7">
        <w:rPr>
          <w:rFonts w:cstheme="minorHAnsi"/>
          <w:sz w:val="22"/>
          <w:szCs w:val="22"/>
        </w:rPr>
        <w:t>. a) Fluorescent and b</w:t>
      </w:r>
      <w:r w:rsidR="00F61245" w:rsidRPr="004E3BE7">
        <w:rPr>
          <w:rFonts w:cstheme="minorHAnsi"/>
          <w:sz w:val="22"/>
          <w:szCs w:val="22"/>
        </w:rPr>
        <w:t>-c</w:t>
      </w:r>
      <w:r w:rsidR="00ED37B3" w:rsidRPr="004E3BE7">
        <w:rPr>
          <w:rFonts w:cstheme="minorHAnsi"/>
          <w:sz w:val="22"/>
          <w:szCs w:val="22"/>
        </w:rPr>
        <w:t xml:space="preserve">) SEM images of 2 x 2 PS sphere deposits on a negatively charged surface. </w:t>
      </w:r>
      <w:r w:rsidR="004E3BE7" w:rsidRPr="00DA6B15">
        <w:rPr>
          <w:rFonts w:cstheme="minorHAnsi"/>
          <w:sz w:val="22"/>
          <w:szCs w:val="22"/>
        </w:rPr>
        <w:t>Scale bars:</w:t>
      </w:r>
      <w:r w:rsidR="004E3BE7" w:rsidRPr="004E3BE7">
        <w:rPr>
          <w:rFonts w:cstheme="minorHAnsi"/>
          <w:sz w:val="22"/>
          <w:szCs w:val="22"/>
        </w:rPr>
        <w:t xml:space="preserve"> </w:t>
      </w:r>
      <w:r w:rsidR="004E3BE7" w:rsidRPr="00AB3BDB">
        <w:rPr>
          <w:rFonts w:cstheme="minorHAnsi"/>
          <w:sz w:val="22"/>
          <w:szCs w:val="22"/>
        </w:rPr>
        <w:t xml:space="preserve">25 </w:t>
      </w:r>
      <w:r w:rsidR="005A6BDC" w:rsidRPr="002E51B0">
        <w:rPr>
          <w:sz w:val="22"/>
          <w:szCs w:val="22"/>
        </w:rPr>
        <w:t>μ</w:t>
      </w:r>
      <w:r w:rsidR="004E3BE7" w:rsidRPr="00AB3BDB">
        <w:rPr>
          <w:rFonts w:cstheme="minorHAnsi"/>
          <w:sz w:val="22"/>
          <w:szCs w:val="22"/>
        </w:rPr>
        <w:t>m</w:t>
      </w:r>
      <w:r w:rsidR="004E3BE7" w:rsidRPr="004E3BE7">
        <w:rPr>
          <w:rFonts w:cstheme="minorHAnsi"/>
          <w:sz w:val="22"/>
          <w:szCs w:val="22"/>
        </w:rPr>
        <w:t xml:space="preserve">. </w:t>
      </w:r>
      <w:r w:rsidR="00F61245" w:rsidRPr="004E3BE7">
        <w:rPr>
          <w:rFonts w:cstheme="minorHAnsi"/>
          <w:sz w:val="22"/>
          <w:szCs w:val="22"/>
        </w:rPr>
        <w:t>d-e) SEM of</w:t>
      </w:r>
      <w:r w:rsidR="00A83E15">
        <w:rPr>
          <w:rFonts w:cstheme="minorHAnsi"/>
          <w:sz w:val="22"/>
          <w:szCs w:val="22"/>
        </w:rPr>
        <w:t xml:space="preserve"> a single</w:t>
      </w:r>
      <w:r w:rsidR="00F61245" w:rsidRPr="004E3BE7">
        <w:rPr>
          <w:rFonts w:cstheme="minorHAnsi"/>
          <w:sz w:val="22"/>
          <w:szCs w:val="22"/>
        </w:rPr>
        <w:t xml:space="preserve"> Ag nanoparticle assembly</w:t>
      </w:r>
      <w:r w:rsidR="00180B83" w:rsidRPr="004E3BE7">
        <w:rPr>
          <w:rFonts w:cstheme="minorHAnsi"/>
          <w:sz w:val="22"/>
          <w:szCs w:val="22"/>
        </w:rPr>
        <w:t xml:space="preserve"> on positively charged surface</w:t>
      </w:r>
      <w:r w:rsidR="00F61245" w:rsidRPr="004E3BE7">
        <w:rPr>
          <w:rFonts w:cstheme="minorHAnsi"/>
          <w:sz w:val="22"/>
          <w:szCs w:val="22"/>
        </w:rPr>
        <w:t xml:space="preserve">. </w:t>
      </w:r>
      <w:r w:rsidR="00ED37B3" w:rsidRPr="00AB3BDB">
        <w:rPr>
          <w:rFonts w:cstheme="minorHAnsi"/>
          <w:sz w:val="22"/>
          <w:szCs w:val="22"/>
        </w:rPr>
        <w:t xml:space="preserve">Scale bars: </w:t>
      </w:r>
      <w:r w:rsidR="004E3BE7" w:rsidRPr="00AB3BDB">
        <w:rPr>
          <w:rFonts w:cstheme="minorHAnsi"/>
          <w:sz w:val="22"/>
          <w:szCs w:val="22"/>
        </w:rPr>
        <w:t xml:space="preserve">10 </w:t>
      </w:r>
      <w:r w:rsidR="005A6BDC" w:rsidRPr="002E51B0">
        <w:rPr>
          <w:sz w:val="22"/>
          <w:szCs w:val="22"/>
        </w:rPr>
        <w:t>μ</w:t>
      </w:r>
      <w:r w:rsidR="004E3BE7" w:rsidRPr="004E3BE7">
        <w:rPr>
          <w:rFonts w:cstheme="minorHAnsi"/>
          <w:sz w:val="22"/>
          <w:szCs w:val="22"/>
        </w:rPr>
        <w:t>m</w:t>
      </w:r>
      <w:r w:rsidR="004E3BE7" w:rsidRPr="00AB3BDB">
        <w:rPr>
          <w:rFonts w:cstheme="minorHAnsi"/>
          <w:sz w:val="22"/>
          <w:szCs w:val="22"/>
        </w:rPr>
        <w:t xml:space="preserve">, 1 </w:t>
      </w:r>
      <w:r w:rsidR="005A6BDC" w:rsidRPr="002E51B0">
        <w:rPr>
          <w:sz w:val="22"/>
          <w:szCs w:val="22"/>
        </w:rPr>
        <w:t>μ</w:t>
      </w:r>
      <w:r w:rsidR="004E3BE7" w:rsidRPr="004E3BE7">
        <w:rPr>
          <w:rFonts w:cstheme="minorHAnsi"/>
          <w:sz w:val="22"/>
          <w:szCs w:val="22"/>
        </w:rPr>
        <w:t>m.</w:t>
      </w:r>
    </w:p>
    <w:p w14:paraId="2B48B587" w14:textId="77777777" w:rsidR="002E51B0" w:rsidRDefault="002E51B0" w:rsidP="009326A6"/>
    <w:p w14:paraId="4294B254" w14:textId="3830FCDC" w:rsidR="007F20EC" w:rsidRDefault="002E51B0" w:rsidP="00930485">
      <w:pPr>
        <w:pStyle w:val="Caption"/>
        <w:jc w:val="both"/>
        <w:rPr>
          <w:sz w:val="22"/>
          <w:szCs w:val="22"/>
        </w:rPr>
      </w:pPr>
      <w:r>
        <w:rPr>
          <w:noProof/>
          <w:sz w:val="22"/>
          <w:szCs w:val="22"/>
          <w:lang w:eastAsia="en-US"/>
        </w:rPr>
        <w:drawing>
          <wp:inline distT="0" distB="0" distL="0" distR="0" wp14:anchorId="0626FFC0" wp14:editId="26311678">
            <wp:extent cx="3042044" cy="2336800"/>
            <wp:effectExtent l="0" t="0" r="6350" b="6350"/>
            <wp:docPr id="93772752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5570" cy="2339509"/>
                    </a:xfrm>
                    <a:prstGeom prst="rect">
                      <a:avLst/>
                    </a:prstGeom>
                    <a:noFill/>
                    <a:ln>
                      <a:noFill/>
                    </a:ln>
                  </pic:spPr>
                </pic:pic>
              </a:graphicData>
            </a:graphic>
          </wp:inline>
        </w:drawing>
      </w:r>
    </w:p>
    <w:p w14:paraId="1FC4744D" w14:textId="74FF2E4E" w:rsidR="00930485" w:rsidRDefault="00930485" w:rsidP="00930485">
      <w:pPr>
        <w:pStyle w:val="Caption"/>
        <w:jc w:val="both"/>
        <w:rPr>
          <w:sz w:val="22"/>
          <w:szCs w:val="22"/>
        </w:rPr>
      </w:pPr>
      <w:r w:rsidRPr="00351084">
        <w:rPr>
          <w:sz w:val="22"/>
          <w:szCs w:val="22"/>
        </w:rPr>
        <w:t xml:space="preserve">Figure </w:t>
      </w:r>
      <w:r w:rsidR="00FE25C1">
        <w:rPr>
          <w:sz w:val="22"/>
          <w:szCs w:val="22"/>
        </w:rPr>
        <w:t>S9</w:t>
      </w:r>
      <w:r w:rsidRPr="00351084">
        <w:rPr>
          <w:sz w:val="22"/>
          <w:szCs w:val="22"/>
        </w:rPr>
        <w:t xml:space="preserve">. </w:t>
      </w:r>
      <w:r w:rsidR="00F61245">
        <w:rPr>
          <w:sz w:val="22"/>
          <w:szCs w:val="22"/>
        </w:rPr>
        <w:t xml:space="preserve">Optical image of </w:t>
      </w:r>
      <w:r w:rsidR="00B0119F">
        <w:rPr>
          <w:sz w:val="22"/>
          <w:szCs w:val="22"/>
        </w:rPr>
        <w:t xml:space="preserve">simultaneously </w:t>
      </w:r>
      <w:r w:rsidR="00F61245">
        <w:rPr>
          <w:sz w:val="22"/>
          <w:szCs w:val="22"/>
        </w:rPr>
        <w:t>deposited</w:t>
      </w:r>
      <w:r>
        <w:rPr>
          <w:sz w:val="22"/>
          <w:szCs w:val="22"/>
        </w:rPr>
        <w:t xml:space="preserve"> Ag nanoparticles in a 3x4 array. </w:t>
      </w:r>
      <w:r w:rsidRPr="00F37F92">
        <w:rPr>
          <w:sz w:val="22"/>
          <w:szCs w:val="22"/>
        </w:rPr>
        <w:t xml:space="preserve">Scale bar: </w:t>
      </w:r>
      <w:r w:rsidR="007F20EC">
        <w:rPr>
          <w:sz w:val="22"/>
          <w:szCs w:val="22"/>
        </w:rPr>
        <w:t xml:space="preserve">100 </w:t>
      </w:r>
      <w:r w:rsidR="005A6BDC" w:rsidRPr="002E51B0">
        <w:rPr>
          <w:sz w:val="22"/>
          <w:szCs w:val="22"/>
        </w:rPr>
        <w:t>μ</w:t>
      </w:r>
      <w:r w:rsidRPr="00F37F92">
        <w:rPr>
          <w:sz w:val="22"/>
          <w:szCs w:val="22"/>
        </w:rPr>
        <w:t>m.</w:t>
      </w:r>
    </w:p>
    <w:p w14:paraId="4C0610EF" w14:textId="77777777" w:rsidR="00930485" w:rsidRDefault="00930485" w:rsidP="009326A6"/>
    <w:p w14:paraId="10BDA140" w14:textId="77777777" w:rsidR="00354907" w:rsidRDefault="00354907" w:rsidP="00354907">
      <w:r>
        <w:rPr>
          <w:noProof/>
          <w:lang w:eastAsia="en-US"/>
        </w:rPr>
        <w:lastRenderedPageBreak/>
        <w:drawing>
          <wp:inline distT="0" distB="0" distL="0" distR="0" wp14:anchorId="0320D1B7" wp14:editId="1D1A0611">
            <wp:extent cx="5935345" cy="2446655"/>
            <wp:effectExtent l="0" t="0" r="8255" b="0"/>
            <wp:docPr id="594807398" name="Picture 1" descr="A diagram of a normalized laser p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807398" name="Picture 1" descr="A diagram of a normalized laser pow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5345" cy="2446655"/>
                    </a:xfrm>
                    <a:prstGeom prst="rect">
                      <a:avLst/>
                    </a:prstGeom>
                    <a:noFill/>
                    <a:ln>
                      <a:noFill/>
                    </a:ln>
                  </pic:spPr>
                </pic:pic>
              </a:graphicData>
            </a:graphic>
          </wp:inline>
        </w:drawing>
      </w:r>
    </w:p>
    <w:p w14:paraId="55DFBB49" w14:textId="6B7810EE" w:rsidR="00354907" w:rsidRDefault="00354907" w:rsidP="00354907">
      <w:pPr>
        <w:pStyle w:val="Caption"/>
        <w:jc w:val="both"/>
        <w:rPr>
          <w:sz w:val="22"/>
          <w:szCs w:val="22"/>
        </w:rPr>
      </w:pPr>
      <w:r w:rsidRPr="00351084">
        <w:rPr>
          <w:sz w:val="22"/>
          <w:szCs w:val="22"/>
        </w:rPr>
        <w:t xml:space="preserve">Figure </w:t>
      </w:r>
      <w:r>
        <w:rPr>
          <w:sz w:val="22"/>
          <w:szCs w:val="22"/>
        </w:rPr>
        <w:t>S</w:t>
      </w:r>
      <w:r w:rsidRPr="00351084">
        <w:rPr>
          <w:noProof/>
          <w:sz w:val="22"/>
          <w:szCs w:val="22"/>
        </w:rPr>
        <w:t>1</w:t>
      </w:r>
      <w:r>
        <w:rPr>
          <w:noProof/>
          <w:sz w:val="22"/>
          <w:szCs w:val="22"/>
        </w:rPr>
        <w:t>0</w:t>
      </w:r>
      <w:r w:rsidRPr="00351084">
        <w:rPr>
          <w:sz w:val="22"/>
          <w:szCs w:val="22"/>
        </w:rPr>
        <w:t xml:space="preserve">. a) </w:t>
      </w:r>
      <w:r>
        <w:rPr>
          <w:sz w:val="22"/>
          <w:szCs w:val="22"/>
        </w:rPr>
        <w:t>Original and b) normalized laser power vs relative position used for laser beam width determination with the 10/90 knife edge method.</w:t>
      </w:r>
    </w:p>
    <w:p w14:paraId="6464F952" w14:textId="77777777" w:rsidR="00354907" w:rsidRDefault="00354907" w:rsidP="009326A6"/>
    <w:p w14:paraId="61F11A73" w14:textId="155120D3" w:rsidR="009326A6" w:rsidRDefault="002E51B0" w:rsidP="009326A6">
      <w:r>
        <w:rPr>
          <w:noProof/>
          <w:lang w:eastAsia="en-US"/>
        </w:rPr>
        <w:drawing>
          <wp:inline distT="0" distB="0" distL="0" distR="0" wp14:anchorId="2DE15F7D" wp14:editId="519A37B6">
            <wp:extent cx="5139267" cy="2137518"/>
            <wp:effectExtent l="0" t="0" r="4445" b="0"/>
            <wp:docPr id="57466710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52559" cy="2143046"/>
                    </a:xfrm>
                    <a:prstGeom prst="rect">
                      <a:avLst/>
                    </a:prstGeom>
                    <a:noFill/>
                    <a:ln>
                      <a:noFill/>
                    </a:ln>
                  </pic:spPr>
                </pic:pic>
              </a:graphicData>
            </a:graphic>
          </wp:inline>
        </w:drawing>
      </w:r>
    </w:p>
    <w:p w14:paraId="393D9D83" w14:textId="3FC38A07" w:rsidR="009326A6" w:rsidRDefault="009326A6" w:rsidP="009326A6">
      <w:pPr>
        <w:pStyle w:val="Caption"/>
        <w:jc w:val="both"/>
        <w:rPr>
          <w:sz w:val="22"/>
          <w:szCs w:val="22"/>
        </w:rPr>
      </w:pPr>
      <w:r w:rsidRPr="00351084">
        <w:rPr>
          <w:sz w:val="22"/>
          <w:szCs w:val="22"/>
        </w:rPr>
        <w:t xml:space="preserve">Figure </w:t>
      </w:r>
      <w:r w:rsidR="00FE25C1">
        <w:rPr>
          <w:sz w:val="22"/>
          <w:szCs w:val="22"/>
        </w:rPr>
        <w:t>S1</w:t>
      </w:r>
      <w:r w:rsidR="00354907">
        <w:rPr>
          <w:sz w:val="22"/>
          <w:szCs w:val="22"/>
        </w:rPr>
        <w:t>1</w:t>
      </w:r>
      <w:r w:rsidRPr="00351084">
        <w:rPr>
          <w:sz w:val="22"/>
          <w:szCs w:val="22"/>
        </w:rPr>
        <w:t>.</w:t>
      </w:r>
      <w:r>
        <w:rPr>
          <w:sz w:val="22"/>
          <w:szCs w:val="22"/>
        </w:rPr>
        <w:t xml:space="preserve"> </w:t>
      </w:r>
      <w:r w:rsidRPr="009326A6">
        <w:rPr>
          <w:sz w:val="22"/>
          <w:szCs w:val="22"/>
        </w:rPr>
        <w:t xml:space="preserve">Analysis of bubble radius over time during bubble generation and collapse. </w:t>
      </w:r>
      <w:r>
        <w:rPr>
          <w:sz w:val="22"/>
          <w:szCs w:val="22"/>
        </w:rPr>
        <w:t xml:space="preserve">a) </w:t>
      </w:r>
      <w:r w:rsidRPr="009326A6">
        <w:rPr>
          <w:sz w:val="22"/>
          <w:szCs w:val="22"/>
        </w:rPr>
        <w:t xml:space="preserve">While most of the bubbles shrank similarly over time, </w:t>
      </w:r>
      <w:r>
        <w:rPr>
          <w:sz w:val="22"/>
          <w:szCs w:val="22"/>
        </w:rPr>
        <w:t xml:space="preserve">b) </w:t>
      </w:r>
      <w:r w:rsidRPr="009326A6">
        <w:rPr>
          <w:sz w:val="22"/>
          <w:szCs w:val="22"/>
        </w:rPr>
        <w:t>some bubbles showed a secondary expansion phase before shrinking again.</w:t>
      </w:r>
    </w:p>
    <w:p w14:paraId="52F4382D" w14:textId="76F64444" w:rsidR="00E6379C" w:rsidRDefault="00AB7518">
      <w:r>
        <w:t>aa</w:t>
      </w:r>
    </w:p>
    <w:p w14:paraId="1CC3A8CA" w14:textId="666C1C6F" w:rsidR="007F20EC" w:rsidRDefault="002E51B0" w:rsidP="007F20EC">
      <w:pPr>
        <w:pStyle w:val="Caption"/>
        <w:jc w:val="both"/>
        <w:rPr>
          <w:sz w:val="22"/>
          <w:szCs w:val="22"/>
        </w:rPr>
      </w:pPr>
      <w:r>
        <w:rPr>
          <w:noProof/>
          <w:sz w:val="22"/>
          <w:szCs w:val="22"/>
          <w:lang w:eastAsia="en-US"/>
        </w:rPr>
        <w:lastRenderedPageBreak/>
        <w:drawing>
          <wp:inline distT="0" distB="0" distL="0" distR="0" wp14:anchorId="30A176C8" wp14:editId="093EE62C">
            <wp:extent cx="3449904" cy="2853267"/>
            <wp:effectExtent l="0" t="0" r="0" b="4445"/>
            <wp:docPr id="26892648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54024" cy="2856674"/>
                    </a:xfrm>
                    <a:prstGeom prst="rect">
                      <a:avLst/>
                    </a:prstGeom>
                    <a:noFill/>
                    <a:ln>
                      <a:noFill/>
                    </a:ln>
                  </pic:spPr>
                </pic:pic>
              </a:graphicData>
            </a:graphic>
          </wp:inline>
        </w:drawing>
      </w:r>
    </w:p>
    <w:p w14:paraId="403F7A44" w14:textId="634802AD" w:rsidR="007F20EC" w:rsidRDefault="007F20EC" w:rsidP="007F20EC">
      <w:pPr>
        <w:pStyle w:val="Caption"/>
        <w:jc w:val="both"/>
        <w:rPr>
          <w:sz w:val="22"/>
          <w:szCs w:val="22"/>
        </w:rPr>
      </w:pPr>
      <w:r w:rsidRPr="00351084">
        <w:rPr>
          <w:sz w:val="22"/>
          <w:szCs w:val="22"/>
        </w:rPr>
        <w:t xml:space="preserve">Figure </w:t>
      </w:r>
      <w:r w:rsidR="00FE25C1">
        <w:rPr>
          <w:sz w:val="22"/>
          <w:szCs w:val="22"/>
        </w:rPr>
        <w:t>S1</w:t>
      </w:r>
      <w:r w:rsidR="00354907">
        <w:rPr>
          <w:sz w:val="22"/>
          <w:szCs w:val="22"/>
        </w:rPr>
        <w:t>2</w:t>
      </w:r>
      <w:r w:rsidRPr="00351084">
        <w:rPr>
          <w:sz w:val="22"/>
          <w:szCs w:val="22"/>
        </w:rPr>
        <w:t>.</w:t>
      </w:r>
      <w:r>
        <w:rPr>
          <w:sz w:val="22"/>
          <w:szCs w:val="22"/>
        </w:rPr>
        <w:t xml:space="preserve"> Surface Enhanced Raman Spectroscopy results taken at the background (blue line), on the silver aggregate without DEP attraction of E-coli (black line), and with DEP attraction of E-coli (red line).</w:t>
      </w:r>
    </w:p>
    <w:p w14:paraId="72354FBF" w14:textId="14E7AED0" w:rsidR="00074081" w:rsidRDefault="00074081"/>
    <w:p w14:paraId="276FE1DF" w14:textId="4D7D3173" w:rsidR="00185351" w:rsidRPr="00B0119F" w:rsidRDefault="00185351">
      <w:r w:rsidRPr="00B0119F">
        <w:rPr>
          <w:noProof/>
          <w:lang w:eastAsia="en-US"/>
        </w:rPr>
        <w:drawing>
          <wp:inline distT="0" distB="0" distL="0" distR="0" wp14:anchorId="22731A5C" wp14:editId="2B77CF2E">
            <wp:extent cx="5806440" cy="2166249"/>
            <wp:effectExtent l="0" t="0" r="3810" b="5715"/>
            <wp:docPr id="12046691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10973" cy="2167940"/>
                    </a:xfrm>
                    <a:prstGeom prst="rect">
                      <a:avLst/>
                    </a:prstGeom>
                    <a:noFill/>
                    <a:ln>
                      <a:noFill/>
                    </a:ln>
                  </pic:spPr>
                </pic:pic>
              </a:graphicData>
            </a:graphic>
          </wp:inline>
        </w:drawing>
      </w:r>
    </w:p>
    <w:p w14:paraId="6712410C" w14:textId="2EF3F378" w:rsidR="00074081" w:rsidRDefault="00074081" w:rsidP="00074081">
      <w:pPr>
        <w:pStyle w:val="Caption"/>
        <w:jc w:val="both"/>
        <w:rPr>
          <w:b/>
          <w:bCs/>
          <w:sz w:val="22"/>
          <w:szCs w:val="22"/>
        </w:rPr>
      </w:pPr>
      <w:r w:rsidRPr="00B0119F">
        <w:rPr>
          <w:b/>
          <w:bCs/>
          <w:sz w:val="22"/>
          <w:szCs w:val="22"/>
        </w:rPr>
        <w:t>Table S1. State-of-the-art bubble</w:t>
      </w:r>
      <w:r w:rsidR="00185351" w:rsidRPr="00B0119F">
        <w:rPr>
          <w:b/>
          <w:bCs/>
          <w:sz w:val="22"/>
          <w:szCs w:val="22"/>
        </w:rPr>
        <w:t>-based technologies</w:t>
      </w:r>
      <w:r w:rsidR="00651077">
        <w:rPr>
          <w:b/>
          <w:bCs/>
          <w:sz w:val="22"/>
          <w:szCs w:val="22"/>
        </w:rPr>
        <w:t>.</w:t>
      </w:r>
      <w:r w:rsidR="00487BB0" w:rsidRPr="00B0119F">
        <w:rPr>
          <w:bCs/>
          <w:i w:val="0"/>
          <w:noProof/>
          <w:sz w:val="22"/>
          <w:szCs w:val="22"/>
          <w:vertAlign w:val="superscript"/>
        </w:rPr>
        <w:t>1</w:t>
      </w:r>
      <w:r w:rsidR="00AB7518">
        <w:rPr>
          <w:bCs/>
          <w:i w:val="0"/>
          <w:noProof/>
          <w:sz w:val="22"/>
          <w:szCs w:val="22"/>
          <w:vertAlign w:val="superscript"/>
        </w:rPr>
        <w:t>-13</w:t>
      </w:r>
    </w:p>
    <w:p w14:paraId="3A5CD50B" w14:textId="1665CE55" w:rsidR="005A6BDC" w:rsidRDefault="005A6BDC" w:rsidP="00D61FAA"/>
    <w:p w14:paraId="5AA9435B" w14:textId="2A89E7E8" w:rsidR="005A6BDC" w:rsidRDefault="005A6BDC" w:rsidP="00D61FAA"/>
    <w:p w14:paraId="07926DB3" w14:textId="77777777" w:rsidR="005A6BDC" w:rsidRPr="00D61FAA" w:rsidRDefault="005A6BDC" w:rsidP="00D61FAA"/>
    <w:p w14:paraId="252DBF57" w14:textId="6D4B79D2" w:rsidR="00074081" w:rsidRPr="00B0119F" w:rsidRDefault="00185351">
      <w:r w:rsidRPr="005056C6">
        <w:rPr>
          <w:noProof/>
          <w:lang w:eastAsia="en-US"/>
        </w:rPr>
        <w:lastRenderedPageBreak/>
        <w:drawing>
          <wp:inline distT="0" distB="0" distL="0" distR="0" wp14:anchorId="038D652E" wp14:editId="626F3ACC">
            <wp:extent cx="5806440" cy="3048000"/>
            <wp:effectExtent l="0" t="0" r="3810" b="0"/>
            <wp:docPr id="168972036" name="Picture 2" descr="A picture containing text, screenshot, font,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72036" name="Picture 2" descr="A picture containing text, screenshot, font, number&#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06440" cy="3048000"/>
                    </a:xfrm>
                    <a:prstGeom prst="rect">
                      <a:avLst/>
                    </a:prstGeom>
                    <a:noFill/>
                    <a:ln>
                      <a:noFill/>
                    </a:ln>
                  </pic:spPr>
                </pic:pic>
              </a:graphicData>
            </a:graphic>
          </wp:inline>
        </w:drawing>
      </w:r>
    </w:p>
    <w:p w14:paraId="50EC9D24" w14:textId="58F7E802" w:rsidR="00074081" w:rsidRPr="00F356D0" w:rsidRDefault="00074081" w:rsidP="00074081">
      <w:pPr>
        <w:pStyle w:val="Caption"/>
        <w:jc w:val="both"/>
        <w:rPr>
          <w:b/>
          <w:bCs/>
          <w:sz w:val="22"/>
          <w:szCs w:val="22"/>
        </w:rPr>
      </w:pPr>
      <w:r w:rsidRPr="00B0119F">
        <w:rPr>
          <w:b/>
          <w:bCs/>
          <w:sz w:val="22"/>
          <w:szCs w:val="22"/>
        </w:rPr>
        <w:t>Table S2. Peak assignment of E-coli SERS measurement and its comparison with other works.</w:t>
      </w:r>
      <w:r w:rsidR="00CA4C59" w:rsidRPr="00B0119F">
        <w:rPr>
          <w:bCs/>
          <w:i w:val="0"/>
          <w:noProof/>
          <w:sz w:val="22"/>
          <w:szCs w:val="22"/>
          <w:vertAlign w:val="superscript"/>
        </w:rPr>
        <w:t>14–18</w:t>
      </w:r>
    </w:p>
    <w:p w14:paraId="3869E6B4" w14:textId="17872B45" w:rsidR="00074081" w:rsidRDefault="00074081"/>
    <w:p w14:paraId="3793B53B" w14:textId="389C76FE" w:rsidR="005A6BDC" w:rsidRDefault="005A6BDC"/>
    <w:p w14:paraId="658DD0F4" w14:textId="0C9602F3" w:rsidR="005A6BDC" w:rsidRDefault="005A6BDC"/>
    <w:p w14:paraId="71FBE3BD" w14:textId="675CC417" w:rsidR="005A6BDC" w:rsidRDefault="005A6BDC"/>
    <w:p w14:paraId="6CDB9F10" w14:textId="77777777" w:rsidR="005A6BDC" w:rsidRDefault="005A6BDC"/>
    <w:p w14:paraId="6FDDE3FC" w14:textId="4C655841" w:rsidR="003A1F4D" w:rsidRPr="00F356D0" w:rsidRDefault="003A1F4D">
      <w:pPr>
        <w:rPr>
          <w:b/>
          <w:bCs/>
        </w:rPr>
      </w:pPr>
      <w:r w:rsidRPr="00F356D0">
        <w:rPr>
          <w:b/>
          <w:bCs/>
        </w:rPr>
        <w:t xml:space="preserve">Note 1: </w:t>
      </w:r>
      <w:r w:rsidR="000F63BB">
        <w:rPr>
          <w:b/>
          <w:bCs/>
        </w:rPr>
        <w:t>H</w:t>
      </w:r>
      <w:r w:rsidR="0041693B" w:rsidRPr="00F356D0">
        <w:rPr>
          <w:b/>
          <w:bCs/>
        </w:rPr>
        <w:t>eating and simulation and laser heating</w:t>
      </w:r>
    </w:p>
    <w:p w14:paraId="4C0B7788" w14:textId="2D7388CB" w:rsidR="00C86544" w:rsidRDefault="00C86544" w:rsidP="00C86544">
      <w:pPr>
        <w:jc w:val="both"/>
      </w:pPr>
      <w:r>
        <w:t>While</w:t>
      </w:r>
      <w:r w:rsidRPr="00C86544">
        <w:t xml:space="preserve"> many works utilize heat-induced thermophoretic and accompanying Marangoni flows to attract and trap particles onto the surface,</w:t>
      </w:r>
      <w:r w:rsidR="00487BB0" w:rsidRPr="00487BB0">
        <w:rPr>
          <w:noProof/>
          <w:vertAlign w:val="superscript"/>
        </w:rPr>
        <w:t>8,19,20</w:t>
      </w:r>
      <w:r w:rsidRPr="00C86544">
        <w:t xml:space="preserve"> the</w:t>
      </w:r>
      <w:r w:rsidR="005A6BDC">
        <w:t xml:space="preserve"> heat generation in our method in contrast, is minimal. Due to the low intensity, heating due to </w:t>
      </w:r>
      <w:r w:rsidRPr="00C86544">
        <w:t>laser absorption</w:t>
      </w:r>
      <w:r w:rsidR="005A6BDC">
        <w:t xml:space="preserve"> is very </w:t>
      </w:r>
      <w:r w:rsidR="00D61FAA">
        <w:t xml:space="preserve">small </w:t>
      </w:r>
      <w:r w:rsidR="00D61FAA" w:rsidRPr="00C86544">
        <w:t>at</w:t>
      </w:r>
      <w:r w:rsidRPr="00C86544">
        <w:t xml:space="preserve"> the surface of the Si and </w:t>
      </w:r>
      <w:r w:rsidR="005A6BDC">
        <w:t xml:space="preserve">the </w:t>
      </w:r>
      <w:r w:rsidRPr="00C86544">
        <w:t xml:space="preserve">ohmic heating in our experiments is </w:t>
      </w:r>
      <w:r w:rsidR="005A6BDC">
        <w:t xml:space="preserve">similarly </w:t>
      </w:r>
      <w:r w:rsidRPr="00C86544">
        <w:t>minimal. Simulations</w:t>
      </w:r>
      <w:r w:rsidR="00C82445">
        <w:t xml:space="preserve"> </w:t>
      </w:r>
      <w:r w:rsidR="00C82445" w:rsidRPr="00C86544">
        <w:t>(</w:t>
      </w:r>
      <w:r w:rsidR="00C82445" w:rsidRPr="00C86544">
        <w:rPr>
          <w:b/>
          <w:bCs/>
        </w:rPr>
        <w:t>Figure S</w:t>
      </w:r>
      <w:r w:rsidR="00354907">
        <w:rPr>
          <w:b/>
          <w:bCs/>
        </w:rPr>
        <w:t>2</w:t>
      </w:r>
      <w:r w:rsidR="00C82445" w:rsidRPr="00C86544">
        <w:t>)</w:t>
      </w:r>
      <w:r w:rsidRPr="00C86544">
        <w:t xml:space="preserve"> and calculations result in a heat increase of less than </w:t>
      </w:r>
      <w:r w:rsidR="003B6D83">
        <w:t>&lt;&lt;</w:t>
      </w:r>
      <w:r w:rsidRPr="00C86544">
        <w:t xml:space="preserve">1 K for each source, due to the high photoconductivity </w:t>
      </w:r>
      <w:r w:rsidR="005A6BDC">
        <w:t xml:space="preserve">of </w:t>
      </w:r>
      <w:r w:rsidRPr="00C86544">
        <w:t xml:space="preserve">our substrate and the low laser intensity requirement to generate a bubble. </w:t>
      </w:r>
      <w:r w:rsidR="00396374">
        <w:t xml:space="preserve">Here, we provide the parameters relevant for </w:t>
      </w:r>
      <w:r w:rsidR="003B415D">
        <w:t>ohmic heating and</w:t>
      </w:r>
      <w:r w:rsidR="00396374">
        <w:t xml:space="preserve"> </w:t>
      </w:r>
      <w:r w:rsidR="003B415D">
        <w:t>laser heating simulations:</w:t>
      </w:r>
      <w:r w:rsidR="00CA4C59" w:rsidRPr="00CA4C59">
        <w:rPr>
          <w:noProof/>
          <w:vertAlign w:val="superscript"/>
        </w:rPr>
        <w:t>21</w:t>
      </w:r>
    </w:p>
    <w:p w14:paraId="2D8D9893" w14:textId="77777777" w:rsidR="00996F5F" w:rsidRDefault="00996F5F" w:rsidP="00C86544">
      <w:pPr>
        <w:jc w:val="both"/>
      </w:pPr>
    </w:p>
    <w:tbl>
      <w:tblPr>
        <w:tblStyle w:val="PlainTable2"/>
        <w:tblW w:w="0" w:type="auto"/>
        <w:tblLook w:val="04A0" w:firstRow="1" w:lastRow="0" w:firstColumn="1" w:lastColumn="0" w:noHBand="0" w:noVBand="1"/>
      </w:tblPr>
      <w:tblGrid>
        <w:gridCol w:w="2880"/>
        <w:gridCol w:w="5310"/>
        <w:gridCol w:w="1170"/>
      </w:tblGrid>
      <w:tr w:rsidR="00E1334E" w14:paraId="6EC8356B" w14:textId="565D80E9" w:rsidTr="00E133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2419BCDE" w14:textId="28E0DE71" w:rsidR="00E1334E" w:rsidRDefault="00E1334E" w:rsidP="00C86544">
            <w:pPr>
              <w:jc w:val="both"/>
            </w:pPr>
            <w:r>
              <w:t>Description</w:t>
            </w:r>
          </w:p>
        </w:tc>
        <w:tc>
          <w:tcPr>
            <w:tcW w:w="5310" w:type="dxa"/>
          </w:tcPr>
          <w:p w14:paraId="0A6F66D2" w14:textId="2001E0E8" w:rsidR="00E1334E" w:rsidRDefault="00E1334E" w:rsidP="00C86544">
            <w:pPr>
              <w:jc w:val="both"/>
              <w:cnfStyle w:val="100000000000" w:firstRow="1" w:lastRow="0" w:firstColumn="0" w:lastColumn="0" w:oddVBand="0" w:evenVBand="0" w:oddHBand="0" w:evenHBand="0" w:firstRowFirstColumn="0" w:firstRowLastColumn="0" w:lastRowFirstColumn="0" w:lastRowLastColumn="0"/>
            </w:pPr>
            <w:r>
              <w:t>Expression</w:t>
            </w:r>
          </w:p>
        </w:tc>
        <w:tc>
          <w:tcPr>
            <w:tcW w:w="1170" w:type="dxa"/>
          </w:tcPr>
          <w:p w14:paraId="5C2743F5" w14:textId="0AA71989" w:rsidR="00E1334E" w:rsidRDefault="00E1334E" w:rsidP="00C86544">
            <w:pPr>
              <w:jc w:val="both"/>
              <w:cnfStyle w:val="100000000000" w:firstRow="1" w:lastRow="0" w:firstColumn="0" w:lastColumn="0" w:oddVBand="0" w:evenVBand="0" w:oddHBand="0" w:evenHBand="0" w:firstRowFirstColumn="0" w:firstRowLastColumn="0" w:lastRowFirstColumn="0" w:lastRowLastColumn="0"/>
            </w:pPr>
            <w:r>
              <w:t>Reference</w:t>
            </w:r>
          </w:p>
        </w:tc>
      </w:tr>
      <w:tr w:rsidR="00DB12C2" w14:paraId="7A7950AA" w14:textId="6966FB9F" w:rsidTr="00DB12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11B62D61" w14:textId="526581C9" w:rsidR="00DB12C2" w:rsidRDefault="00DB12C2" w:rsidP="00C86544">
            <w:pPr>
              <w:jc w:val="both"/>
            </w:pPr>
            <w:r>
              <w:t>Thermal conductivity of a-Si</w:t>
            </w:r>
          </w:p>
        </w:tc>
        <w:tc>
          <w:tcPr>
            <w:tcW w:w="5310" w:type="dxa"/>
          </w:tcPr>
          <w:p w14:paraId="14F79E1C" w14:textId="4A211AB4" w:rsidR="00DB12C2" w:rsidRPr="003B415D" w:rsidRDefault="00DB12C2" w:rsidP="00C86544">
            <w:pPr>
              <w:jc w:val="both"/>
              <w:cnfStyle w:val="000000100000" w:firstRow="0" w:lastRow="0" w:firstColumn="0" w:lastColumn="0" w:oddVBand="0" w:evenVBand="0" w:oddHBand="1" w:evenHBand="0" w:firstRowFirstColumn="0" w:firstRowLastColumn="0" w:lastRowFirstColumn="0" w:lastRowLastColumn="0"/>
            </w:pPr>
            <w:r>
              <w:t>1.3 x 10</w:t>
            </w:r>
            <w:r w:rsidRPr="003B415D">
              <w:rPr>
                <w:vertAlign w:val="superscript"/>
              </w:rPr>
              <w:t>-11</w:t>
            </w:r>
            <w:r>
              <w:t>(T-900)</w:t>
            </w:r>
            <w:r w:rsidRPr="003B415D">
              <w:rPr>
                <w:vertAlign w:val="superscript"/>
              </w:rPr>
              <w:t>3</w:t>
            </w:r>
            <w:r>
              <w:rPr>
                <w:vertAlign w:val="superscript"/>
              </w:rPr>
              <w:t xml:space="preserve"> </w:t>
            </w:r>
            <w:r>
              <w:t>+ 1.3 x 10</w:t>
            </w:r>
            <w:r w:rsidRPr="003B415D">
              <w:rPr>
                <w:vertAlign w:val="superscript"/>
              </w:rPr>
              <w:t>-9</w:t>
            </w:r>
            <w:r>
              <w:t>(T-900)</w:t>
            </w:r>
            <w:r w:rsidRPr="003B415D">
              <w:rPr>
                <w:vertAlign w:val="superscript"/>
              </w:rPr>
              <w:t>2</w:t>
            </w:r>
            <w:r>
              <w:t xml:space="preserve"> + 10</w:t>
            </w:r>
            <w:r w:rsidRPr="003B415D">
              <w:rPr>
                <w:vertAlign w:val="superscript"/>
              </w:rPr>
              <w:t>-6</w:t>
            </w:r>
            <w:r>
              <w:t>(T-900) + 10</w:t>
            </w:r>
            <w:r w:rsidRPr="003B415D">
              <w:rPr>
                <w:vertAlign w:val="superscript"/>
              </w:rPr>
              <w:t>-2</w:t>
            </w:r>
            <w:r>
              <w:t xml:space="preserve"> [W/cm</w:t>
            </w:r>
            <w:r>
              <w:rPr>
                <w:rFonts w:cstheme="minorHAnsi"/>
              </w:rPr>
              <w:t>∙K]</w:t>
            </w:r>
          </w:p>
        </w:tc>
        <w:tc>
          <w:tcPr>
            <w:tcW w:w="1170" w:type="dxa"/>
            <w:vMerge w:val="restart"/>
            <w:vAlign w:val="center"/>
          </w:tcPr>
          <w:p w14:paraId="2ECFF900" w14:textId="2812B77B" w:rsidR="00DB12C2" w:rsidRDefault="00DB12C2" w:rsidP="00DB12C2">
            <w:pPr>
              <w:jc w:val="center"/>
              <w:cnfStyle w:val="000000100000" w:firstRow="0" w:lastRow="0" w:firstColumn="0" w:lastColumn="0" w:oddVBand="0" w:evenVBand="0" w:oddHBand="1" w:evenHBand="0" w:firstRowFirstColumn="0" w:firstRowLastColumn="0" w:lastRowFirstColumn="0" w:lastRowLastColumn="0"/>
            </w:pPr>
            <w:r w:rsidRPr="00CA4C59">
              <w:rPr>
                <w:noProof/>
                <w:vertAlign w:val="superscript"/>
              </w:rPr>
              <w:t>22</w:t>
            </w:r>
          </w:p>
        </w:tc>
      </w:tr>
      <w:tr w:rsidR="00DB12C2" w14:paraId="7C73434C" w14:textId="7B904099" w:rsidTr="00E1334E">
        <w:tc>
          <w:tcPr>
            <w:cnfStyle w:val="001000000000" w:firstRow="0" w:lastRow="0" w:firstColumn="1" w:lastColumn="0" w:oddVBand="0" w:evenVBand="0" w:oddHBand="0" w:evenHBand="0" w:firstRowFirstColumn="0" w:firstRowLastColumn="0" w:lastRowFirstColumn="0" w:lastRowLastColumn="0"/>
            <w:tcW w:w="2880" w:type="dxa"/>
          </w:tcPr>
          <w:p w14:paraId="1B188850" w14:textId="7C7F7225" w:rsidR="00DB12C2" w:rsidRPr="003B415D" w:rsidRDefault="00DB12C2" w:rsidP="00C86544">
            <w:pPr>
              <w:jc w:val="both"/>
              <w:rPr>
                <w:b w:val="0"/>
                <w:bCs w:val="0"/>
              </w:rPr>
            </w:pPr>
            <w:r>
              <w:t>Specific heat of a-Si</w:t>
            </w:r>
          </w:p>
        </w:tc>
        <w:tc>
          <w:tcPr>
            <w:tcW w:w="5310" w:type="dxa"/>
          </w:tcPr>
          <w:p w14:paraId="173236F6" w14:textId="2E261B47" w:rsidR="00DB12C2" w:rsidRDefault="00DB12C2" w:rsidP="00C86544">
            <w:pPr>
              <w:jc w:val="both"/>
              <w:cnfStyle w:val="000000000000" w:firstRow="0" w:lastRow="0" w:firstColumn="0" w:lastColumn="0" w:oddVBand="0" w:evenVBand="0" w:oddHBand="0" w:evenHBand="0" w:firstRowFirstColumn="0" w:firstRowLastColumn="0" w:lastRowFirstColumn="0" w:lastRowLastColumn="0"/>
            </w:pPr>
            <w:r>
              <w:t>0.171 T / 1865 K + 0.952 [J/g</w:t>
            </w:r>
            <w:r>
              <w:rPr>
                <w:rFonts w:cstheme="minorHAnsi"/>
              </w:rPr>
              <w:t>∙K]</w:t>
            </w:r>
          </w:p>
        </w:tc>
        <w:tc>
          <w:tcPr>
            <w:tcW w:w="1170" w:type="dxa"/>
            <w:vMerge/>
          </w:tcPr>
          <w:p w14:paraId="680B3859" w14:textId="5839CC6A" w:rsidR="00DB12C2" w:rsidRDefault="00DB12C2" w:rsidP="0029697C">
            <w:pPr>
              <w:jc w:val="center"/>
              <w:cnfStyle w:val="000000000000" w:firstRow="0" w:lastRow="0" w:firstColumn="0" w:lastColumn="0" w:oddVBand="0" w:evenVBand="0" w:oddHBand="0" w:evenHBand="0" w:firstRowFirstColumn="0" w:firstRowLastColumn="0" w:lastRowFirstColumn="0" w:lastRowLastColumn="0"/>
            </w:pPr>
          </w:p>
        </w:tc>
      </w:tr>
      <w:tr w:rsidR="00DB12C2" w14:paraId="01724D20" w14:textId="117D9776" w:rsidTr="00E133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6CE9A2D5" w14:textId="3E0A11DE" w:rsidR="00DB12C2" w:rsidRDefault="00DB12C2" w:rsidP="00C86544">
            <w:pPr>
              <w:jc w:val="both"/>
            </w:pPr>
            <w:r>
              <w:t>Density of a-Si</w:t>
            </w:r>
          </w:p>
        </w:tc>
        <w:tc>
          <w:tcPr>
            <w:tcW w:w="5310" w:type="dxa"/>
          </w:tcPr>
          <w:p w14:paraId="5A18B8B1" w14:textId="1DD645D4" w:rsidR="00DB12C2" w:rsidRDefault="00DB12C2" w:rsidP="00C86544">
            <w:pPr>
              <w:jc w:val="both"/>
              <w:cnfStyle w:val="000000100000" w:firstRow="0" w:lastRow="0" w:firstColumn="0" w:lastColumn="0" w:oddVBand="0" w:evenVBand="0" w:oddHBand="1" w:evenHBand="0" w:firstRowFirstColumn="0" w:firstRowLastColumn="0" w:lastRowFirstColumn="0" w:lastRowLastColumn="0"/>
            </w:pPr>
            <w:r>
              <w:t>2260 [kg/m</w:t>
            </w:r>
            <w:r w:rsidRPr="003B415D">
              <w:rPr>
                <w:vertAlign w:val="superscript"/>
              </w:rPr>
              <w:t>3</w:t>
            </w:r>
            <w:r>
              <w:t>]</w:t>
            </w:r>
          </w:p>
        </w:tc>
        <w:tc>
          <w:tcPr>
            <w:tcW w:w="1170" w:type="dxa"/>
            <w:vMerge/>
          </w:tcPr>
          <w:p w14:paraId="1A283747" w14:textId="44BFEB56" w:rsidR="00DB12C2" w:rsidRDefault="00DB12C2" w:rsidP="0029697C">
            <w:pPr>
              <w:jc w:val="center"/>
              <w:cnfStyle w:val="000000100000" w:firstRow="0" w:lastRow="0" w:firstColumn="0" w:lastColumn="0" w:oddVBand="0" w:evenVBand="0" w:oddHBand="1" w:evenHBand="0" w:firstRowFirstColumn="0" w:firstRowLastColumn="0" w:lastRowFirstColumn="0" w:lastRowLastColumn="0"/>
            </w:pPr>
          </w:p>
        </w:tc>
      </w:tr>
      <w:tr w:rsidR="00DB12C2" w14:paraId="08633B3C" w14:textId="6D45CDE4" w:rsidTr="00E1334E">
        <w:tc>
          <w:tcPr>
            <w:cnfStyle w:val="001000000000" w:firstRow="0" w:lastRow="0" w:firstColumn="1" w:lastColumn="0" w:oddVBand="0" w:evenVBand="0" w:oddHBand="0" w:evenHBand="0" w:firstRowFirstColumn="0" w:firstRowLastColumn="0" w:lastRowFirstColumn="0" w:lastRowLastColumn="0"/>
            <w:tcW w:w="2880" w:type="dxa"/>
          </w:tcPr>
          <w:p w14:paraId="7B4F6B97" w14:textId="5471EB5D" w:rsidR="00DB12C2" w:rsidRDefault="00DB12C2" w:rsidP="00C86544">
            <w:pPr>
              <w:jc w:val="both"/>
            </w:pPr>
            <w:r>
              <w:t>Reflectivity of solid a-Si</w:t>
            </w:r>
          </w:p>
        </w:tc>
        <w:tc>
          <w:tcPr>
            <w:tcW w:w="5310" w:type="dxa"/>
          </w:tcPr>
          <w:p w14:paraId="30DF7A4A" w14:textId="6D3C9104" w:rsidR="00DB12C2" w:rsidRDefault="00DB12C2" w:rsidP="00C86544">
            <w:pPr>
              <w:jc w:val="both"/>
              <w:cnfStyle w:val="000000000000" w:firstRow="0" w:lastRow="0" w:firstColumn="0" w:lastColumn="0" w:oddVBand="0" w:evenVBand="0" w:oddHBand="0" w:evenHBand="0" w:firstRowFirstColumn="0" w:firstRowLastColumn="0" w:lastRowFirstColumn="0" w:lastRowLastColumn="0"/>
            </w:pPr>
            <w:r>
              <w:t>0.58</w:t>
            </w:r>
          </w:p>
        </w:tc>
        <w:tc>
          <w:tcPr>
            <w:tcW w:w="1170" w:type="dxa"/>
            <w:vMerge/>
          </w:tcPr>
          <w:p w14:paraId="29F8A6A8" w14:textId="38DE2C44" w:rsidR="00DB12C2" w:rsidRDefault="00DB12C2" w:rsidP="0029697C">
            <w:pPr>
              <w:jc w:val="center"/>
              <w:cnfStyle w:val="000000000000" w:firstRow="0" w:lastRow="0" w:firstColumn="0" w:lastColumn="0" w:oddVBand="0" w:evenVBand="0" w:oddHBand="0" w:evenHBand="0" w:firstRowFirstColumn="0" w:firstRowLastColumn="0" w:lastRowFirstColumn="0" w:lastRowLastColumn="0"/>
            </w:pPr>
          </w:p>
        </w:tc>
      </w:tr>
      <w:tr w:rsidR="00DB12C2" w14:paraId="6CE9BCEF" w14:textId="431E3434" w:rsidTr="00E133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61E411CF" w14:textId="423B59D0" w:rsidR="00DB12C2" w:rsidRDefault="00DB12C2" w:rsidP="00C86544">
            <w:pPr>
              <w:jc w:val="both"/>
            </w:pPr>
            <w:r>
              <w:t>Absorption coefficient of a-Si</w:t>
            </w:r>
          </w:p>
        </w:tc>
        <w:tc>
          <w:tcPr>
            <w:tcW w:w="5310" w:type="dxa"/>
          </w:tcPr>
          <w:p w14:paraId="058C2811" w14:textId="76A68727" w:rsidR="00DB12C2" w:rsidRDefault="00DB12C2" w:rsidP="00C86544">
            <w:pPr>
              <w:jc w:val="both"/>
              <w:cnfStyle w:val="000000100000" w:firstRow="0" w:lastRow="0" w:firstColumn="0" w:lastColumn="0" w:oddVBand="0" w:evenVBand="0" w:oddHBand="1" w:evenHBand="0" w:firstRowFirstColumn="0" w:firstRowLastColumn="0" w:lastRowFirstColumn="0" w:lastRowLastColumn="0"/>
            </w:pPr>
            <w:r>
              <w:t>5.02 x 10</w:t>
            </w:r>
            <w:r w:rsidRPr="003B415D">
              <w:rPr>
                <w:vertAlign w:val="superscript"/>
              </w:rPr>
              <w:t>3</w:t>
            </w:r>
            <w:r>
              <w:t>exp(T/430) [/cm]</w:t>
            </w:r>
          </w:p>
        </w:tc>
        <w:tc>
          <w:tcPr>
            <w:tcW w:w="1170" w:type="dxa"/>
            <w:vMerge/>
          </w:tcPr>
          <w:p w14:paraId="78C57911" w14:textId="4D1289A5" w:rsidR="00DB12C2" w:rsidRDefault="00DB12C2" w:rsidP="0029697C">
            <w:pPr>
              <w:jc w:val="center"/>
              <w:cnfStyle w:val="000000100000" w:firstRow="0" w:lastRow="0" w:firstColumn="0" w:lastColumn="0" w:oddVBand="0" w:evenVBand="0" w:oddHBand="1" w:evenHBand="0" w:firstRowFirstColumn="0" w:firstRowLastColumn="0" w:lastRowFirstColumn="0" w:lastRowLastColumn="0"/>
            </w:pPr>
          </w:p>
        </w:tc>
      </w:tr>
    </w:tbl>
    <w:p w14:paraId="37F218A8" w14:textId="51ED0F7F" w:rsidR="00C86544" w:rsidRDefault="00C86544" w:rsidP="00C86544">
      <w:pPr>
        <w:jc w:val="both"/>
      </w:pPr>
    </w:p>
    <w:p w14:paraId="462D9DA2" w14:textId="70E12DC6" w:rsidR="00E5289F" w:rsidRDefault="00E5289F" w:rsidP="00E5289F">
      <w:pPr>
        <w:jc w:val="both"/>
      </w:pPr>
      <w:r>
        <w:t>The temperature increase due to the absorption of light in the a-Si layer was simulated using COMSOL Multiphysics</w:t>
      </w:r>
      <w:r w:rsidR="00AB5ED5">
        <w:t xml:space="preserve"> and </w:t>
      </w:r>
      <w:r w:rsidR="00396374">
        <w:t xml:space="preserve">further </w:t>
      </w:r>
      <w:r w:rsidR="00AB5ED5">
        <w:t xml:space="preserve">details </w:t>
      </w:r>
      <w:r w:rsidR="00396374">
        <w:t>are</w:t>
      </w:r>
      <w:r w:rsidR="00AB5ED5">
        <w:t xml:space="preserve"> provided in the main text of the manuscript</w:t>
      </w:r>
      <w:r w:rsidR="00396374">
        <w:t>.</w:t>
      </w:r>
      <w:r>
        <w:t xml:space="preserve"> </w:t>
      </w:r>
    </w:p>
    <w:p w14:paraId="64A3FE11" w14:textId="77777777" w:rsidR="00B0119F" w:rsidRDefault="00B0119F" w:rsidP="004E2E62">
      <w:pPr>
        <w:rPr>
          <w:b/>
          <w:bCs/>
        </w:rPr>
      </w:pPr>
    </w:p>
    <w:p w14:paraId="11DCB8F7" w14:textId="5B4441FA" w:rsidR="004E2E62" w:rsidRPr="00F356D0" w:rsidRDefault="004E2E62" w:rsidP="004E2E62">
      <w:pPr>
        <w:rPr>
          <w:b/>
          <w:bCs/>
        </w:rPr>
      </w:pPr>
      <w:r w:rsidRPr="00F356D0">
        <w:rPr>
          <w:b/>
          <w:bCs/>
        </w:rPr>
        <w:t>Note 2: Effect of H</w:t>
      </w:r>
      <w:r w:rsidRPr="00F356D0">
        <w:rPr>
          <w:b/>
          <w:bCs/>
          <w:vertAlign w:val="subscript"/>
        </w:rPr>
        <w:t>2</w:t>
      </w:r>
      <w:r w:rsidRPr="00F356D0">
        <w:rPr>
          <w:b/>
          <w:bCs/>
        </w:rPr>
        <w:t>O</w:t>
      </w:r>
      <w:r w:rsidRPr="00F356D0">
        <w:rPr>
          <w:b/>
          <w:bCs/>
          <w:vertAlign w:val="subscript"/>
        </w:rPr>
        <w:t>2</w:t>
      </w:r>
      <w:r w:rsidR="00106D15" w:rsidRPr="00F356D0">
        <w:rPr>
          <w:b/>
          <w:bCs/>
        </w:rPr>
        <w:t xml:space="preserve"> and</w:t>
      </w:r>
      <w:r w:rsidRPr="00F356D0">
        <w:rPr>
          <w:b/>
          <w:bCs/>
        </w:rPr>
        <w:t xml:space="preserve"> CTAC </w:t>
      </w:r>
    </w:p>
    <w:p w14:paraId="4BEB7302" w14:textId="3611C42D" w:rsidR="000E57AE" w:rsidRDefault="000E57AE" w:rsidP="000E57AE">
      <w:pPr>
        <w:jc w:val="both"/>
      </w:pPr>
      <w:r>
        <w:t>We explore how various additives and surfactants such as H</w:t>
      </w:r>
      <w:r w:rsidRPr="000E57AE">
        <w:rPr>
          <w:vertAlign w:val="subscript"/>
        </w:rPr>
        <w:t>2</w:t>
      </w:r>
      <w:r>
        <w:t>O</w:t>
      </w:r>
      <w:r w:rsidRPr="000E57AE">
        <w:rPr>
          <w:vertAlign w:val="subscript"/>
        </w:rPr>
        <w:t>2</w:t>
      </w:r>
      <w:r>
        <w:t xml:space="preserve"> and cetyltrimethylammonium chloride (CTAC) and a thin Pt catalyst layer on the counter electrode may affect the minimum laser intensity. Under normal conditions (</w:t>
      </w:r>
      <w:r w:rsidRPr="00351084">
        <w:t>a 0.5 M Na</w:t>
      </w:r>
      <w:r w:rsidRPr="00351084">
        <w:rPr>
          <w:vertAlign w:val="subscript"/>
        </w:rPr>
        <w:t>2</w:t>
      </w:r>
      <w:r w:rsidRPr="00351084">
        <w:t>SO</w:t>
      </w:r>
      <w:r w:rsidRPr="00351084">
        <w:rPr>
          <w:vertAlign w:val="subscript"/>
        </w:rPr>
        <w:t>4</w:t>
      </w:r>
      <w:r w:rsidRPr="00351084">
        <w:t xml:space="preserve"> solution with a -5 V DC bias superimposed on a 12 V</w:t>
      </w:r>
      <w:r w:rsidRPr="00351084">
        <w:rPr>
          <w:vertAlign w:val="subscript"/>
        </w:rPr>
        <w:t>pp</w:t>
      </w:r>
      <w:r w:rsidRPr="00351084">
        <w:t xml:space="preserve"> AC E-field with a frequency of 1.5 kHz</w:t>
      </w:r>
      <w:r>
        <w:t>), the average minimum laser intensity is 390.151 ± 17.477 mW/cm</w:t>
      </w:r>
      <w:r w:rsidRPr="000E57AE">
        <w:rPr>
          <w:vertAlign w:val="superscript"/>
        </w:rPr>
        <w:t>2</w:t>
      </w:r>
      <w:r>
        <w:t>. With the addition of H</w:t>
      </w:r>
      <w:r w:rsidRPr="000E57AE">
        <w:rPr>
          <w:vertAlign w:val="subscript"/>
        </w:rPr>
        <w:t>2</w:t>
      </w:r>
      <w:r>
        <w:t>O</w:t>
      </w:r>
      <w:r w:rsidRPr="000E57AE">
        <w:rPr>
          <w:vertAlign w:val="subscript"/>
        </w:rPr>
        <w:t>2</w:t>
      </w:r>
      <w:r>
        <w:t>, this number falls to 288.384 ± 36.120 mW/cm</w:t>
      </w:r>
      <w:r w:rsidRPr="000E57AE">
        <w:rPr>
          <w:vertAlign w:val="superscript"/>
        </w:rPr>
        <w:t>2</w:t>
      </w:r>
      <w:r>
        <w:t>, which represents a 26% drop in the required laser intensity. Despite having a slightly higher surface tension than water with a value of 80.4 mN/m, which would prohibit bubble formation, H</w:t>
      </w:r>
      <w:r w:rsidRPr="000E57AE">
        <w:rPr>
          <w:vertAlign w:val="subscript"/>
        </w:rPr>
        <w:t>2</w:t>
      </w:r>
      <w:r>
        <w:t>O</w:t>
      </w:r>
      <w:r w:rsidRPr="000E57AE">
        <w:rPr>
          <w:vertAlign w:val="subscript"/>
        </w:rPr>
        <w:t>2</w:t>
      </w:r>
      <w:r>
        <w:t xml:space="preserve"> decreases the required laser intensity due to two factors: 1) H</w:t>
      </w:r>
      <w:r w:rsidRPr="000E57AE">
        <w:rPr>
          <w:vertAlign w:val="subscript"/>
        </w:rPr>
        <w:t>2</w:t>
      </w:r>
      <w:r>
        <w:t>O</w:t>
      </w:r>
      <w:r w:rsidRPr="000E57AE">
        <w:rPr>
          <w:vertAlign w:val="subscript"/>
        </w:rPr>
        <w:t>2</w:t>
      </w:r>
      <w:r>
        <w:t xml:space="preserve"> has an acid dissociation constant (pKa) of 11.6, meaning that it is slightly acidic in nature; releasing H</w:t>
      </w:r>
      <w:r w:rsidRPr="000E57AE">
        <w:rPr>
          <w:vertAlign w:val="superscript"/>
        </w:rPr>
        <w:t>+</w:t>
      </w:r>
      <w:r>
        <w:t xml:space="preserve"> ions into the solution which is the basis of the hydrogen bubbles generated by the E-field. 2) H</w:t>
      </w:r>
      <w:r w:rsidRPr="000E57AE">
        <w:rPr>
          <w:vertAlign w:val="subscript"/>
        </w:rPr>
        <w:t>2</w:t>
      </w:r>
      <w:r>
        <w:t>O</w:t>
      </w:r>
      <w:r w:rsidRPr="000E57AE">
        <w:rPr>
          <w:vertAlign w:val="subscript"/>
        </w:rPr>
        <w:t>2</w:t>
      </w:r>
      <w:r>
        <w:t xml:space="preserve"> has been reported as an effective hole scavenger and can prevent hole-electron recombination during illumination.</w:t>
      </w:r>
      <w:r w:rsidR="00CA4C59" w:rsidRPr="00CA4C59">
        <w:rPr>
          <w:noProof/>
          <w:vertAlign w:val="superscript"/>
        </w:rPr>
        <w:t>23,24</w:t>
      </w:r>
      <w:r>
        <w:t xml:space="preserve"> Indeed, as can be seen in equation (1), the increase of recombination lifetime leads to an increase of the photocurrent of amorphous silicon, leading to smaller minimum intensity values. </w:t>
      </w:r>
    </w:p>
    <w:p w14:paraId="22A7FC54" w14:textId="47F4603B" w:rsidR="000E57AE" w:rsidRDefault="000E57AE" w:rsidP="00C82445">
      <w:pPr>
        <w:jc w:val="both"/>
      </w:pPr>
      <w:r>
        <w:t>CTAC, on the other hand, acts as a surfactant that reduces the surface tension of water at the liquid-gas interface, which can facilitate bubble growth. It has been reported that the addition CTAC can reduce the surface tension down to 36.1 mN/m, compared to the surface tension of plain water of 71.78 mN/m.</w:t>
      </w:r>
      <w:r w:rsidR="00CA4C59" w:rsidRPr="00CA4C59">
        <w:rPr>
          <w:noProof/>
          <w:vertAlign w:val="superscript"/>
        </w:rPr>
        <w:t>25</w:t>
      </w:r>
      <w:r>
        <w:t xml:space="preserve"> For our experiments, we use a concentration of 1250 mg/L to ensure the highest decrease of surface tension. Indeed, as can be seen in </w:t>
      </w:r>
      <w:r w:rsidRPr="00C6588D">
        <w:rPr>
          <w:b/>
          <w:bCs/>
        </w:rPr>
        <w:t>Figure 2</w:t>
      </w:r>
      <w:r w:rsidR="00C6588D">
        <w:rPr>
          <w:b/>
          <w:bCs/>
        </w:rPr>
        <w:t>f</w:t>
      </w:r>
      <w:r>
        <w:t>, the addition of CTAC has shown to greatly decrease the required laser intensity down to 219.741 ± 51.093 mW/cm</w:t>
      </w:r>
      <w:r w:rsidRPr="00C86544">
        <w:rPr>
          <w:vertAlign w:val="superscript"/>
        </w:rPr>
        <w:t>2</w:t>
      </w:r>
      <w:r>
        <w:t xml:space="preserve">. </w:t>
      </w:r>
    </w:p>
    <w:p w14:paraId="5BDD70F0" w14:textId="286CDF7E" w:rsidR="002943CA" w:rsidRDefault="002943CA" w:rsidP="00C82445">
      <w:pPr>
        <w:jc w:val="both"/>
        <w:rPr>
          <w:b/>
          <w:bCs/>
        </w:rPr>
      </w:pPr>
      <w:r w:rsidRPr="006B49E3">
        <w:rPr>
          <w:b/>
          <w:bCs/>
        </w:rPr>
        <w:t xml:space="preserve">Note </w:t>
      </w:r>
      <w:r>
        <w:rPr>
          <w:b/>
          <w:bCs/>
        </w:rPr>
        <w:t>3</w:t>
      </w:r>
      <w:r w:rsidRPr="006B49E3">
        <w:rPr>
          <w:b/>
          <w:bCs/>
        </w:rPr>
        <w:t xml:space="preserve">: </w:t>
      </w:r>
      <w:r w:rsidR="00541A18">
        <w:rPr>
          <w:b/>
          <w:bCs/>
        </w:rPr>
        <w:t>C</w:t>
      </w:r>
      <w:r w:rsidR="0059270A">
        <w:rPr>
          <w:b/>
          <w:bCs/>
        </w:rPr>
        <w:t xml:space="preserve">onsiderations on the formation of </w:t>
      </w:r>
      <w:r w:rsidR="00541A18">
        <w:rPr>
          <w:b/>
          <w:bCs/>
        </w:rPr>
        <w:t xml:space="preserve">single vs multiple </w:t>
      </w:r>
      <w:r w:rsidR="0059270A">
        <w:rPr>
          <w:b/>
          <w:bCs/>
        </w:rPr>
        <w:t>bubbles</w:t>
      </w:r>
    </w:p>
    <w:p w14:paraId="6FEA1B22" w14:textId="5A3B2161" w:rsidR="0059270A" w:rsidRDefault="0059270A" w:rsidP="002943CA">
      <w:pPr>
        <w:jc w:val="both"/>
      </w:pPr>
      <w:r>
        <w:t>A single large</w:t>
      </w:r>
      <w:r w:rsidR="00541A18">
        <w:t>r</w:t>
      </w:r>
      <w:r>
        <w:t xml:space="preserve"> bubble </w:t>
      </w:r>
      <w:r w:rsidR="00CE6BAB">
        <w:t>possesses</w:t>
      </w:r>
      <w:r>
        <w:t xml:space="preserve"> a smaller surface area compared to multiple </w:t>
      </w:r>
      <w:r w:rsidR="00541A18">
        <w:t xml:space="preserve">smaller </w:t>
      </w:r>
      <w:r>
        <w:t xml:space="preserve">bubbles that contain the same overall volume of gas, and hence </w:t>
      </w:r>
      <w:r w:rsidR="0035098B">
        <w:t xml:space="preserve">minimization of the overall </w:t>
      </w:r>
      <w:r>
        <w:t xml:space="preserve">surface energy favors the formation of a single bubble. </w:t>
      </w:r>
      <w:r w:rsidR="0035098B">
        <w:t>Hydrophobic or partially hydrophobic nanoparticles are known to attach themselves to gas bubbles and can in turn stabilize the bubbles. Smaller bubbles possess a larger curvature and are most probably not as well covered by nanoparticles, such that these smaller bubbles fuse to form larger, more stable ‘single’ bubbles. The exact mechanism of formation and hence the resulting size) is likely to be a complex process that is an interplay between the stabilizing effect of the nanoparticles, surface tension effects, as well as pressure-volume work and entropy considerations. A full exploration of all of the relevant parameters is beyond the scope of this work.</w:t>
      </w:r>
    </w:p>
    <w:p w14:paraId="2B2DFE94" w14:textId="77777777" w:rsidR="00A427E9" w:rsidRDefault="00A427E9" w:rsidP="00EA05FD">
      <w:pPr>
        <w:jc w:val="both"/>
        <w:rPr>
          <w:b/>
          <w:bCs/>
        </w:rPr>
      </w:pPr>
    </w:p>
    <w:p w14:paraId="6BA068E0" w14:textId="5BBE3617" w:rsidR="00EA05FD" w:rsidRPr="00817D10" w:rsidRDefault="00EA05FD" w:rsidP="00EA05FD">
      <w:pPr>
        <w:jc w:val="both"/>
        <w:rPr>
          <w:b/>
          <w:bCs/>
        </w:rPr>
      </w:pPr>
      <w:r w:rsidRPr="00817D10">
        <w:rPr>
          <w:b/>
          <w:bCs/>
        </w:rPr>
        <w:t>Note</w:t>
      </w:r>
      <w:r>
        <w:rPr>
          <w:b/>
          <w:bCs/>
        </w:rPr>
        <w:t xml:space="preserve"> 4</w:t>
      </w:r>
      <w:r w:rsidRPr="00817D10">
        <w:rPr>
          <w:b/>
          <w:bCs/>
        </w:rPr>
        <w:t>: Shrinkage of the H</w:t>
      </w:r>
      <w:r w:rsidRPr="00817D10">
        <w:rPr>
          <w:b/>
          <w:bCs/>
          <w:vertAlign w:val="subscript"/>
        </w:rPr>
        <w:t>2</w:t>
      </w:r>
      <w:r w:rsidRPr="00817D10">
        <w:rPr>
          <w:b/>
          <w:bCs/>
        </w:rPr>
        <w:t xml:space="preserve"> bubbles</w:t>
      </w:r>
    </w:p>
    <w:p w14:paraId="03E45B9B" w14:textId="6058AB0B" w:rsidR="00EA05FD" w:rsidRDefault="00EA05FD" w:rsidP="00EA05FD">
      <w:pPr>
        <w:jc w:val="both"/>
      </w:pPr>
      <w:r w:rsidRPr="009326A6">
        <w:t>The shrink</w:t>
      </w:r>
      <w:r>
        <w:t>age</w:t>
      </w:r>
      <w:r w:rsidRPr="009326A6">
        <w:t xml:space="preserve"> and collapse of the bubbles </w:t>
      </w:r>
      <w:r>
        <w:t>are</w:t>
      </w:r>
      <w:r w:rsidRPr="009326A6">
        <w:t xml:space="preserve"> the result of competition between the outward H</w:t>
      </w:r>
      <w:r w:rsidRPr="001D7B3D">
        <w:rPr>
          <w:vertAlign w:val="subscript"/>
        </w:rPr>
        <w:t>2</w:t>
      </w:r>
      <w:r w:rsidRPr="009326A6">
        <w:t xml:space="preserve"> diffusion pressure and the inward pressure of the surrounding liquid at the gas-liquid interface. Most of the bubbles show a similar trend, with an initial</w:t>
      </w:r>
      <w:r w:rsidR="00F00CC4">
        <w:t xml:space="preserve"> slow</w:t>
      </w:r>
      <w:r w:rsidRPr="009326A6">
        <w:t xml:space="preserve"> shrinking speed likely due to dynamic interactions with </w:t>
      </w:r>
      <w:r w:rsidRPr="009326A6">
        <w:lastRenderedPageBreak/>
        <w:t>supersaturated hydrogen at the bubble surface vicinity</w:t>
      </w:r>
      <w:r w:rsidR="00F45AD1">
        <w:t>,</w:t>
      </w:r>
      <w:r w:rsidRPr="009326A6">
        <w:t xml:space="preserve"> which is followed by a rapid collapse (</w:t>
      </w:r>
      <w:r w:rsidRPr="009326A6">
        <w:rPr>
          <w:b/>
          <w:bCs/>
        </w:rPr>
        <w:t>Figure S</w:t>
      </w:r>
      <w:r>
        <w:rPr>
          <w:b/>
          <w:bCs/>
        </w:rPr>
        <w:t>1</w:t>
      </w:r>
      <w:r w:rsidR="00354907">
        <w:rPr>
          <w:b/>
          <w:bCs/>
        </w:rPr>
        <w:t>1</w:t>
      </w:r>
      <w:r w:rsidRPr="009326A6">
        <w:rPr>
          <w:b/>
          <w:bCs/>
        </w:rPr>
        <w:t>a</w:t>
      </w:r>
      <w:r w:rsidRPr="009326A6">
        <w:t>). Here, most of the bubbles eventually shrank and collapsed under ~80 s. However, some of the bubbles exhibited a secondary expansion phase even after the E-field and laser pattern is turned off (</w:t>
      </w:r>
      <w:r w:rsidRPr="009326A6">
        <w:rPr>
          <w:b/>
          <w:bCs/>
        </w:rPr>
        <w:t>Figure S</w:t>
      </w:r>
      <w:r>
        <w:rPr>
          <w:b/>
          <w:bCs/>
        </w:rPr>
        <w:t>1</w:t>
      </w:r>
      <w:r w:rsidR="00354907">
        <w:rPr>
          <w:b/>
          <w:bCs/>
        </w:rPr>
        <w:t>1</w:t>
      </w:r>
      <w:r w:rsidRPr="009326A6">
        <w:rPr>
          <w:b/>
          <w:bCs/>
        </w:rPr>
        <w:t>b</w:t>
      </w:r>
      <w:r w:rsidRPr="009326A6">
        <w:t xml:space="preserve">). This additional growth of the bubbles increases the bubble lifetime, taking the total time to shrink and collapse as </w:t>
      </w:r>
      <w:r w:rsidR="00F45AD1">
        <w:t>from</w:t>
      </w:r>
      <w:r w:rsidRPr="009326A6">
        <w:t xml:space="preserve"> ~ 125 s to over 300 s. Similar bubble growth has been </w:t>
      </w:r>
      <w:r w:rsidR="00F00CC4">
        <w:t>found in</w:t>
      </w:r>
      <w:r w:rsidRPr="009326A6">
        <w:t xml:space="preserve"> bubbles in supersaturated water at the vicinity of </w:t>
      </w:r>
      <w:r w:rsidR="00F45AD1">
        <w:t>an</w:t>
      </w:r>
      <w:r w:rsidR="00F45AD1" w:rsidRPr="009326A6">
        <w:t xml:space="preserve"> </w:t>
      </w:r>
      <w:r w:rsidRPr="009326A6">
        <w:t>electrode.</w:t>
      </w:r>
      <w:r w:rsidR="00651077" w:rsidRPr="00651077">
        <w:rPr>
          <w:noProof/>
          <w:vertAlign w:val="superscript"/>
        </w:rPr>
        <w:t>26</w:t>
      </w:r>
    </w:p>
    <w:p w14:paraId="5AF7F727" w14:textId="77777777" w:rsidR="00EA05FD" w:rsidRDefault="00EA05FD" w:rsidP="00C82445">
      <w:pPr>
        <w:jc w:val="both"/>
      </w:pPr>
    </w:p>
    <w:p w14:paraId="154D491C" w14:textId="081B5F17" w:rsidR="00C43D67" w:rsidRPr="00F356D0" w:rsidRDefault="00C43D67" w:rsidP="00C86544">
      <w:pPr>
        <w:jc w:val="both"/>
        <w:rPr>
          <w:b/>
          <w:bCs/>
        </w:rPr>
      </w:pPr>
      <w:r w:rsidRPr="00F356D0">
        <w:rPr>
          <w:b/>
          <w:bCs/>
        </w:rPr>
        <w:t>Note</w:t>
      </w:r>
      <w:r w:rsidR="002943CA">
        <w:rPr>
          <w:b/>
          <w:bCs/>
        </w:rPr>
        <w:t xml:space="preserve"> </w:t>
      </w:r>
      <w:r w:rsidR="00EA05FD">
        <w:rPr>
          <w:b/>
          <w:bCs/>
        </w:rPr>
        <w:t>5</w:t>
      </w:r>
      <w:r w:rsidRPr="00F356D0">
        <w:rPr>
          <w:b/>
          <w:bCs/>
        </w:rPr>
        <w:t>: Consideration of the surface state and particle density</w:t>
      </w:r>
    </w:p>
    <w:p w14:paraId="61672C58" w14:textId="77777777" w:rsidR="00C43D67" w:rsidRDefault="00C43D67" w:rsidP="00C86544">
      <w:pPr>
        <w:jc w:val="both"/>
      </w:pPr>
      <w:r w:rsidRPr="00C43D67">
        <w:t xml:space="preserve">The versatile bubble-patterning technique is applied for capturing and assembling colloidal nanoparticles. For this purpose, it is crucial to control the surface state of the substate, as well as the shape and size of microbubbles. </w:t>
      </w:r>
    </w:p>
    <w:p w14:paraId="4A6368A6" w14:textId="4982C8B4" w:rsidR="00C43D67" w:rsidRDefault="00C43D67" w:rsidP="00C86544">
      <w:pPr>
        <w:jc w:val="both"/>
      </w:pPr>
      <w:r w:rsidRPr="00C43D67">
        <w:t xml:space="preserve">1) On a native α-Si:H surface, a hydrogen bubble maximizes its contact and adapts to a truncated sphere due to the hydrophobic nature of </w:t>
      </w:r>
      <w:r w:rsidR="00F45AD1">
        <w:t xml:space="preserve">both the </w:t>
      </w:r>
      <w:r w:rsidRPr="00C43D67">
        <w:t xml:space="preserve">hydrogen gas and </w:t>
      </w:r>
      <w:r w:rsidR="00F45AD1">
        <w:t xml:space="preserve">the </w:t>
      </w:r>
      <w:r w:rsidRPr="00C43D67">
        <w:t>α-Si:H.</w:t>
      </w:r>
      <w:r w:rsidR="00651077" w:rsidRPr="00651077">
        <w:rPr>
          <w:noProof/>
          <w:vertAlign w:val="superscript"/>
        </w:rPr>
        <w:t>11,27</w:t>
      </w:r>
      <w:r w:rsidRPr="00C43D67">
        <w:t xml:space="preserve"> As a result, the particles deposit into a coffee ring structure (</w:t>
      </w:r>
      <w:r w:rsidRPr="00106D15">
        <w:rPr>
          <w:b/>
          <w:bCs/>
        </w:rPr>
        <w:t>Figure S</w:t>
      </w:r>
      <w:r w:rsidR="00354907">
        <w:rPr>
          <w:b/>
          <w:bCs/>
        </w:rPr>
        <w:t>4</w:t>
      </w:r>
      <w:r w:rsidRPr="00C43D67">
        <w:t>). We, therefore, tune the α-Si:H substrate to be hydrophilic to obtain single-spot particle deposition via a spherical, single-contact microbubble</w:t>
      </w:r>
      <w:r w:rsidR="00F45AD1">
        <w:t>s</w:t>
      </w:r>
      <w:r w:rsidRPr="00C43D67">
        <w:t xml:space="preserve">. </w:t>
      </w:r>
    </w:p>
    <w:p w14:paraId="731B2F6C" w14:textId="6C6D3C81" w:rsidR="00C43D67" w:rsidRDefault="00C43D67" w:rsidP="00C86544">
      <w:pPr>
        <w:jc w:val="both"/>
      </w:pPr>
      <w:r w:rsidRPr="00C43D67">
        <w:t>2) When the particle density inside the solution is low</w:t>
      </w:r>
      <w:r w:rsidR="00CE6BAB">
        <w:t>, or no particles are inside the solution</w:t>
      </w:r>
      <w:r w:rsidRPr="00C43D67">
        <w:t>, multiple, instead of single, bubbles form under light spots (</w:t>
      </w:r>
      <w:r w:rsidRPr="00106D15">
        <w:rPr>
          <w:b/>
          <w:bCs/>
        </w:rPr>
        <w:t>Figure 4a, inset</w:t>
      </w:r>
      <w:r w:rsidR="00B81412">
        <w:t>,</w:t>
      </w:r>
      <w:r w:rsidRPr="00C43D67">
        <w:t xml:space="preserve"> </w:t>
      </w:r>
      <w:r w:rsidRPr="00106D15">
        <w:rPr>
          <w:b/>
          <w:bCs/>
        </w:rPr>
        <w:t>Video</w:t>
      </w:r>
      <w:r w:rsidR="0061389B">
        <w:rPr>
          <w:b/>
          <w:bCs/>
        </w:rPr>
        <w:t xml:space="preserve"> S</w:t>
      </w:r>
      <w:r w:rsidR="008C27FD">
        <w:rPr>
          <w:b/>
          <w:bCs/>
        </w:rPr>
        <w:t>5</w:t>
      </w:r>
      <w:r w:rsidRPr="00106D15">
        <w:t>),</w:t>
      </w:r>
      <w:r w:rsidR="00487BB0" w:rsidRPr="00487BB0">
        <w:rPr>
          <w:noProof/>
          <w:vertAlign w:val="superscript"/>
        </w:rPr>
        <w:t>11</w:t>
      </w:r>
      <w:r w:rsidRPr="00C43D67">
        <w:t xml:space="preserve"> which </w:t>
      </w:r>
      <w:r w:rsidR="00CE6BAB">
        <w:t xml:space="preserve">is </w:t>
      </w:r>
      <w:r w:rsidR="00F45AD1">
        <w:t xml:space="preserve">not suitable </w:t>
      </w:r>
      <w:r w:rsidRPr="00C43D67">
        <w:t>for precisely positioning nanoparticles. The single-bubble formation in a nanoparticle colloid suspension</w:t>
      </w:r>
      <w:r w:rsidR="00C6588D">
        <w:t xml:space="preserve"> (</w:t>
      </w:r>
      <w:r w:rsidR="00C6588D" w:rsidRPr="00C6588D">
        <w:rPr>
          <w:b/>
          <w:bCs/>
        </w:rPr>
        <w:t xml:space="preserve">Video </w:t>
      </w:r>
      <w:r w:rsidR="00B81412" w:rsidRPr="00C6588D">
        <w:rPr>
          <w:b/>
          <w:bCs/>
        </w:rPr>
        <w:t>S</w:t>
      </w:r>
      <w:r w:rsidR="008C27FD">
        <w:rPr>
          <w:b/>
          <w:bCs/>
        </w:rPr>
        <w:t>5</w:t>
      </w:r>
      <w:r w:rsidR="00C6588D">
        <w:t>)</w:t>
      </w:r>
      <w:r w:rsidRPr="00C43D67">
        <w:t>, in contrast to multi-bubbles made without nanocolloids, could be attributed to a total energy reduction driven by surface-area minimization</w:t>
      </w:r>
      <w:r w:rsidR="00F00CC4">
        <w:t xml:space="preserve"> as discussed in Note 3</w:t>
      </w:r>
      <w:r w:rsidRPr="00C43D67">
        <w:t xml:space="preserve">. </w:t>
      </w:r>
    </w:p>
    <w:p w14:paraId="4E4143A5" w14:textId="34119DDF" w:rsidR="004E2E62" w:rsidRPr="00F23C1F" w:rsidRDefault="004E2E62" w:rsidP="004E2E62">
      <w:pPr>
        <w:rPr>
          <w:b/>
          <w:bCs/>
        </w:rPr>
      </w:pPr>
      <w:r w:rsidRPr="00F23C1F">
        <w:rPr>
          <w:b/>
          <w:bCs/>
        </w:rPr>
        <w:t xml:space="preserve">Note </w:t>
      </w:r>
      <w:r w:rsidR="00EA05FD">
        <w:rPr>
          <w:b/>
          <w:bCs/>
        </w:rPr>
        <w:t>6</w:t>
      </w:r>
      <w:r w:rsidRPr="00F23C1F">
        <w:rPr>
          <w:b/>
          <w:bCs/>
        </w:rPr>
        <w:t>: Gas-diffusion controlled process of microbubble growth</w:t>
      </w:r>
    </w:p>
    <w:p w14:paraId="32CD15A6" w14:textId="3F2564A9" w:rsidR="004E2E62" w:rsidRDefault="004E2E62" w:rsidP="004E2E62">
      <w:pPr>
        <w:jc w:val="both"/>
      </w:pPr>
      <w:r>
        <w:t>W</w:t>
      </w:r>
      <w:r w:rsidRPr="004E2E62">
        <w:t>hile a slope of 0.5 is often assumed for ideal diffusion-controlled growth,</w:t>
      </w:r>
      <w:r w:rsidR="00651077" w:rsidRPr="00651077">
        <w:rPr>
          <w:noProof/>
          <w:vertAlign w:val="superscript"/>
        </w:rPr>
        <w:t>28,29</w:t>
      </w:r>
      <w:r w:rsidRPr="004E2E62">
        <w:t xml:space="preserve"> variations from the diffusion-controlled growth model may exist </w:t>
      </w:r>
      <w:r w:rsidR="00B42EE5">
        <w:t>due to</w:t>
      </w:r>
      <w:r w:rsidRPr="004E2E62">
        <w:t xml:space="preserve"> the following</w:t>
      </w:r>
      <w:r w:rsidR="001C73CC">
        <w:t xml:space="preserve"> factors</w:t>
      </w:r>
      <w:r w:rsidRPr="004E2E62">
        <w:t xml:space="preserve">: </w:t>
      </w:r>
      <w:r w:rsidR="00B42EE5">
        <w:t>1</w:t>
      </w:r>
      <w:r w:rsidRPr="004E2E62">
        <w:t xml:space="preserve">) The </w:t>
      </w:r>
      <w:r w:rsidR="0021441E">
        <w:t>research</w:t>
      </w:r>
      <w:r w:rsidR="003B6FEF">
        <w:t xml:space="preserve"> in </w:t>
      </w:r>
      <w:r w:rsidR="00B42EE5">
        <w:t>references</w:t>
      </w:r>
      <w:r w:rsidR="00651077" w:rsidRPr="00651077">
        <w:rPr>
          <w:noProof/>
          <w:vertAlign w:val="superscript"/>
        </w:rPr>
        <w:t>28,29</w:t>
      </w:r>
      <w:r w:rsidRPr="004E2E62">
        <w:t xml:space="preserve"> used solutions such as sulfuric acid in water, </w:t>
      </w:r>
      <w:r w:rsidR="001C73CC">
        <w:t>which exhibits a higher</w:t>
      </w:r>
      <w:r w:rsidRPr="004E2E62">
        <w:t xml:space="preserve"> hydrogen </w:t>
      </w:r>
      <w:r w:rsidR="001C73CC">
        <w:t xml:space="preserve">ion </w:t>
      </w:r>
      <w:r w:rsidRPr="004E2E62">
        <w:t>concentration</w:t>
      </w:r>
      <w:r w:rsidR="001C73CC">
        <w:t xml:space="preserve"> for hydrogen bubble growth</w:t>
      </w:r>
      <w:r w:rsidRPr="004E2E62">
        <w:t xml:space="preserve"> </w:t>
      </w:r>
      <w:r w:rsidR="001C73CC">
        <w:t xml:space="preserve">compared to </w:t>
      </w:r>
      <w:r w:rsidR="0021441E">
        <w:t xml:space="preserve">that in </w:t>
      </w:r>
      <w:r w:rsidR="003B6FEF">
        <w:t xml:space="preserve">D.I. water used in </w:t>
      </w:r>
      <w:r w:rsidR="001C73CC">
        <w:t xml:space="preserve">our </w:t>
      </w:r>
      <w:r w:rsidR="0021441E">
        <w:t>study</w:t>
      </w:r>
      <w:r w:rsidRPr="004E2E62">
        <w:t>. 3) The model assumes that the bubble is far away from any solid wall</w:t>
      </w:r>
      <w:r w:rsidR="001C73CC">
        <w:t xml:space="preserve"> since </w:t>
      </w:r>
      <w:r w:rsidRPr="004E2E62">
        <w:t xml:space="preserve">the surface roughness </w:t>
      </w:r>
      <w:r w:rsidR="00B42EE5">
        <w:t>may alter</w:t>
      </w:r>
      <w:r w:rsidRPr="004E2E62">
        <w:t xml:space="preserve"> the bubble growth.</w:t>
      </w:r>
      <w:r w:rsidR="00651077" w:rsidRPr="00651077">
        <w:rPr>
          <w:noProof/>
          <w:vertAlign w:val="superscript"/>
        </w:rPr>
        <w:t>30</w:t>
      </w:r>
      <w:r w:rsidRPr="004E2E62">
        <w:t xml:space="preserve"> </w:t>
      </w:r>
      <w:r w:rsidR="001C73CC">
        <w:t xml:space="preserve">While, </w:t>
      </w:r>
      <w:r w:rsidR="003B6FEF">
        <w:t>we grew</w:t>
      </w:r>
      <w:r w:rsidR="001C73CC">
        <w:t xml:space="preserve"> bubbles next to </w:t>
      </w:r>
      <w:r w:rsidR="0021441E">
        <w:t>a</w:t>
      </w:r>
      <w:r w:rsidR="001C73CC">
        <w:t xml:space="preserve"> substrate. </w:t>
      </w:r>
      <w:r w:rsidRPr="004E2E62">
        <w:t xml:space="preserve">4) Last, </w:t>
      </w:r>
      <w:r w:rsidR="003B6FEF">
        <w:t>we usually grew</w:t>
      </w:r>
      <w:r w:rsidR="00B42EE5">
        <w:t xml:space="preserve"> bubbles in</w:t>
      </w:r>
      <w:r w:rsidRPr="004E2E62">
        <w:t xml:space="preserve"> a close</w:t>
      </w:r>
      <w:r w:rsidR="00B42EE5">
        <w:t>ly spaced</w:t>
      </w:r>
      <w:r w:rsidRPr="004E2E62">
        <w:t xml:space="preserve"> array.</w:t>
      </w:r>
      <w:r w:rsidR="001C73CC">
        <w:t xml:space="preserve"> I</w:t>
      </w:r>
      <w:r w:rsidRPr="004E2E62">
        <w:t xml:space="preserve">t has been reported that the presence of </w:t>
      </w:r>
      <w:r w:rsidR="003B6FEF">
        <w:t>close-by</w:t>
      </w:r>
      <w:r w:rsidRPr="004E2E62">
        <w:t xml:space="preserve"> bubbles decreases </w:t>
      </w:r>
      <w:r w:rsidR="003B6FEF">
        <w:t>a</w:t>
      </w:r>
      <w:r w:rsidRPr="004E2E62">
        <w:t xml:space="preserve"> bubble</w:t>
      </w:r>
      <w:r w:rsidR="003B6FEF">
        <w:t>’s</w:t>
      </w:r>
      <w:r w:rsidRPr="004E2E62">
        <w:t xml:space="preserve"> growth.</w:t>
      </w:r>
      <w:r w:rsidR="00651077" w:rsidRPr="00651077">
        <w:rPr>
          <w:noProof/>
          <w:vertAlign w:val="superscript"/>
        </w:rPr>
        <w:t>31</w:t>
      </w:r>
      <w:r w:rsidRPr="004E2E62">
        <w:t xml:space="preserve"> </w:t>
      </w:r>
      <w:r w:rsidR="0021441E">
        <w:t>T</w:t>
      </w:r>
      <w:r w:rsidRPr="004E2E62">
        <w:t xml:space="preserve">he reported </w:t>
      </w:r>
      <w:r w:rsidR="0021441E" w:rsidRPr="004E2E62">
        <w:t xml:space="preserve">power factor </w:t>
      </w:r>
      <w:r w:rsidRPr="004E2E62">
        <w:t xml:space="preserve">of a second bubble generated next to an already existing bubble </w:t>
      </w:r>
      <w:r w:rsidR="0021441E">
        <w:t>is</w:t>
      </w:r>
      <w:r w:rsidR="003B6FEF">
        <w:t xml:space="preserve"> </w:t>
      </w:r>
      <w:r w:rsidRPr="004E2E62">
        <w:t xml:space="preserve">0.44, which exactly </w:t>
      </w:r>
      <w:r w:rsidR="001C73CC">
        <w:t>agrees with</w:t>
      </w:r>
      <w:r w:rsidRPr="004E2E62">
        <w:t xml:space="preserve"> </w:t>
      </w:r>
      <w:r w:rsidR="007308A6">
        <w:t>that we observed in</w:t>
      </w:r>
      <w:r w:rsidR="001C73CC">
        <w:t xml:space="preserve"> experiment</w:t>
      </w:r>
      <w:r w:rsidR="007308A6">
        <w:t>s</w:t>
      </w:r>
      <w:r w:rsidRPr="004E2E62">
        <w:t>.</w:t>
      </w:r>
    </w:p>
    <w:p w14:paraId="4883ED66" w14:textId="1DADD4FF" w:rsidR="00EA05FD" w:rsidRDefault="00EA05FD" w:rsidP="00EA05FD">
      <w:pPr>
        <w:jc w:val="both"/>
        <w:rPr>
          <w:b/>
          <w:bCs/>
        </w:rPr>
      </w:pPr>
      <w:r w:rsidRPr="00F10AA4">
        <w:rPr>
          <w:b/>
          <w:bCs/>
        </w:rPr>
        <w:t xml:space="preserve">Note </w:t>
      </w:r>
      <w:r>
        <w:rPr>
          <w:b/>
          <w:bCs/>
        </w:rPr>
        <w:t>7</w:t>
      </w:r>
      <w:r w:rsidRPr="00F10AA4">
        <w:rPr>
          <w:b/>
          <w:bCs/>
        </w:rPr>
        <w:t xml:space="preserve">: </w:t>
      </w:r>
      <w:r w:rsidR="006923BB">
        <w:rPr>
          <w:b/>
          <w:bCs/>
        </w:rPr>
        <w:t>Deposition of hybrid Ag – E-coli assemblies</w:t>
      </w:r>
    </w:p>
    <w:p w14:paraId="787AC6B0" w14:textId="019E0A54" w:rsidR="00C43D67" w:rsidRDefault="006923BB" w:rsidP="004E2E62">
      <w:pPr>
        <w:jc w:val="both"/>
      </w:pPr>
      <w:r>
        <w:t xml:space="preserve">Ag– </w:t>
      </w:r>
      <w:r w:rsidRPr="00ED6CF5">
        <w:rPr>
          <w:i/>
          <w:iCs/>
        </w:rPr>
        <w:t>E-col</w:t>
      </w:r>
      <w:r w:rsidRPr="00646D95">
        <w:rPr>
          <w:i/>
          <w:iCs/>
        </w:rPr>
        <w:t>i</w:t>
      </w:r>
      <w:r>
        <w:t xml:space="preserve"> hybrid assemblies were </w:t>
      </w:r>
      <w:r w:rsidR="00F45AD1">
        <w:t xml:space="preserve">obtained </w:t>
      </w:r>
      <w:r>
        <w:t xml:space="preserve">by </w:t>
      </w:r>
      <w:r w:rsidR="00590BED">
        <w:t xml:space="preserve">depositing Ag nanoparticle assemblies </w:t>
      </w:r>
      <w:r w:rsidR="00F45AD1">
        <w:t xml:space="preserve">using microbubbles as described in the text, </w:t>
      </w:r>
      <w:r w:rsidR="00590BED">
        <w:t xml:space="preserve">followed by the deposition of </w:t>
      </w:r>
      <w:r w:rsidR="00590BED" w:rsidRPr="00ED6CF5">
        <w:rPr>
          <w:i/>
          <w:iCs/>
        </w:rPr>
        <w:t xml:space="preserve">E. coli </w:t>
      </w:r>
      <w:r w:rsidR="00590BED" w:rsidRPr="00ED6CF5">
        <w:t>cells</w:t>
      </w:r>
      <w:r w:rsidR="00590BED">
        <w:t xml:space="preserve">. In between, the solution is </w:t>
      </w:r>
      <w:r w:rsidR="00BA589B">
        <w:t>exchang</w:t>
      </w:r>
      <w:r w:rsidR="00590BED">
        <w:t xml:space="preserve">ed. Specifically, </w:t>
      </w:r>
      <w:r>
        <w:t>we first deposit</w:t>
      </w:r>
      <w:r w:rsidR="00590BED">
        <w:t>ed</w:t>
      </w:r>
      <w:r>
        <w:t xml:space="preserve"> Ag clusters using a Ag particle solution. After </w:t>
      </w:r>
      <w:r w:rsidR="00F45AD1">
        <w:t>the Ag nano</w:t>
      </w:r>
      <w:r>
        <w:t xml:space="preserve">particle deposition, the </w:t>
      </w:r>
      <w:r w:rsidR="00BA589B">
        <w:t xml:space="preserve">original Ag </w:t>
      </w:r>
      <w:r w:rsidR="00F45AD1">
        <w:t xml:space="preserve">nanoparticle </w:t>
      </w:r>
      <w:r>
        <w:t xml:space="preserve">solution was removed by </w:t>
      </w:r>
      <w:r w:rsidR="00BA589B">
        <w:t xml:space="preserve">gently </w:t>
      </w:r>
      <w:r>
        <w:t>applying and removing</w:t>
      </w:r>
      <w:r w:rsidR="00BA589B">
        <w:t xml:space="preserve"> fresh DI water to</w:t>
      </w:r>
      <w:r>
        <w:t xml:space="preserve"> the </w:t>
      </w:r>
      <w:r w:rsidR="00BA589B">
        <w:t>surface</w:t>
      </w:r>
      <w:r>
        <w:t xml:space="preserve"> 10 times. </w:t>
      </w:r>
      <w:r w:rsidR="00BA589B">
        <w:t>Then, t</w:t>
      </w:r>
      <w:r>
        <w:t xml:space="preserve">he sample </w:t>
      </w:r>
      <w:r w:rsidR="00590BED">
        <w:t xml:space="preserve">was </w:t>
      </w:r>
      <w:r>
        <w:t xml:space="preserve">dried, and an </w:t>
      </w:r>
      <w:r w:rsidRPr="00ED6CF5">
        <w:rPr>
          <w:i/>
          <w:iCs/>
        </w:rPr>
        <w:t>E</w:t>
      </w:r>
      <w:r w:rsidR="00590BED" w:rsidRPr="00ED6CF5">
        <w:rPr>
          <w:i/>
          <w:iCs/>
        </w:rPr>
        <w:t xml:space="preserve">. </w:t>
      </w:r>
      <w:r w:rsidRPr="00ED6CF5">
        <w:rPr>
          <w:i/>
          <w:iCs/>
        </w:rPr>
        <w:t>coli</w:t>
      </w:r>
      <w:r>
        <w:t xml:space="preserve"> solution</w:t>
      </w:r>
      <w:r w:rsidR="00590BED">
        <w:t xml:space="preserve"> was dispersed in the contained, followed by the bubble assembly</w:t>
      </w:r>
      <w:r>
        <w:t xml:space="preserve">. </w:t>
      </w:r>
    </w:p>
    <w:p w14:paraId="056823FD" w14:textId="77777777" w:rsidR="00F2539B" w:rsidRDefault="00F2539B" w:rsidP="004E2E62">
      <w:pPr>
        <w:jc w:val="both"/>
        <w:rPr>
          <w:b/>
          <w:bCs/>
        </w:rPr>
      </w:pPr>
    </w:p>
    <w:p w14:paraId="448D2B59" w14:textId="029E13BE" w:rsidR="00C43D67" w:rsidRPr="00F10AA4" w:rsidRDefault="00C43D67" w:rsidP="004E2E62">
      <w:pPr>
        <w:jc w:val="both"/>
        <w:rPr>
          <w:b/>
          <w:bCs/>
        </w:rPr>
      </w:pPr>
      <w:r w:rsidRPr="00F10AA4">
        <w:rPr>
          <w:b/>
          <w:bCs/>
        </w:rPr>
        <w:lastRenderedPageBreak/>
        <w:t xml:space="preserve">Note </w:t>
      </w:r>
      <w:r w:rsidR="00EA05FD">
        <w:rPr>
          <w:b/>
          <w:bCs/>
        </w:rPr>
        <w:t>8</w:t>
      </w:r>
      <w:r w:rsidRPr="00F10AA4">
        <w:rPr>
          <w:b/>
          <w:bCs/>
        </w:rPr>
        <w:t>: Measurement of E-coli metabolites using SERS</w:t>
      </w:r>
    </w:p>
    <w:p w14:paraId="7AEEBDC7" w14:textId="087610B5" w:rsidR="00C43D67" w:rsidRDefault="00C43D67" w:rsidP="004E2E62">
      <w:pPr>
        <w:jc w:val="both"/>
      </w:pPr>
      <w:r w:rsidRPr="00C43D67">
        <w:t>Three SERS measurements are made with two measurements for control: 1) away from the silver nanoparticle deposits, where the silver nanoparticle density is low and not concentrated enough to generate ‘hot spots’ (</w:t>
      </w:r>
      <w:r w:rsidRPr="007F20EC">
        <w:rPr>
          <w:b/>
          <w:bCs/>
        </w:rPr>
        <w:t xml:space="preserve">Figure </w:t>
      </w:r>
      <w:r w:rsidR="00FE25C1" w:rsidRPr="007F20EC">
        <w:rPr>
          <w:b/>
          <w:bCs/>
        </w:rPr>
        <w:t>S1</w:t>
      </w:r>
      <w:r w:rsidR="00354907">
        <w:rPr>
          <w:b/>
          <w:bCs/>
        </w:rPr>
        <w:t>2</w:t>
      </w:r>
      <w:r w:rsidRPr="007F20EC">
        <w:rPr>
          <w:b/>
          <w:bCs/>
        </w:rPr>
        <w:t>, blue line</w:t>
      </w:r>
      <w:r w:rsidRPr="00C43D67">
        <w:t>). 2) At a silver nanoparticle deposit, but without any AC field to attract E-coli, leading to the generation of ‘hot spots’ but without any detection of E-coli (</w:t>
      </w:r>
      <w:r w:rsidRPr="007F20EC">
        <w:rPr>
          <w:b/>
          <w:bCs/>
        </w:rPr>
        <w:t xml:space="preserve">Figure </w:t>
      </w:r>
      <w:r w:rsidR="00486F47" w:rsidRPr="007F20EC">
        <w:rPr>
          <w:b/>
          <w:bCs/>
        </w:rPr>
        <w:t>S1</w:t>
      </w:r>
      <w:r w:rsidR="00354907">
        <w:rPr>
          <w:b/>
          <w:bCs/>
        </w:rPr>
        <w:t>2</w:t>
      </w:r>
      <w:r w:rsidRPr="007F20EC">
        <w:rPr>
          <w:b/>
          <w:bCs/>
        </w:rPr>
        <w:t>, black line</w:t>
      </w:r>
      <w:r w:rsidRPr="00C43D67">
        <w:t>). 3) At a silver nanoparticle deposit with the AC field on, leading to the generation of ‘hot spots’ with E-coli at the vicinity of the deposit (</w:t>
      </w:r>
      <w:r w:rsidRPr="007F20EC">
        <w:rPr>
          <w:b/>
          <w:bCs/>
        </w:rPr>
        <w:t xml:space="preserve">Figure </w:t>
      </w:r>
      <w:r w:rsidR="00FE25C1" w:rsidRPr="007F20EC">
        <w:rPr>
          <w:b/>
          <w:bCs/>
        </w:rPr>
        <w:t>S1</w:t>
      </w:r>
      <w:r w:rsidR="00354907">
        <w:rPr>
          <w:b/>
          <w:bCs/>
        </w:rPr>
        <w:t>2</w:t>
      </w:r>
      <w:r w:rsidRPr="007F20EC">
        <w:rPr>
          <w:b/>
          <w:bCs/>
        </w:rPr>
        <w:t>, red line</w:t>
      </w:r>
      <w:r w:rsidRPr="00C43D67">
        <w:t xml:space="preserve">). First, as expected, </w:t>
      </w:r>
      <w:r w:rsidR="00F45AD1">
        <w:t>the SERS signals are low from</w:t>
      </w:r>
      <w:r w:rsidRPr="00C43D67">
        <w:t xml:space="preserve"> the silicon surface</w:t>
      </w:r>
      <w:r w:rsidR="00F45AD1">
        <w:t xml:space="preserve"> alone</w:t>
      </w:r>
      <w:r w:rsidRPr="00C43D67">
        <w:t xml:space="preserve">, compared to when the measurement is taken at the silver nanoparticle assembly. </w:t>
      </w:r>
      <w:r w:rsidR="00F45AD1">
        <w:t>The</w:t>
      </w:r>
      <w:r w:rsidRPr="00C43D67">
        <w:t xml:space="preserve"> </w:t>
      </w:r>
      <w:r w:rsidR="00F45AD1">
        <w:t xml:space="preserve">SERS </w:t>
      </w:r>
      <w:r w:rsidRPr="00C43D67">
        <w:t xml:space="preserve">measurement </w:t>
      </w:r>
      <w:r w:rsidR="00F45AD1">
        <w:t>from</w:t>
      </w:r>
      <w:r w:rsidR="00F45AD1" w:rsidRPr="00C43D67">
        <w:t xml:space="preserve"> </w:t>
      </w:r>
      <w:r w:rsidRPr="00C43D67">
        <w:t xml:space="preserve">the silver nanoparticle assembly </w:t>
      </w:r>
      <w:r w:rsidR="00F45AD1">
        <w:t xml:space="preserve">in the absence of the </w:t>
      </w:r>
      <w:r w:rsidRPr="00C43D67">
        <w:t xml:space="preserve">E-field, </w:t>
      </w:r>
      <w:r w:rsidR="00F45AD1">
        <w:t xml:space="preserve">shows stronger signals, but </w:t>
      </w:r>
      <w:r w:rsidRPr="00C43D67">
        <w:t xml:space="preserve">characteristic peaks associated with E-coli were not observed. Last, when the E-field is turned on, multiple peaks </w:t>
      </w:r>
      <w:r w:rsidR="00F45AD1">
        <w:t>are seen</w:t>
      </w:r>
      <w:r w:rsidRPr="00C43D67">
        <w:t xml:space="preserve">, indicating the attraction of E-coli by the DEP force. </w:t>
      </w:r>
      <w:r w:rsidR="00B0119F">
        <w:t xml:space="preserve">The plots are displayed in </w:t>
      </w:r>
      <w:r w:rsidR="00B0119F" w:rsidRPr="007F20EC">
        <w:rPr>
          <w:b/>
          <w:bCs/>
        </w:rPr>
        <w:t xml:space="preserve">Figure </w:t>
      </w:r>
      <w:r w:rsidR="00B0119F">
        <w:rPr>
          <w:b/>
          <w:bCs/>
        </w:rPr>
        <w:t>6</w:t>
      </w:r>
      <w:r w:rsidR="00B0119F" w:rsidRPr="007F20EC">
        <w:rPr>
          <w:b/>
          <w:bCs/>
        </w:rPr>
        <w:t>d</w:t>
      </w:r>
      <w:r w:rsidR="00B0119F" w:rsidRPr="00C43D67">
        <w:t xml:space="preserve"> </w:t>
      </w:r>
      <w:r w:rsidR="00B0119F">
        <w:t xml:space="preserve">after </w:t>
      </w:r>
      <w:r w:rsidRPr="00C43D67">
        <w:t xml:space="preserve">a baseline correction. </w:t>
      </w:r>
      <w:r w:rsidR="00B0119F">
        <w:t>T</w:t>
      </w:r>
      <w:r w:rsidR="00B0119F" w:rsidRPr="00C43D67">
        <w:t xml:space="preserve">he </w:t>
      </w:r>
      <w:r w:rsidRPr="00C43D67">
        <w:t>peak positions</w:t>
      </w:r>
      <w:r w:rsidR="00B0119F">
        <w:t xml:space="preserve"> are assigned after comparing the results</w:t>
      </w:r>
      <w:r w:rsidRPr="00C43D67">
        <w:t xml:space="preserve"> with multiple references, which are summarized in </w:t>
      </w:r>
      <w:r w:rsidRPr="007F20EC">
        <w:rPr>
          <w:b/>
          <w:bCs/>
        </w:rPr>
        <w:t>SI Table 2</w:t>
      </w:r>
      <w:r w:rsidRPr="00C43D67">
        <w:t>.</w:t>
      </w:r>
    </w:p>
    <w:p w14:paraId="419F8121" w14:textId="77777777" w:rsidR="006B49E3" w:rsidRDefault="006B49E3" w:rsidP="004E2E62">
      <w:pPr>
        <w:jc w:val="both"/>
      </w:pPr>
    </w:p>
    <w:p w14:paraId="099466FE" w14:textId="715F5678" w:rsidR="00B62635" w:rsidRPr="00167797" w:rsidRDefault="00B62635" w:rsidP="00B62635">
      <w:pPr>
        <w:jc w:val="both"/>
        <w:rPr>
          <w:b/>
          <w:bCs/>
        </w:rPr>
      </w:pPr>
      <w:r w:rsidRPr="00167797">
        <w:rPr>
          <w:b/>
          <w:bCs/>
        </w:rPr>
        <w:t>Materials</w:t>
      </w:r>
    </w:p>
    <w:p w14:paraId="1D3FE5E8" w14:textId="6F8C1925" w:rsidR="00B62635" w:rsidRDefault="00B62635" w:rsidP="00B62635">
      <w:pPr>
        <w:jc w:val="both"/>
      </w:pPr>
      <w:r>
        <w:t xml:space="preserve">200 nm fluorescent PS spheres used for particle deposition were purchased from Thermofisher Scientific. The carboxylate-terminated spheres have a surface charge of 0.3699 meq/g (technical </w:t>
      </w:r>
      <w:r w:rsidR="00B83FB5">
        <w:t xml:space="preserve">data </w:t>
      </w:r>
      <w:r>
        <w:t xml:space="preserve">sheet). Sodium sulfate (anhydrous) and hydrogen peroxide (30%) were purchased from Fisher Chemical. Non-Functionalized silver nanoparticles (citrate capped, 40 nm) were purchased from NNCrystal US Corporation and washed with DI-water via centrifugation </w:t>
      </w:r>
      <w:r w:rsidR="00B83FB5">
        <w:t>3x</w:t>
      </w:r>
      <w:r>
        <w:t xml:space="preserve"> and concentrated 4x before use. E-coli (K12 strain) were purchased from Carolina Biological Supply Company</w:t>
      </w:r>
      <w:r w:rsidR="00523937">
        <w:t xml:space="preserve">. The measured cell density of after </w:t>
      </w:r>
      <w:r>
        <w:t>wash</w:t>
      </w:r>
      <w:r w:rsidR="00523937">
        <w:t>ing</w:t>
      </w:r>
      <w:r>
        <w:t xml:space="preserve"> </w:t>
      </w:r>
      <w:r w:rsidR="00523937">
        <w:t>3</w:t>
      </w:r>
      <w:r>
        <w:t>x with DI water</w:t>
      </w:r>
      <w:r w:rsidR="00523937">
        <w:t xml:space="preserve"> turned out to be </w:t>
      </w:r>
      <w:r w:rsidR="00523937" w:rsidRPr="00523937">
        <w:t>4.77</w:t>
      </w:r>
      <w:r w:rsidR="00523937">
        <w:t xml:space="preserve"> x </w:t>
      </w:r>
      <w:r w:rsidR="00523937" w:rsidRPr="00523937">
        <w:t>10</w:t>
      </w:r>
      <w:r w:rsidR="00523937" w:rsidRPr="00523937">
        <w:rPr>
          <w:vertAlign w:val="superscript"/>
        </w:rPr>
        <w:t>7</w:t>
      </w:r>
      <w:r w:rsidR="00523937">
        <w:rPr>
          <w:vertAlign w:val="superscript"/>
        </w:rPr>
        <w:t xml:space="preserve"> </w:t>
      </w:r>
      <w:r w:rsidR="00523937">
        <w:t>cells / mL</w:t>
      </w:r>
      <w:r>
        <w:t xml:space="preserve">. Polydimethylsiloxane (Sylgard 184 silicone elastomer kit) was purchased from Dow Corning Corporation. Cetyltrimethylammonium chloride (25 wt. % in H2O) and Poly(diallyldimethylammonium chloride) (average Mw 200,000-350,000, 20 wt. % in H2O) was purchased from Sigma Aldrich. All reagents were used without further purification. FTO (Fluorine-doped Tin Oxide) glass (0.7 mm thickness and 13 – 15 Ohm/Sq sheet resistance), purchased from MSE Supplies (Product TEC 15), was used as the counter electrode. Sapphire glass–FTO glass–Hydrogen-terminated silicon substrates were fabricated at the University of Stuttgart. </w:t>
      </w:r>
    </w:p>
    <w:p w14:paraId="3763C1A2" w14:textId="657DF651" w:rsidR="00B62635" w:rsidRPr="00167797" w:rsidRDefault="00B62635" w:rsidP="00B62635">
      <w:pPr>
        <w:jc w:val="both"/>
        <w:rPr>
          <w:b/>
          <w:bCs/>
        </w:rPr>
      </w:pPr>
      <w:r w:rsidRPr="00167797">
        <w:rPr>
          <w:b/>
          <w:bCs/>
        </w:rPr>
        <w:t>Equipment</w:t>
      </w:r>
    </w:p>
    <w:p w14:paraId="5B2AEF85" w14:textId="09084137" w:rsidR="00B62635" w:rsidRDefault="00B62635" w:rsidP="00B62635">
      <w:pPr>
        <w:jc w:val="both"/>
      </w:pPr>
      <w:r>
        <w:t xml:space="preserve">The experiments are carried out on an inverted microscope (Olympus IX 70) equipped with a 532 nm laser (DJ532-40, Thorlabs) and a digital light projecting device (DLP, Model DLi4130 .7”VIS XGA, Digital Light Innovations). Scanning electron microscopy (Model Quanta 650, FEI, Model Apreo 2 SEM, Thermo Fisher Scientific) was used for the characterization of deposited particles. A function generator (Model 33250A, Agilent), coupled with a custom-made amplification circuit was used to create AC/DC fields with the desired electric field intensity. A reactive ion etcher (Model RIE-1C, Samco) or UVO-cleaner (Model 30, Jelight) was used to clean the surface of the silicon sample and etch the deposited PS spheres. The etcher was also used to etch away part of the silicon so that the FTO glass underneath could be exposed for electric connections. An e-beam and sputtering system (Model PVD75, Kurt J. Lesker Company) was used to deposit a thin film of Pt on top of a FTO-glass counter electrode substrate to test the effects on bubble generation. A 532 nm wavelength laser (Model Sapphire, Coherent) was used for the characterization of minimum laser intensity, and another 532 nm wavelength laser (DJ532-40, Thorlabs), coupled with a </w:t>
      </w:r>
      <w:r>
        <w:lastRenderedPageBreak/>
        <w:t>digital light projector (Model DLi4130 .7”VIS XGA, Digital Light Innovations) was used for light pattern projection.</w:t>
      </w:r>
    </w:p>
    <w:p w14:paraId="24F5DFEE" w14:textId="77777777" w:rsidR="00F2539B" w:rsidRDefault="00F2539B" w:rsidP="004E2E62">
      <w:pPr>
        <w:jc w:val="both"/>
        <w:rPr>
          <w:b/>
          <w:bCs/>
        </w:rPr>
      </w:pPr>
    </w:p>
    <w:p w14:paraId="279C3ED5" w14:textId="4A010A53" w:rsidR="004E2E62" w:rsidRPr="00F10AA4" w:rsidRDefault="004E2E62" w:rsidP="004E2E62">
      <w:pPr>
        <w:jc w:val="both"/>
        <w:rPr>
          <w:b/>
          <w:bCs/>
        </w:rPr>
      </w:pPr>
      <w:r w:rsidRPr="00F10AA4">
        <w:rPr>
          <w:b/>
          <w:bCs/>
        </w:rPr>
        <w:t>References:</w:t>
      </w:r>
    </w:p>
    <w:p w14:paraId="4631CF3B" w14:textId="5546014E"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1.</w:t>
      </w:r>
      <w:r w:rsidRPr="00651077">
        <w:rPr>
          <w:rFonts w:ascii="Calibri" w:hAnsi="Calibri" w:cs="Calibri"/>
          <w:noProof/>
          <w:szCs w:val="24"/>
        </w:rPr>
        <w:tab/>
        <w:t xml:space="preserve">Bertin, N. </w:t>
      </w:r>
      <w:r w:rsidRPr="00651077">
        <w:rPr>
          <w:rFonts w:ascii="Calibri" w:hAnsi="Calibri" w:cs="Calibri"/>
          <w:i/>
          <w:iCs/>
          <w:noProof/>
          <w:szCs w:val="24"/>
        </w:rPr>
        <w:t>et al.</w:t>
      </w:r>
      <w:r w:rsidRPr="00651077">
        <w:rPr>
          <w:rFonts w:ascii="Calibri" w:hAnsi="Calibri" w:cs="Calibri"/>
          <w:noProof/>
          <w:szCs w:val="24"/>
        </w:rPr>
        <w:t xml:space="preserve"> Bubble-based acoustic micropropulsors: active surfaces and mixers. </w:t>
      </w:r>
      <w:r w:rsidRPr="00651077">
        <w:rPr>
          <w:rFonts w:ascii="Calibri" w:hAnsi="Calibri" w:cs="Calibri"/>
          <w:i/>
          <w:iCs/>
          <w:noProof/>
          <w:szCs w:val="24"/>
        </w:rPr>
        <w:t>Lab Chip</w:t>
      </w:r>
      <w:r w:rsidRPr="00651077">
        <w:rPr>
          <w:rFonts w:ascii="Calibri" w:hAnsi="Calibri" w:cs="Calibri"/>
          <w:noProof/>
          <w:szCs w:val="24"/>
        </w:rPr>
        <w:t xml:space="preserve"> </w:t>
      </w:r>
      <w:r w:rsidRPr="00651077">
        <w:rPr>
          <w:rFonts w:ascii="Calibri" w:hAnsi="Calibri" w:cs="Calibri"/>
          <w:b/>
          <w:bCs/>
          <w:noProof/>
          <w:szCs w:val="24"/>
        </w:rPr>
        <w:t>17</w:t>
      </w:r>
      <w:r w:rsidRPr="00651077">
        <w:rPr>
          <w:rFonts w:ascii="Calibri" w:hAnsi="Calibri" w:cs="Calibri"/>
          <w:noProof/>
          <w:szCs w:val="24"/>
        </w:rPr>
        <w:t>, 1515–1528 (2017).</w:t>
      </w:r>
    </w:p>
    <w:p w14:paraId="7FE7EC10"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2.</w:t>
      </w:r>
      <w:r w:rsidRPr="00651077">
        <w:rPr>
          <w:rFonts w:ascii="Calibri" w:hAnsi="Calibri" w:cs="Calibri"/>
          <w:noProof/>
          <w:szCs w:val="24"/>
        </w:rPr>
        <w:tab/>
        <w:t xml:space="preserve">Conde, A. J., Keraite, I., Ongaro, A. E. &amp; Kersaudy-Kerhoas, M. Versatile hybrid acoustic micromixer with demonstration of circulating cell-free DNA extraction from sub-ml plasma samples. </w:t>
      </w:r>
      <w:r w:rsidRPr="00651077">
        <w:rPr>
          <w:rFonts w:ascii="Calibri" w:hAnsi="Calibri" w:cs="Calibri"/>
          <w:i/>
          <w:iCs/>
          <w:noProof/>
          <w:szCs w:val="24"/>
        </w:rPr>
        <w:t>Lab Chip</w:t>
      </w:r>
      <w:r w:rsidRPr="00651077">
        <w:rPr>
          <w:rFonts w:ascii="Calibri" w:hAnsi="Calibri" w:cs="Calibri"/>
          <w:noProof/>
          <w:szCs w:val="24"/>
        </w:rPr>
        <w:t xml:space="preserve"> </w:t>
      </w:r>
      <w:r w:rsidRPr="00651077">
        <w:rPr>
          <w:rFonts w:ascii="Calibri" w:hAnsi="Calibri" w:cs="Calibri"/>
          <w:b/>
          <w:bCs/>
          <w:noProof/>
          <w:szCs w:val="24"/>
        </w:rPr>
        <w:t>20</w:t>
      </w:r>
      <w:r w:rsidRPr="00651077">
        <w:rPr>
          <w:rFonts w:ascii="Calibri" w:hAnsi="Calibri" w:cs="Calibri"/>
          <w:noProof/>
          <w:szCs w:val="24"/>
        </w:rPr>
        <w:t>, 741–748 (2020).</w:t>
      </w:r>
    </w:p>
    <w:p w14:paraId="7F5815A6"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3.</w:t>
      </w:r>
      <w:r w:rsidRPr="00651077">
        <w:rPr>
          <w:rFonts w:ascii="Calibri" w:hAnsi="Calibri" w:cs="Calibri"/>
          <w:noProof/>
          <w:szCs w:val="24"/>
        </w:rPr>
        <w:tab/>
        <w:t xml:space="preserve">Ahmed, D. </w:t>
      </w:r>
      <w:r w:rsidRPr="00651077">
        <w:rPr>
          <w:rFonts w:ascii="Calibri" w:hAnsi="Calibri" w:cs="Calibri"/>
          <w:i/>
          <w:iCs/>
          <w:noProof/>
          <w:szCs w:val="24"/>
        </w:rPr>
        <w:t>et al.</w:t>
      </w:r>
      <w:r w:rsidRPr="00651077">
        <w:rPr>
          <w:rFonts w:ascii="Calibri" w:hAnsi="Calibri" w:cs="Calibri"/>
          <w:noProof/>
          <w:szCs w:val="24"/>
        </w:rPr>
        <w:t xml:space="preserve"> Acoustofluidic chemical waveform generator and switch. </w:t>
      </w:r>
      <w:r w:rsidRPr="00651077">
        <w:rPr>
          <w:rFonts w:ascii="Calibri" w:hAnsi="Calibri" w:cs="Calibri"/>
          <w:i/>
          <w:iCs/>
          <w:noProof/>
          <w:szCs w:val="24"/>
        </w:rPr>
        <w:t>Anal. Chem.</w:t>
      </w:r>
      <w:r w:rsidRPr="00651077">
        <w:rPr>
          <w:rFonts w:ascii="Calibri" w:hAnsi="Calibri" w:cs="Calibri"/>
          <w:noProof/>
          <w:szCs w:val="24"/>
        </w:rPr>
        <w:t xml:space="preserve"> </w:t>
      </w:r>
      <w:r w:rsidRPr="00651077">
        <w:rPr>
          <w:rFonts w:ascii="Calibri" w:hAnsi="Calibri" w:cs="Calibri"/>
          <w:b/>
          <w:bCs/>
          <w:noProof/>
          <w:szCs w:val="24"/>
        </w:rPr>
        <w:t>86</w:t>
      </w:r>
      <w:r w:rsidRPr="00651077">
        <w:rPr>
          <w:rFonts w:ascii="Calibri" w:hAnsi="Calibri" w:cs="Calibri"/>
          <w:noProof/>
          <w:szCs w:val="24"/>
        </w:rPr>
        <w:t>, 11803–11810 (2014).</w:t>
      </w:r>
    </w:p>
    <w:p w14:paraId="71437A9C"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4.</w:t>
      </w:r>
      <w:r w:rsidRPr="00651077">
        <w:rPr>
          <w:rFonts w:ascii="Calibri" w:hAnsi="Calibri" w:cs="Calibri"/>
          <w:noProof/>
          <w:szCs w:val="24"/>
        </w:rPr>
        <w:tab/>
        <w:t xml:space="preserve">Jeong, J., Jang, D., Kim, D., Lee, D. &amp; Chung, S. K. Acoustic bubble-based drug manipulation: Carrying, releasing and penetrating for targeted drug delivery using an electromagnetically actuated microrobot. </w:t>
      </w:r>
      <w:r w:rsidRPr="00651077">
        <w:rPr>
          <w:rFonts w:ascii="Calibri" w:hAnsi="Calibri" w:cs="Calibri"/>
          <w:i/>
          <w:iCs/>
          <w:noProof/>
          <w:szCs w:val="24"/>
        </w:rPr>
        <w:t>Sensors Actuators, A Phys.</w:t>
      </w:r>
      <w:r w:rsidRPr="00651077">
        <w:rPr>
          <w:rFonts w:ascii="Calibri" w:hAnsi="Calibri" w:cs="Calibri"/>
          <w:noProof/>
          <w:szCs w:val="24"/>
        </w:rPr>
        <w:t xml:space="preserve"> </w:t>
      </w:r>
      <w:r w:rsidRPr="00651077">
        <w:rPr>
          <w:rFonts w:ascii="Calibri" w:hAnsi="Calibri" w:cs="Calibri"/>
          <w:b/>
          <w:bCs/>
          <w:noProof/>
          <w:szCs w:val="24"/>
        </w:rPr>
        <w:t>306</w:t>
      </w:r>
      <w:r w:rsidRPr="00651077">
        <w:rPr>
          <w:rFonts w:ascii="Calibri" w:hAnsi="Calibri" w:cs="Calibri"/>
          <w:noProof/>
          <w:szCs w:val="24"/>
        </w:rPr>
        <w:t>, 111973 (2020).</w:t>
      </w:r>
    </w:p>
    <w:p w14:paraId="44C3B5DF"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5.</w:t>
      </w:r>
      <w:r w:rsidRPr="00651077">
        <w:rPr>
          <w:rFonts w:ascii="Calibri" w:hAnsi="Calibri" w:cs="Calibri"/>
          <w:noProof/>
          <w:szCs w:val="24"/>
        </w:rPr>
        <w:tab/>
        <w:t xml:space="preserve">Xie, Y. </w:t>
      </w:r>
      <w:r w:rsidRPr="00651077">
        <w:rPr>
          <w:rFonts w:ascii="Calibri" w:hAnsi="Calibri" w:cs="Calibri"/>
          <w:i/>
          <w:iCs/>
          <w:noProof/>
          <w:szCs w:val="24"/>
        </w:rPr>
        <w:t>et al.</w:t>
      </w:r>
      <w:r w:rsidRPr="00651077">
        <w:rPr>
          <w:rFonts w:ascii="Calibri" w:hAnsi="Calibri" w:cs="Calibri"/>
          <w:noProof/>
          <w:szCs w:val="24"/>
        </w:rPr>
        <w:t xml:space="preserve"> Probing Cell Deformability via Acoustically Actuated Bubbles. </w:t>
      </w:r>
      <w:r w:rsidRPr="00651077">
        <w:rPr>
          <w:rFonts w:ascii="Calibri" w:hAnsi="Calibri" w:cs="Calibri"/>
          <w:i/>
          <w:iCs/>
          <w:noProof/>
          <w:szCs w:val="24"/>
        </w:rPr>
        <w:t>Small</w:t>
      </w:r>
      <w:r w:rsidRPr="00651077">
        <w:rPr>
          <w:rFonts w:ascii="Calibri" w:hAnsi="Calibri" w:cs="Calibri"/>
          <w:noProof/>
          <w:szCs w:val="24"/>
        </w:rPr>
        <w:t xml:space="preserve"> </w:t>
      </w:r>
      <w:r w:rsidRPr="00651077">
        <w:rPr>
          <w:rFonts w:ascii="Calibri" w:hAnsi="Calibri" w:cs="Calibri"/>
          <w:b/>
          <w:bCs/>
          <w:noProof/>
          <w:szCs w:val="24"/>
        </w:rPr>
        <w:t>12</w:t>
      </w:r>
      <w:r w:rsidRPr="00651077">
        <w:rPr>
          <w:rFonts w:ascii="Calibri" w:hAnsi="Calibri" w:cs="Calibri"/>
          <w:noProof/>
          <w:szCs w:val="24"/>
        </w:rPr>
        <w:t>, 902–910 (2016).</w:t>
      </w:r>
    </w:p>
    <w:p w14:paraId="232507F3"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6.</w:t>
      </w:r>
      <w:r w:rsidRPr="00651077">
        <w:rPr>
          <w:rFonts w:ascii="Calibri" w:hAnsi="Calibri" w:cs="Calibri"/>
          <w:noProof/>
          <w:szCs w:val="24"/>
        </w:rPr>
        <w:tab/>
        <w:t xml:space="preserve">Hu, W., Fan, Q. &amp; Ohta, A. T. An opto-thermocapillary cell micromanipulator. </w:t>
      </w:r>
      <w:r w:rsidRPr="00651077">
        <w:rPr>
          <w:rFonts w:ascii="Calibri" w:hAnsi="Calibri" w:cs="Calibri"/>
          <w:i/>
          <w:iCs/>
          <w:noProof/>
          <w:szCs w:val="24"/>
        </w:rPr>
        <w:t>Lab Chip</w:t>
      </w:r>
      <w:r w:rsidRPr="00651077">
        <w:rPr>
          <w:rFonts w:ascii="Calibri" w:hAnsi="Calibri" w:cs="Calibri"/>
          <w:noProof/>
          <w:szCs w:val="24"/>
        </w:rPr>
        <w:t xml:space="preserve"> </w:t>
      </w:r>
      <w:r w:rsidRPr="00651077">
        <w:rPr>
          <w:rFonts w:ascii="Calibri" w:hAnsi="Calibri" w:cs="Calibri"/>
          <w:b/>
          <w:bCs/>
          <w:noProof/>
          <w:szCs w:val="24"/>
        </w:rPr>
        <w:t>13</w:t>
      </w:r>
      <w:r w:rsidRPr="00651077">
        <w:rPr>
          <w:rFonts w:ascii="Calibri" w:hAnsi="Calibri" w:cs="Calibri"/>
          <w:noProof/>
          <w:szCs w:val="24"/>
        </w:rPr>
        <w:t>, 2285–2291 (2013).</w:t>
      </w:r>
    </w:p>
    <w:p w14:paraId="5EAECA3F"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7.</w:t>
      </w:r>
      <w:r w:rsidRPr="00651077">
        <w:rPr>
          <w:rFonts w:ascii="Calibri" w:hAnsi="Calibri" w:cs="Calibri"/>
          <w:noProof/>
          <w:szCs w:val="24"/>
        </w:rPr>
        <w:tab/>
        <w:t xml:space="preserve">Zhao, C. </w:t>
      </w:r>
      <w:r w:rsidRPr="00651077">
        <w:rPr>
          <w:rFonts w:ascii="Calibri" w:hAnsi="Calibri" w:cs="Calibri"/>
          <w:i/>
          <w:iCs/>
          <w:noProof/>
          <w:szCs w:val="24"/>
        </w:rPr>
        <w:t>et al.</w:t>
      </w:r>
      <w:r w:rsidRPr="00651077">
        <w:rPr>
          <w:rFonts w:ascii="Calibri" w:hAnsi="Calibri" w:cs="Calibri"/>
          <w:noProof/>
          <w:szCs w:val="24"/>
        </w:rPr>
        <w:t xml:space="preserve"> Theory and experiment on particle trapping and manipulation via optothermally generated bubbles. </w:t>
      </w:r>
      <w:r w:rsidRPr="00651077">
        <w:rPr>
          <w:rFonts w:ascii="Calibri" w:hAnsi="Calibri" w:cs="Calibri"/>
          <w:i/>
          <w:iCs/>
          <w:noProof/>
          <w:szCs w:val="24"/>
        </w:rPr>
        <w:t>Lab Chip</w:t>
      </w:r>
      <w:r w:rsidRPr="00651077">
        <w:rPr>
          <w:rFonts w:ascii="Calibri" w:hAnsi="Calibri" w:cs="Calibri"/>
          <w:noProof/>
          <w:szCs w:val="24"/>
        </w:rPr>
        <w:t xml:space="preserve"> </w:t>
      </w:r>
      <w:r w:rsidRPr="00651077">
        <w:rPr>
          <w:rFonts w:ascii="Calibri" w:hAnsi="Calibri" w:cs="Calibri"/>
          <w:b/>
          <w:bCs/>
          <w:noProof/>
          <w:szCs w:val="24"/>
        </w:rPr>
        <w:t>14</w:t>
      </w:r>
      <w:r w:rsidRPr="00651077">
        <w:rPr>
          <w:rFonts w:ascii="Calibri" w:hAnsi="Calibri" w:cs="Calibri"/>
          <w:noProof/>
          <w:szCs w:val="24"/>
        </w:rPr>
        <w:t>, 384–391 (2014).</w:t>
      </w:r>
    </w:p>
    <w:p w14:paraId="7291ABF9"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8.</w:t>
      </w:r>
      <w:r w:rsidRPr="00651077">
        <w:rPr>
          <w:rFonts w:ascii="Calibri" w:hAnsi="Calibri" w:cs="Calibri"/>
          <w:noProof/>
          <w:szCs w:val="24"/>
        </w:rPr>
        <w:tab/>
        <w:t xml:space="preserve">Lin, L. </w:t>
      </w:r>
      <w:r w:rsidRPr="00651077">
        <w:rPr>
          <w:rFonts w:ascii="Calibri" w:hAnsi="Calibri" w:cs="Calibri"/>
          <w:i/>
          <w:iCs/>
          <w:noProof/>
          <w:szCs w:val="24"/>
        </w:rPr>
        <w:t>et al.</w:t>
      </w:r>
      <w:r w:rsidRPr="00651077">
        <w:rPr>
          <w:rFonts w:ascii="Calibri" w:hAnsi="Calibri" w:cs="Calibri"/>
          <w:noProof/>
          <w:szCs w:val="24"/>
        </w:rPr>
        <w:t xml:space="preserve"> Bubble-Pen Lithography. </w:t>
      </w:r>
      <w:r w:rsidRPr="00651077">
        <w:rPr>
          <w:rFonts w:ascii="Calibri" w:hAnsi="Calibri" w:cs="Calibri"/>
          <w:i/>
          <w:iCs/>
          <w:noProof/>
          <w:szCs w:val="24"/>
        </w:rPr>
        <w:t>Nano Lett.</w:t>
      </w:r>
      <w:r w:rsidRPr="00651077">
        <w:rPr>
          <w:rFonts w:ascii="Calibri" w:hAnsi="Calibri" w:cs="Calibri"/>
          <w:noProof/>
          <w:szCs w:val="24"/>
        </w:rPr>
        <w:t xml:space="preserve"> </w:t>
      </w:r>
      <w:r w:rsidRPr="00651077">
        <w:rPr>
          <w:rFonts w:ascii="Calibri" w:hAnsi="Calibri" w:cs="Calibri"/>
          <w:b/>
          <w:bCs/>
          <w:noProof/>
          <w:szCs w:val="24"/>
        </w:rPr>
        <w:t>16</w:t>
      </w:r>
      <w:r w:rsidRPr="00651077">
        <w:rPr>
          <w:rFonts w:ascii="Calibri" w:hAnsi="Calibri" w:cs="Calibri"/>
          <w:noProof/>
          <w:szCs w:val="24"/>
        </w:rPr>
        <w:t>, 701–708 (2016).</w:t>
      </w:r>
    </w:p>
    <w:p w14:paraId="597F6E89"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9.</w:t>
      </w:r>
      <w:r w:rsidRPr="00651077">
        <w:rPr>
          <w:rFonts w:ascii="Calibri" w:hAnsi="Calibri" w:cs="Calibri"/>
          <w:noProof/>
          <w:szCs w:val="24"/>
        </w:rPr>
        <w:tab/>
        <w:t xml:space="preserve">Meng, L. </w:t>
      </w:r>
      <w:r w:rsidRPr="00651077">
        <w:rPr>
          <w:rFonts w:ascii="Calibri" w:hAnsi="Calibri" w:cs="Calibri"/>
          <w:i/>
          <w:iCs/>
          <w:noProof/>
          <w:szCs w:val="24"/>
        </w:rPr>
        <w:t>et al.</w:t>
      </w:r>
      <w:r w:rsidRPr="00651077">
        <w:rPr>
          <w:rFonts w:ascii="Calibri" w:hAnsi="Calibri" w:cs="Calibri"/>
          <w:noProof/>
          <w:szCs w:val="24"/>
        </w:rPr>
        <w:t xml:space="preserve"> Microbubble enhanced acoustic tweezers for size-independent cell sorting. </w:t>
      </w:r>
      <w:r w:rsidRPr="00651077">
        <w:rPr>
          <w:rFonts w:ascii="Calibri" w:hAnsi="Calibri" w:cs="Calibri"/>
          <w:i/>
          <w:iCs/>
          <w:noProof/>
          <w:szCs w:val="24"/>
        </w:rPr>
        <w:t>Appl. Phys. Lett.</w:t>
      </w:r>
      <w:r w:rsidRPr="00651077">
        <w:rPr>
          <w:rFonts w:ascii="Calibri" w:hAnsi="Calibri" w:cs="Calibri"/>
          <w:noProof/>
          <w:szCs w:val="24"/>
        </w:rPr>
        <w:t xml:space="preserve"> </w:t>
      </w:r>
      <w:r w:rsidRPr="00651077">
        <w:rPr>
          <w:rFonts w:ascii="Calibri" w:hAnsi="Calibri" w:cs="Calibri"/>
          <w:b/>
          <w:bCs/>
          <w:noProof/>
          <w:szCs w:val="24"/>
        </w:rPr>
        <w:t>116</w:t>
      </w:r>
      <w:r w:rsidRPr="00651077">
        <w:rPr>
          <w:rFonts w:ascii="Calibri" w:hAnsi="Calibri" w:cs="Calibri"/>
          <w:noProof/>
          <w:szCs w:val="24"/>
        </w:rPr>
        <w:t>, (2020).</w:t>
      </w:r>
    </w:p>
    <w:p w14:paraId="08C05A03"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10.</w:t>
      </w:r>
      <w:r w:rsidRPr="00651077">
        <w:rPr>
          <w:rFonts w:ascii="Calibri" w:hAnsi="Calibri" w:cs="Calibri"/>
          <w:noProof/>
          <w:szCs w:val="24"/>
        </w:rPr>
        <w:tab/>
        <w:t xml:space="preserve">Ma, Z. </w:t>
      </w:r>
      <w:r w:rsidRPr="00651077">
        <w:rPr>
          <w:rFonts w:ascii="Calibri" w:hAnsi="Calibri" w:cs="Calibri"/>
          <w:i/>
          <w:iCs/>
          <w:noProof/>
          <w:szCs w:val="24"/>
        </w:rPr>
        <w:t>et al.</w:t>
      </w:r>
      <w:r w:rsidRPr="00651077">
        <w:rPr>
          <w:rFonts w:ascii="Calibri" w:hAnsi="Calibri" w:cs="Calibri"/>
          <w:noProof/>
          <w:szCs w:val="24"/>
        </w:rPr>
        <w:t xml:space="preserve"> Spatial ultrasound modulation by digitally controlling microbubble arrays. </w:t>
      </w:r>
      <w:r w:rsidRPr="00651077">
        <w:rPr>
          <w:rFonts w:ascii="Calibri" w:hAnsi="Calibri" w:cs="Calibri"/>
          <w:i/>
          <w:iCs/>
          <w:noProof/>
          <w:szCs w:val="24"/>
        </w:rPr>
        <w:t>Nat. Commun.</w:t>
      </w:r>
      <w:r w:rsidRPr="00651077">
        <w:rPr>
          <w:rFonts w:ascii="Calibri" w:hAnsi="Calibri" w:cs="Calibri"/>
          <w:noProof/>
          <w:szCs w:val="24"/>
        </w:rPr>
        <w:t xml:space="preserve"> </w:t>
      </w:r>
      <w:r w:rsidRPr="00651077">
        <w:rPr>
          <w:rFonts w:ascii="Calibri" w:hAnsi="Calibri" w:cs="Calibri"/>
          <w:b/>
          <w:bCs/>
          <w:noProof/>
          <w:szCs w:val="24"/>
        </w:rPr>
        <w:t>11</w:t>
      </w:r>
      <w:r w:rsidRPr="00651077">
        <w:rPr>
          <w:rFonts w:ascii="Calibri" w:hAnsi="Calibri" w:cs="Calibri"/>
          <w:noProof/>
          <w:szCs w:val="24"/>
        </w:rPr>
        <w:t>, 4537 (2020).</w:t>
      </w:r>
    </w:p>
    <w:p w14:paraId="5649C934"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11.</w:t>
      </w:r>
      <w:r w:rsidRPr="00651077">
        <w:rPr>
          <w:rFonts w:ascii="Calibri" w:hAnsi="Calibri" w:cs="Calibri"/>
          <w:noProof/>
          <w:szCs w:val="24"/>
        </w:rPr>
        <w:tab/>
        <w:t xml:space="preserve">Ma, Z., Joh, H., Fan, D. E. &amp; Fischer, P. Dynamic Ultrasound Projector Controlled by Light. </w:t>
      </w:r>
      <w:r w:rsidRPr="00651077">
        <w:rPr>
          <w:rFonts w:ascii="Calibri" w:hAnsi="Calibri" w:cs="Calibri"/>
          <w:i/>
          <w:iCs/>
          <w:noProof/>
          <w:szCs w:val="24"/>
        </w:rPr>
        <w:t>Adv. Sci.</w:t>
      </w:r>
      <w:r w:rsidRPr="00651077">
        <w:rPr>
          <w:rFonts w:ascii="Calibri" w:hAnsi="Calibri" w:cs="Calibri"/>
          <w:noProof/>
          <w:szCs w:val="24"/>
        </w:rPr>
        <w:t xml:space="preserve"> </w:t>
      </w:r>
      <w:r w:rsidRPr="00651077">
        <w:rPr>
          <w:rFonts w:ascii="Calibri" w:hAnsi="Calibri" w:cs="Calibri"/>
          <w:b/>
          <w:bCs/>
          <w:noProof/>
          <w:szCs w:val="24"/>
        </w:rPr>
        <w:t>9</w:t>
      </w:r>
      <w:r w:rsidRPr="00651077">
        <w:rPr>
          <w:rFonts w:ascii="Calibri" w:hAnsi="Calibri" w:cs="Calibri"/>
          <w:noProof/>
          <w:szCs w:val="24"/>
        </w:rPr>
        <w:t>, 2104401 (2022).</w:t>
      </w:r>
    </w:p>
    <w:p w14:paraId="67B8BEDB"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12.</w:t>
      </w:r>
      <w:r w:rsidRPr="00651077">
        <w:rPr>
          <w:rFonts w:ascii="Calibri" w:hAnsi="Calibri" w:cs="Calibri"/>
          <w:noProof/>
          <w:szCs w:val="24"/>
        </w:rPr>
        <w:tab/>
        <w:t xml:space="preserve">Moo, J. G. S., Presolski, S. &amp; Pumera, M. Photochromic Spatiotemporal Control of Bubble-Propelled Micromotors by a Spiropyran Molecular Switch. </w:t>
      </w:r>
      <w:r w:rsidRPr="00651077">
        <w:rPr>
          <w:rFonts w:ascii="Calibri" w:hAnsi="Calibri" w:cs="Calibri"/>
          <w:i/>
          <w:iCs/>
          <w:noProof/>
          <w:szCs w:val="24"/>
        </w:rPr>
        <w:t>ACS Nano</w:t>
      </w:r>
      <w:r w:rsidRPr="00651077">
        <w:rPr>
          <w:rFonts w:ascii="Calibri" w:hAnsi="Calibri" w:cs="Calibri"/>
          <w:noProof/>
          <w:szCs w:val="24"/>
        </w:rPr>
        <w:t xml:space="preserve"> </w:t>
      </w:r>
      <w:r w:rsidRPr="00651077">
        <w:rPr>
          <w:rFonts w:ascii="Calibri" w:hAnsi="Calibri" w:cs="Calibri"/>
          <w:b/>
          <w:bCs/>
          <w:noProof/>
          <w:szCs w:val="24"/>
        </w:rPr>
        <w:t>10</w:t>
      </w:r>
      <w:r w:rsidRPr="00651077">
        <w:rPr>
          <w:rFonts w:ascii="Calibri" w:hAnsi="Calibri" w:cs="Calibri"/>
          <w:noProof/>
          <w:szCs w:val="24"/>
        </w:rPr>
        <w:t>, 3543–3552 (2016).</w:t>
      </w:r>
    </w:p>
    <w:p w14:paraId="357ED823"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13.</w:t>
      </w:r>
      <w:r w:rsidRPr="00651077">
        <w:rPr>
          <w:rFonts w:ascii="Calibri" w:hAnsi="Calibri" w:cs="Calibri"/>
          <w:noProof/>
          <w:szCs w:val="24"/>
        </w:rPr>
        <w:tab/>
        <w:t xml:space="preserve">Li, Y. </w:t>
      </w:r>
      <w:r w:rsidRPr="00651077">
        <w:rPr>
          <w:rFonts w:ascii="Calibri" w:hAnsi="Calibri" w:cs="Calibri"/>
          <w:i/>
          <w:iCs/>
          <w:noProof/>
          <w:szCs w:val="24"/>
        </w:rPr>
        <w:t>et al.</w:t>
      </w:r>
      <w:r w:rsidRPr="00651077">
        <w:rPr>
          <w:rFonts w:ascii="Calibri" w:hAnsi="Calibri" w:cs="Calibri"/>
          <w:noProof/>
          <w:szCs w:val="24"/>
        </w:rPr>
        <w:t xml:space="preserve"> Light-controlled bubble propulsion of amorphous TiO2/Au Janus micromotors. </w:t>
      </w:r>
      <w:r w:rsidRPr="00651077">
        <w:rPr>
          <w:rFonts w:ascii="Calibri" w:hAnsi="Calibri" w:cs="Calibri"/>
          <w:i/>
          <w:iCs/>
          <w:noProof/>
          <w:szCs w:val="24"/>
        </w:rPr>
        <w:t>RSC Adv.</w:t>
      </w:r>
      <w:r w:rsidRPr="00651077">
        <w:rPr>
          <w:rFonts w:ascii="Calibri" w:hAnsi="Calibri" w:cs="Calibri"/>
          <w:noProof/>
          <w:szCs w:val="24"/>
        </w:rPr>
        <w:t xml:space="preserve"> </w:t>
      </w:r>
      <w:r w:rsidRPr="00651077">
        <w:rPr>
          <w:rFonts w:ascii="Calibri" w:hAnsi="Calibri" w:cs="Calibri"/>
          <w:b/>
          <w:bCs/>
          <w:noProof/>
          <w:szCs w:val="24"/>
        </w:rPr>
        <w:t>6</w:t>
      </w:r>
      <w:r w:rsidRPr="00651077">
        <w:rPr>
          <w:rFonts w:ascii="Calibri" w:hAnsi="Calibri" w:cs="Calibri"/>
          <w:noProof/>
          <w:szCs w:val="24"/>
        </w:rPr>
        <w:t>, 10697–10703 (2016).</w:t>
      </w:r>
    </w:p>
    <w:p w14:paraId="5E3684DD"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14.</w:t>
      </w:r>
      <w:r w:rsidRPr="00651077">
        <w:rPr>
          <w:rFonts w:ascii="Calibri" w:hAnsi="Calibri" w:cs="Calibri"/>
          <w:noProof/>
          <w:szCs w:val="24"/>
        </w:rPr>
        <w:tab/>
        <w:t xml:space="preserve">Xie, C. </w:t>
      </w:r>
      <w:r w:rsidRPr="00651077">
        <w:rPr>
          <w:rFonts w:ascii="Calibri" w:hAnsi="Calibri" w:cs="Calibri"/>
          <w:i/>
          <w:iCs/>
          <w:noProof/>
          <w:szCs w:val="24"/>
        </w:rPr>
        <w:t>et al.</w:t>
      </w:r>
      <w:r w:rsidRPr="00651077">
        <w:rPr>
          <w:rFonts w:ascii="Calibri" w:hAnsi="Calibri" w:cs="Calibri"/>
          <w:noProof/>
          <w:szCs w:val="24"/>
        </w:rPr>
        <w:t xml:space="preserve"> Identification of single bacterial cells in aqueous solution using confocal laser tweezers Raman spectroscopy. </w:t>
      </w:r>
      <w:r w:rsidRPr="00651077">
        <w:rPr>
          <w:rFonts w:ascii="Calibri" w:hAnsi="Calibri" w:cs="Calibri"/>
          <w:i/>
          <w:iCs/>
          <w:noProof/>
          <w:szCs w:val="24"/>
        </w:rPr>
        <w:t>Anal. Chem.</w:t>
      </w:r>
      <w:r w:rsidRPr="00651077">
        <w:rPr>
          <w:rFonts w:ascii="Calibri" w:hAnsi="Calibri" w:cs="Calibri"/>
          <w:noProof/>
          <w:szCs w:val="24"/>
        </w:rPr>
        <w:t xml:space="preserve"> </w:t>
      </w:r>
      <w:r w:rsidRPr="00651077">
        <w:rPr>
          <w:rFonts w:ascii="Calibri" w:hAnsi="Calibri" w:cs="Calibri"/>
          <w:b/>
          <w:bCs/>
          <w:noProof/>
          <w:szCs w:val="24"/>
        </w:rPr>
        <w:t>77</w:t>
      </w:r>
      <w:r w:rsidRPr="00651077">
        <w:rPr>
          <w:rFonts w:ascii="Calibri" w:hAnsi="Calibri" w:cs="Calibri"/>
          <w:noProof/>
          <w:szCs w:val="24"/>
        </w:rPr>
        <w:t>, 4390–4397 (2005).</w:t>
      </w:r>
    </w:p>
    <w:p w14:paraId="6C93FD6E"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15.</w:t>
      </w:r>
      <w:r w:rsidRPr="00651077">
        <w:rPr>
          <w:rFonts w:ascii="Calibri" w:hAnsi="Calibri" w:cs="Calibri"/>
          <w:noProof/>
          <w:szCs w:val="24"/>
        </w:rPr>
        <w:tab/>
        <w:t xml:space="preserve">Witkowska, E., Niciński, K., Korsak, D., Szymborski, T. &amp; Kamińska, A. Sources of variability in SERS spectra of bacteria: comprehensive analysis of interactions between selected bacteria and plasmonic nanostructures. </w:t>
      </w:r>
      <w:r w:rsidRPr="00651077">
        <w:rPr>
          <w:rFonts w:ascii="Calibri" w:hAnsi="Calibri" w:cs="Calibri"/>
          <w:i/>
          <w:iCs/>
          <w:noProof/>
          <w:szCs w:val="24"/>
        </w:rPr>
        <w:t>Anal. Bioanal. Chem.</w:t>
      </w:r>
      <w:r w:rsidRPr="00651077">
        <w:rPr>
          <w:rFonts w:ascii="Calibri" w:hAnsi="Calibri" w:cs="Calibri"/>
          <w:noProof/>
          <w:szCs w:val="24"/>
        </w:rPr>
        <w:t xml:space="preserve"> </w:t>
      </w:r>
      <w:r w:rsidRPr="00651077">
        <w:rPr>
          <w:rFonts w:ascii="Calibri" w:hAnsi="Calibri" w:cs="Calibri"/>
          <w:b/>
          <w:bCs/>
          <w:noProof/>
          <w:szCs w:val="24"/>
        </w:rPr>
        <w:t>411</w:t>
      </w:r>
      <w:r w:rsidRPr="00651077">
        <w:rPr>
          <w:rFonts w:ascii="Calibri" w:hAnsi="Calibri" w:cs="Calibri"/>
          <w:noProof/>
          <w:szCs w:val="24"/>
        </w:rPr>
        <w:t>, 2001–2017 (2019).</w:t>
      </w:r>
    </w:p>
    <w:p w14:paraId="046E5B6D"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16.</w:t>
      </w:r>
      <w:r w:rsidRPr="00651077">
        <w:rPr>
          <w:rFonts w:ascii="Calibri" w:hAnsi="Calibri" w:cs="Calibri"/>
          <w:noProof/>
          <w:szCs w:val="24"/>
        </w:rPr>
        <w:tab/>
        <w:t xml:space="preserve">Jarvis, R. M., Brooker, A. &amp; Goodacre, R. Surface-enhanced Raman spectroscopy for bacterial </w:t>
      </w:r>
      <w:r w:rsidRPr="00651077">
        <w:rPr>
          <w:rFonts w:ascii="Calibri" w:hAnsi="Calibri" w:cs="Calibri"/>
          <w:noProof/>
          <w:szCs w:val="24"/>
        </w:rPr>
        <w:lastRenderedPageBreak/>
        <w:t xml:space="preserve">discrimination utilizing a scanning electron microscope with a Raman spectroscopy interface. </w:t>
      </w:r>
      <w:r w:rsidRPr="00651077">
        <w:rPr>
          <w:rFonts w:ascii="Calibri" w:hAnsi="Calibri" w:cs="Calibri"/>
          <w:i/>
          <w:iCs/>
          <w:noProof/>
          <w:szCs w:val="24"/>
        </w:rPr>
        <w:t>Anal. Chem.</w:t>
      </w:r>
      <w:r w:rsidRPr="00651077">
        <w:rPr>
          <w:rFonts w:ascii="Calibri" w:hAnsi="Calibri" w:cs="Calibri"/>
          <w:noProof/>
          <w:szCs w:val="24"/>
        </w:rPr>
        <w:t xml:space="preserve"> </w:t>
      </w:r>
      <w:r w:rsidRPr="00651077">
        <w:rPr>
          <w:rFonts w:ascii="Calibri" w:hAnsi="Calibri" w:cs="Calibri"/>
          <w:b/>
          <w:bCs/>
          <w:noProof/>
          <w:szCs w:val="24"/>
        </w:rPr>
        <w:t>76</w:t>
      </w:r>
      <w:r w:rsidRPr="00651077">
        <w:rPr>
          <w:rFonts w:ascii="Calibri" w:hAnsi="Calibri" w:cs="Calibri"/>
          <w:noProof/>
          <w:szCs w:val="24"/>
        </w:rPr>
        <w:t>, 5198–5202 (2004).</w:t>
      </w:r>
    </w:p>
    <w:p w14:paraId="18B61ED2"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17.</w:t>
      </w:r>
      <w:r w:rsidRPr="00651077">
        <w:rPr>
          <w:rFonts w:ascii="Calibri" w:hAnsi="Calibri" w:cs="Calibri"/>
          <w:noProof/>
          <w:szCs w:val="24"/>
        </w:rPr>
        <w:tab/>
        <w:t xml:space="preserve">Premasiri, W. R. </w:t>
      </w:r>
      <w:r w:rsidRPr="00651077">
        <w:rPr>
          <w:rFonts w:ascii="Calibri" w:hAnsi="Calibri" w:cs="Calibri"/>
          <w:i/>
          <w:iCs/>
          <w:noProof/>
          <w:szCs w:val="24"/>
        </w:rPr>
        <w:t>et al.</w:t>
      </w:r>
      <w:r w:rsidRPr="00651077">
        <w:rPr>
          <w:rFonts w:ascii="Calibri" w:hAnsi="Calibri" w:cs="Calibri"/>
          <w:noProof/>
          <w:szCs w:val="24"/>
        </w:rPr>
        <w:t xml:space="preserve"> The biochemical origins of the surface-enhanced Raman spectra of bacteria: a metabolomics profiling by SERS. </w:t>
      </w:r>
      <w:r w:rsidRPr="00651077">
        <w:rPr>
          <w:rFonts w:ascii="Calibri" w:hAnsi="Calibri" w:cs="Calibri"/>
          <w:i/>
          <w:iCs/>
          <w:noProof/>
          <w:szCs w:val="24"/>
        </w:rPr>
        <w:t>Anal. Bioanal. Chem.</w:t>
      </w:r>
      <w:r w:rsidRPr="00651077">
        <w:rPr>
          <w:rFonts w:ascii="Calibri" w:hAnsi="Calibri" w:cs="Calibri"/>
          <w:noProof/>
          <w:szCs w:val="24"/>
        </w:rPr>
        <w:t xml:space="preserve"> </w:t>
      </w:r>
      <w:r w:rsidRPr="00651077">
        <w:rPr>
          <w:rFonts w:ascii="Calibri" w:hAnsi="Calibri" w:cs="Calibri"/>
          <w:b/>
          <w:bCs/>
          <w:noProof/>
          <w:szCs w:val="24"/>
        </w:rPr>
        <w:t>408</w:t>
      </w:r>
      <w:r w:rsidRPr="00651077">
        <w:rPr>
          <w:rFonts w:ascii="Calibri" w:hAnsi="Calibri" w:cs="Calibri"/>
          <w:noProof/>
          <w:szCs w:val="24"/>
        </w:rPr>
        <w:t>, 4631–4647 (2016).</w:t>
      </w:r>
    </w:p>
    <w:p w14:paraId="1DC916F0"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18.</w:t>
      </w:r>
      <w:r w:rsidRPr="00651077">
        <w:rPr>
          <w:rFonts w:ascii="Calibri" w:hAnsi="Calibri" w:cs="Calibri"/>
          <w:noProof/>
          <w:szCs w:val="24"/>
        </w:rPr>
        <w:tab/>
        <w:t xml:space="preserve">Efrima, S. &amp; Zeiri, L. Understanding SERS of bacteria. </w:t>
      </w:r>
      <w:r w:rsidRPr="00651077">
        <w:rPr>
          <w:rFonts w:ascii="Calibri" w:hAnsi="Calibri" w:cs="Calibri"/>
          <w:i/>
          <w:iCs/>
          <w:noProof/>
          <w:szCs w:val="24"/>
        </w:rPr>
        <w:t>J. Raman Spectrosc.</w:t>
      </w:r>
      <w:r w:rsidRPr="00651077">
        <w:rPr>
          <w:rFonts w:ascii="Calibri" w:hAnsi="Calibri" w:cs="Calibri"/>
          <w:noProof/>
          <w:szCs w:val="24"/>
        </w:rPr>
        <w:t xml:space="preserve"> </w:t>
      </w:r>
      <w:r w:rsidRPr="00651077">
        <w:rPr>
          <w:rFonts w:ascii="Calibri" w:hAnsi="Calibri" w:cs="Calibri"/>
          <w:b/>
          <w:bCs/>
          <w:noProof/>
          <w:szCs w:val="24"/>
        </w:rPr>
        <w:t>40</w:t>
      </w:r>
      <w:r w:rsidRPr="00651077">
        <w:rPr>
          <w:rFonts w:ascii="Calibri" w:hAnsi="Calibri" w:cs="Calibri"/>
          <w:noProof/>
          <w:szCs w:val="24"/>
        </w:rPr>
        <w:t>, 277–288 (2009).</w:t>
      </w:r>
    </w:p>
    <w:p w14:paraId="4681B4F4"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19.</w:t>
      </w:r>
      <w:r w:rsidRPr="00651077">
        <w:rPr>
          <w:rFonts w:ascii="Calibri" w:hAnsi="Calibri" w:cs="Calibri"/>
          <w:noProof/>
          <w:szCs w:val="24"/>
        </w:rPr>
        <w:tab/>
        <w:t xml:space="preserve">Gargiulo, J., Cerrota, S., Cortés, E., Violi, I. L. &amp; Stefani, F. D. Connecting Metallic Nanoparticles by Optical Printing. </w:t>
      </w:r>
      <w:r w:rsidRPr="00651077">
        <w:rPr>
          <w:rFonts w:ascii="Calibri" w:hAnsi="Calibri" w:cs="Calibri"/>
          <w:i/>
          <w:iCs/>
          <w:noProof/>
          <w:szCs w:val="24"/>
        </w:rPr>
        <w:t>Nano Lett.</w:t>
      </w:r>
      <w:r w:rsidRPr="00651077">
        <w:rPr>
          <w:rFonts w:ascii="Calibri" w:hAnsi="Calibri" w:cs="Calibri"/>
          <w:noProof/>
          <w:szCs w:val="24"/>
        </w:rPr>
        <w:t xml:space="preserve"> </w:t>
      </w:r>
      <w:r w:rsidRPr="00651077">
        <w:rPr>
          <w:rFonts w:ascii="Calibri" w:hAnsi="Calibri" w:cs="Calibri"/>
          <w:b/>
          <w:bCs/>
          <w:noProof/>
          <w:szCs w:val="24"/>
        </w:rPr>
        <w:t>16</w:t>
      </w:r>
      <w:r w:rsidRPr="00651077">
        <w:rPr>
          <w:rFonts w:ascii="Calibri" w:hAnsi="Calibri" w:cs="Calibri"/>
          <w:noProof/>
          <w:szCs w:val="24"/>
        </w:rPr>
        <w:t>, 1224–1229 (2016).</w:t>
      </w:r>
    </w:p>
    <w:p w14:paraId="7907BE38"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20.</w:t>
      </w:r>
      <w:r w:rsidRPr="00651077">
        <w:rPr>
          <w:rFonts w:ascii="Calibri" w:hAnsi="Calibri" w:cs="Calibri"/>
          <w:noProof/>
          <w:szCs w:val="24"/>
        </w:rPr>
        <w:tab/>
        <w:t xml:space="preserve">Armon, N. </w:t>
      </w:r>
      <w:r w:rsidRPr="00651077">
        <w:rPr>
          <w:rFonts w:ascii="Calibri" w:hAnsi="Calibri" w:cs="Calibri"/>
          <w:i/>
          <w:iCs/>
          <w:noProof/>
          <w:szCs w:val="24"/>
        </w:rPr>
        <w:t>et al.</w:t>
      </w:r>
      <w:r w:rsidRPr="00651077">
        <w:rPr>
          <w:rFonts w:ascii="Calibri" w:hAnsi="Calibri" w:cs="Calibri"/>
          <w:noProof/>
          <w:szCs w:val="24"/>
        </w:rPr>
        <w:t xml:space="preserve"> Continuous Nanoparticle Assembly by a Modulated Photo-Induced Microbubble for Fabrication of Micrometric Conductive Patterns. </w:t>
      </w:r>
      <w:r w:rsidRPr="00651077">
        <w:rPr>
          <w:rFonts w:ascii="Calibri" w:hAnsi="Calibri" w:cs="Calibri"/>
          <w:i/>
          <w:iCs/>
          <w:noProof/>
          <w:szCs w:val="24"/>
        </w:rPr>
        <w:t>ACS Appl. Mater. Interfaces</w:t>
      </w:r>
      <w:r w:rsidRPr="00651077">
        <w:rPr>
          <w:rFonts w:ascii="Calibri" w:hAnsi="Calibri" w:cs="Calibri"/>
          <w:noProof/>
          <w:szCs w:val="24"/>
        </w:rPr>
        <w:t xml:space="preserve"> </w:t>
      </w:r>
      <w:r w:rsidRPr="00651077">
        <w:rPr>
          <w:rFonts w:ascii="Calibri" w:hAnsi="Calibri" w:cs="Calibri"/>
          <w:b/>
          <w:bCs/>
          <w:noProof/>
          <w:szCs w:val="24"/>
        </w:rPr>
        <w:t>9</w:t>
      </w:r>
      <w:r w:rsidRPr="00651077">
        <w:rPr>
          <w:rFonts w:ascii="Calibri" w:hAnsi="Calibri" w:cs="Calibri"/>
          <w:noProof/>
          <w:szCs w:val="24"/>
        </w:rPr>
        <w:t>, 44214–44221 (2017).</w:t>
      </w:r>
    </w:p>
    <w:p w14:paraId="3919526B"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21.</w:t>
      </w:r>
      <w:r w:rsidRPr="00651077">
        <w:rPr>
          <w:rFonts w:ascii="Calibri" w:hAnsi="Calibri" w:cs="Calibri"/>
          <w:noProof/>
          <w:szCs w:val="24"/>
        </w:rPr>
        <w:tab/>
        <w:t xml:space="preserve">Förster, J. &amp; Vogt, H. Excimer Laser-Annealing of Amorphous Silicon Layers. </w:t>
      </w:r>
      <w:r w:rsidRPr="00651077">
        <w:rPr>
          <w:rFonts w:ascii="Calibri" w:hAnsi="Calibri" w:cs="Calibri"/>
          <w:b/>
          <w:bCs/>
          <w:noProof/>
          <w:szCs w:val="24"/>
        </w:rPr>
        <w:t>109</w:t>
      </w:r>
      <w:r w:rsidRPr="00651077">
        <w:rPr>
          <w:rFonts w:ascii="Calibri" w:hAnsi="Calibri" w:cs="Calibri"/>
          <w:noProof/>
          <w:szCs w:val="24"/>
        </w:rPr>
        <w:t>, 47057 (2010).</w:t>
      </w:r>
    </w:p>
    <w:p w14:paraId="1B7BB840"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22.</w:t>
      </w:r>
      <w:r w:rsidRPr="00651077">
        <w:rPr>
          <w:rFonts w:ascii="Calibri" w:hAnsi="Calibri" w:cs="Calibri"/>
          <w:noProof/>
          <w:szCs w:val="24"/>
        </w:rPr>
        <w:tab/>
        <w:t xml:space="preserve">Jellison, G. E. &amp; Modine, F. A. Optical absorption of silicon between 1.6 and 4.7 eV at elevated temperatures. </w:t>
      </w:r>
      <w:r w:rsidRPr="00651077">
        <w:rPr>
          <w:rFonts w:ascii="Calibri" w:hAnsi="Calibri" w:cs="Calibri"/>
          <w:i/>
          <w:iCs/>
          <w:noProof/>
          <w:szCs w:val="24"/>
        </w:rPr>
        <w:t>Appl. Phys. Lett.</w:t>
      </w:r>
      <w:r w:rsidRPr="00651077">
        <w:rPr>
          <w:rFonts w:ascii="Calibri" w:hAnsi="Calibri" w:cs="Calibri"/>
          <w:noProof/>
          <w:szCs w:val="24"/>
        </w:rPr>
        <w:t xml:space="preserve"> </w:t>
      </w:r>
      <w:r w:rsidRPr="00651077">
        <w:rPr>
          <w:rFonts w:ascii="Calibri" w:hAnsi="Calibri" w:cs="Calibri"/>
          <w:b/>
          <w:bCs/>
          <w:noProof/>
          <w:szCs w:val="24"/>
        </w:rPr>
        <w:t>41</w:t>
      </w:r>
      <w:r w:rsidRPr="00651077">
        <w:rPr>
          <w:rFonts w:ascii="Calibri" w:hAnsi="Calibri" w:cs="Calibri"/>
          <w:noProof/>
          <w:szCs w:val="24"/>
        </w:rPr>
        <w:t>, 180–182 (1982).</w:t>
      </w:r>
    </w:p>
    <w:p w14:paraId="74583FDF"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23.</w:t>
      </w:r>
      <w:r w:rsidRPr="00651077">
        <w:rPr>
          <w:rFonts w:ascii="Calibri" w:hAnsi="Calibri" w:cs="Calibri"/>
          <w:noProof/>
          <w:szCs w:val="24"/>
        </w:rPr>
        <w:tab/>
        <w:t xml:space="preserve">Dotan, H., Sivula, K., Gr, M. &amp; Warren, S. C. Probing the photoelectrochemical properties of hematite ( a -Fe 2 O 3 ) electrodes using hydrogen peroxide as a hole scavenger. </w:t>
      </w:r>
      <w:r w:rsidRPr="00651077">
        <w:rPr>
          <w:rFonts w:ascii="Calibri" w:hAnsi="Calibri" w:cs="Calibri"/>
          <w:i/>
          <w:iCs/>
          <w:noProof/>
          <w:szCs w:val="24"/>
        </w:rPr>
        <w:t>Energy Environ. Sci.</w:t>
      </w:r>
      <w:r w:rsidRPr="00651077">
        <w:rPr>
          <w:rFonts w:ascii="Calibri" w:hAnsi="Calibri" w:cs="Calibri"/>
          <w:noProof/>
          <w:szCs w:val="24"/>
        </w:rPr>
        <w:t xml:space="preserve"> </w:t>
      </w:r>
      <w:r w:rsidRPr="00651077">
        <w:rPr>
          <w:rFonts w:ascii="Calibri" w:hAnsi="Calibri" w:cs="Calibri"/>
          <w:b/>
          <w:bCs/>
          <w:noProof/>
          <w:szCs w:val="24"/>
        </w:rPr>
        <w:t>4</w:t>
      </w:r>
      <w:r w:rsidRPr="00651077">
        <w:rPr>
          <w:rFonts w:ascii="Calibri" w:hAnsi="Calibri" w:cs="Calibri"/>
          <w:noProof/>
          <w:szCs w:val="24"/>
        </w:rPr>
        <w:t>, 958–964 (2011).</w:t>
      </w:r>
    </w:p>
    <w:p w14:paraId="789738EE"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24.</w:t>
      </w:r>
      <w:r w:rsidRPr="00651077">
        <w:rPr>
          <w:rFonts w:ascii="Calibri" w:hAnsi="Calibri" w:cs="Calibri"/>
          <w:noProof/>
          <w:szCs w:val="24"/>
        </w:rPr>
        <w:tab/>
        <w:t xml:space="preserve">Sreedhar, A. </w:t>
      </w:r>
      <w:r w:rsidRPr="00651077">
        <w:rPr>
          <w:rFonts w:ascii="Calibri" w:hAnsi="Calibri" w:cs="Calibri"/>
          <w:i/>
          <w:iCs/>
          <w:noProof/>
          <w:szCs w:val="24"/>
        </w:rPr>
        <w:t>et al.</w:t>
      </w:r>
      <w:r w:rsidRPr="00651077">
        <w:rPr>
          <w:rFonts w:ascii="Calibri" w:hAnsi="Calibri" w:cs="Calibri"/>
          <w:noProof/>
          <w:szCs w:val="24"/>
        </w:rPr>
        <w:t xml:space="preserve"> Highly supportive hydrogen peroxide as a hole scavenger to improve the visible light water splitting activity of fl ake-like Co-doped ZnO thin fi lms. </w:t>
      </w:r>
      <w:r w:rsidRPr="00651077">
        <w:rPr>
          <w:rFonts w:ascii="Calibri" w:hAnsi="Calibri" w:cs="Calibri"/>
          <w:i/>
          <w:iCs/>
          <w:noProof/>
          <w:szCs w:val="24"/>
        </w:rPr>
        <w:t>Sol. Energy</w:t>
      </w:r>
      <w:r w:rsidRPr="00651077">
        <w:rPr>
          <w:rFonts w:ascii="Calibri" w:hAnsi="Calibri" w:cs="Calibri"/>
          <w:noProof/>
          <w:szCs w:val="24"/>
        </w:rPr>
        <w:t xml:space="preserve"> </w:t>
      </w:r>
      <w:r w:rsidRPr="00651077">
        <w:rPr>
          <w:rFonts w:ascii="Calibri" w:hAnsi="Calibri" w:cs="Calibri"/>
          <w:b/>
          <w:bCs/>
          <w:noProof/>
          <w:szCs w:val="24"/>
        </w:rPr>
        <w:t>191</w:t>
      </w:r>
      <w:r w:rsidRPr="00651077">
        <w:rPr>
          <w:rFonts w:ascii="Calibri" w:hAnsi="Calibri" w:cs="Calibri"/>
          <w:noProof/>
          <w:szCs w:val="24"/>
        </w:rPr>
        <w:t>, 151–160 (2019).</w:t>
      </w:r>
    </w:p>
    <w:p w14:paraId="5C700A74"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25.</w:t>
      </w:r>
      <w:r w:rsidRPr="00651077">
        <w:rPr>
          <w:rFonts w:ascii="Calibri" w:hAnsi="Calibri" w:cs="Calibri"/>
          <w:noProof/>
          <w:szCs w:val="24"/>
        </w:rPr>
        <w:tab/>
        <w:t xml:space="preserve">Chen, G. </w:t>
      </w:r>
      <w:r w:rsidRPr="00651077">
        <w:rPr>
          <w:rFonts w:ascii="Calibri" w:hAnsi="Calibri" w:cs="Calibri"/>
          <w:i/>
          <w:iCs/>
          <w:noProof/>
          <w:szCs w:val="24"/>
        </w:rPr>
        <w:t>et al.</w:t>
      </w:r>
      <w:r w:rsidRPr="00651077">
        <w:rPr>
          <w:rFonts w:ascii="Calibri" w:hAnsi="Calibri" w:cs="Calibri"/>
          <w:noProof/>
          <w:szCs w:val="24"/>
        </w:rPr>
        <w:t xml:space="preserve"> Preparation and surface activity study of amino acid surfactants. </w:t>
      </w:r>
      <w:r w:rsidRPr="00651077">
        <w:rPr>
          <w:rFonts w:ascii="Calibri" w:hAnsi="Calibri" w:cs="Calibri"/>
          <w:i/>
          <w:iCs/>
          <w:noProof/>
          <w:szCs w:val="24"/>
        </w:rPr>
        <w:t>Comptes rendus - Chim.</w:t>
      </w:r>
      <w:r w:rsidRPr="00651077">
        <w:rPr>
          <w:rFonts w:ascii="Calibri" w:hAnsi="Calibri" w:cs="Calibri"/>
          <w:noProof/>
          <w:szCs w:val="24"/>
        </w:rPr>
        <w:t xml:space="preserve"> </w:t>
      </w:r>
      <w:r w:rsidRPr="00651077">
        <w:rPr>
          <w:rFonts w:ascii="Calibri" w:hAnsi="Calibri" w:cs="Calibri"/>
          <w:b/>
          <w:bCs/>
          <w:noProof/>
          <w:szCs w:val="24"/>
        </w:rPr>
        <w:t>22</w:t>
      </w:r>
      <w:r w:rsidRPr="00651077">
        <w:rPr>
          <w:rFonts w:ascii="Calibri" w:hAnsi="Calibri" w:cs="Calibri"/>
          <w:noProof/>
          <w:szCs w:val="24"/>
        </w:rPr>
        <w:t>, 277–282 (2019).</w:t>
      </w:r>
    </w:p>
    <w:p w14:paraId="514DF80E"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26.</w:t>
      </w:r>
      <w:r w:rsidRPr="00651077">
        <w:rPr>
          <w:rFonts w:ascii="Calibri" w:hAnsi="Calibri" w:cs="Calibri"/>
          <w:noProof/>
          <w:szCs w:val="24"/>
        </w:rPr>
        <w:tab/>
        <w:t xml:space="preserve">Chandran, P., Bakshi, S. &amp; Chatterjee, D. Study on the characteristics of hydrogen bubble formation and its transport during electrolysis of water. </w:t>
      </w:r>
      <w:r w:rsidRPr="00651077">
        <w:rPr>
          <w:rFonts w:ascii="Calibri" w:hAnsi="Calibri" w:cs="Calibri"/>
          <w:i/>
          <w:iCs/>
          <w:noProof/>
          <w:szCs w:val="24"/>
        </w:rPr>
        <w:t>Chem. Eng. Sci.</w:t>
      </w:r>
      <w:r w:rsidRPr="00651077">
        <w:rPr>
          <w:rFonts w:ascii="Calibri" w:hAnsi="Calibri" w:cs="Calibri"/>
          <w:noProof/>
          <w:szCs w:val="24"/>
        </w:rPr>
        <w:t xml:space="preserve"> </w:t>
      </w:r>
      <w:r w:rsidRPr="00651077">
        <w:rPr>
          <w:rFonts w:ascii="Calibri" w:hAnsi="Calibri" w:cs="Calibri"/>
          <w:b/>
          <w:bCs/>
          <w:noProof/>
          <w:szCs w:val="24"/>
        </w:rPr>
        <w:t>138</w:t>
      </w:r>
      <w:r w:rsidRPr="00651077">
        <w:rPr>
          <w:rFonts w:ascii="Calibri" w:hAnsi="Calibri" w:cs="Calibri"/>
          <w:noProof/>
          <w:szCs w:val="24"/>
        </w:rPr>
        <w:t>, 99–109 (2015).</w:t>
      </w:r>
    </w:p>
    <w:p w14:paraId="37320ADA"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27.</w:t>
      </w:r>
      <w:r w:rsidRPr="00651077">
        <w:rPr>
          <w:rFonts w:ascii="Calibri" w:hAnsi="Calibri" w:cs="Calibri"/>
          <w:noProof/>
          <w:szCs w:val="24"/>
        </w:rPr>
        <w:tab/>
        <w:t xml:space="preserve">Sakuma, G., Fukunaka, Y. &amp; Matsushima, H. Nucleation and growth of electrolytic gas bubbles under microgravity. </w:t>
      </w:r>
      <w:r w:rsidRPr="00651077">
        <w:rPr>
          <w:rFonts w:ascii="Calibri" w:hAnsi="Calibri" w:cs="Calibri"/>
          <w:i/>
          <w:iCs/>
          <w:noProof/>
          <w:szCs w:val="24"/>
        </w:rPr>
        <w:t>Int. J. Hydrogen Energy</w:t>
      </w:r>
      <w:r w:rsidRPr="00651077">
        <w:rPr>
          <w:rFonts w:ascii="Calibri" w:hAnsi="Calibri" w:cs="Calibri"/>
          <w:noProof/>
          <w:szCs w:val="24"/>
        </w:rPr>
        <w:t xml:space="preserve"> </w:t>
      </w:r>
      <w:r w:rsidRPr="00651077">
        <w:rPr>
          <w:rFonts w:ascii="Calibri" w:hAnsi="Calibri" w:cs="Calibri"/>
          <w:b/>
          <w:bCs/>
          <w:noProof/>
          <w:szCs w:val="24"/>
        </w:rPr>
        <w:t>39</w:t>
      </w:r>
      <w:r w:rsidRPr="00651077">
        <w:rPr>
          <w:rFonts w:ascii="Calibri" w:hAnsi="Calibri" w:cs="Calibri"/>
          <w:noProof/>
          <w:szCs w:val="24"/>
        </w:rPr>
        <w:t>, 7638–7645 (2014).</w:t>
      </w:r>
    </w:p>
    <w:p w14:paraId="15D717E7"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28.</w:t>
      </w:r>
      <w:r w:rsidRPr="00651077">
        <w:rPr>
          <w:rFonts w:ascii="Calibri" w:hAnsi="Calibri" w:cs="Calibri"/>
          <w:noProof/>
          <w:szCs w:val="24"/>
        </w:rPr>
        <w:tab/>
        <w:t xml:space="preserve">Westerheide, D. E. &amp; Westwater, J. W. Isothermal growth of hydrogen bubbles during electrolysis. </w:t>
      </w:r>
      <w:r w:rsidRPr="00651077">
        <w:rPr>
          <w:rFonts w:ascii="Calibri" w:hAnsi="Calibri" w:cs="Calibri"/>
          <w:i/>
          <w:iCs/>
          <w:noProof/>
          <w:szCs w:val="24"/>
        </w:rPr>
        <w:t>AIChE J.</w:t>
      </w:r>
      <w:r w:rsidRPr="00651077">
        <w:rPr>
          <w:rFonts w:ascii="Calibri" w:hAnsi="Calibri" w:cs="Calibri"/>
          <w:noProof/>
          <w:szCs w:val="24"/>
        </w:rPr>
        <w:t xml:space="preserve"> </w:t>
      </w:r>
      <w:r w:rsidRPr="00651077">
        <w:rPr>
          <w:rFonts w:ascii="Calibri" w:hAnsi="Calibri" w:cs="Calibri"/>
          <w:b/>
          <w:bCs/>
          <w:noProof/>
          <w:szCs w:val="24"/>
        </w:rPr>
        <w:t>7</w:t>
      </w:r>
      <w:r w:rsidRPr="00651077">
        <w:rPr>
          <w:rFonts w:ascii="Calibri" w:hAnsi="Calibri" w:cs="Calibri"/>
          <w:noProof/>
          <w:szCs w:val="24"/>
        </w:rPr>
        <w:t>, 357–362 (1961).</w:t>
      </w:r>
    </w:p>
    <w:p w14:paraId="77BCB010"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29.</w:t>
      </w:r>
      <w:r w:rsidRPr="00651077">
        <w:rPr>
          <w:rFonts w:ascii="Calibri" w:hAnsi="Calibri" w:cs="Calibri"/>
          <w:noProof/>
          <w:szCs w:val="24"/>
        </w:rPr>
        <w:tab/>
        <w:t xml:space="preserve">Higuera, F. J. A model of the growth of hydrogen bubbles in the electrolysis of water. </w:t>
      </w:r>
      <w:r w:rsidRPr="00651077">
        <w:rPr>
          <w:rFonts w:ascii="Calibri" w:hAnsi="Calibri" w:cs="Calibri"/>
          <w:i/>
          <w:iCs/>
          <w:noProof/>
          <w:szCs w:val="24"/>
        </w:rPr>
        <w:t>J. Fluid Mech.</w:t>
      </w:r>
      <w:r w:rsidRPr="00651077">
        <w:rPr>
          <w:rFonts w:ascii="Calibri" w:hAnsi="Calibri" w:cs="Calibri"/>
          <w:noProof/>
          <w:szCs w:val="24"/>
        </w:rPr>
        <w:t xml:space="preserve"> </w:t>
      </w:r>
      <w:r w:rsidRPr="00651077">
        <w:rPr>
          <w:rFonts w:ascii="Calibri" w:hAnsi="Calibri" w:cs="Calibri"/>
          <w:b/>
          <w:bCs/>
          <w:noProof/>
          <w:szCs w:val="24"/>
        </w:rPr>
        <w:t>927</w:t>
      </w:r>
      <w:r w:rsidRPr="00651077">
        <w:rPr>
          <w:rFonts w:ascii="Calibri" w:hAnsi="Calibri" w:cs="Calibri"/>
          <w:noProof/>
          <w:szCs w:val="24"/>
        </w:rPr>
        <w:t>, A33 (2021).</w:t>
      </w:r>
    </w:p>
    <w:p w14:paraId="1CBB4A07"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szCs w:val="24"/>
        </w:rPr>
      </w:pPr>
      <w:r w:rsidRPr="00651077">
        <w:rPr>
          <w:rFonts w:ascii="Calibri" w:hAnsi="Calibri" w:cs="Calibri"/>
          <w:noProof/>
          <w:szCs w:val="24"/>
        </w:rPr>
        <w:t>30.</w:t>
      </w:r>
      <w:r w:rsidRPr="00651077">
        <w:rPr>
          <w:rFonts w:ascii="Calibri" w:hAnsi="Calibri" w:cs="Calibri"/>
          <w:noProof/>
          <w:szCs w:val="24"/>
        </w:rPr>
        <w:tab/>
        <w:t xml:space="preserve">Aoki, K. J. Frequency-dependence of electric double layer capacitance without Faradaic reactions. </w:t>
      </w:r>
      <w:r w:rsidRPr="00651077">
        <w:rPr>
          <w:rFonts w:ascii="Calibri" w:hAnsi="Calibri" w:cs="Calibri"/>
          <w:i/>
          <w:iCs/>
          <w:noProof/>
          <w:szCs w:val="24"/>
        </w:rPr>
        <w:t>JEAC</w:t>
      </w:r>
      <w:r w:rsidRPr="00651077">
        <w:rPr>
          <w:rFonts w:ascii="Calibri" w:hAnsi="Calibri" w:cs="Calibri"/>
          <w:noProof/>
          <w:szCs w:val="24"/>
        </w:rPr>
        <w:t xml:space="preserve"> </w:t>
      </w:r>
      <w:r w:rsidRPr="00651077">
        <w:rPr>
          <w:rFonts w:ascii="Calibri" w:hAnsi="Calibri" w:cs="Calibri"/>
          <w:b/>
          <w:bCs/>
          <w:noProof/>
          <w:szCs w:val="24"/>
        </w:rPr>
        <w:t>779</w:t>
      </w:r>
      <w:r w:rsidRPr="00651077">
        <w:rPr>
          <w:rFonts w:ascii="Calibri" w:hAnsi="Calibri" w:cs="Calibri"/>
          <w:noProof/>
          <w:szCs w:val="24"/>
        </w:rPr>
        <w:t>, 117–125 (2016).</w:t>
      </w:r>
    </w:p>
    <w:p w14:paraId="5813BDE4" w14:textId="77777777" w:rsidR="00651077" w:rsidRPr="00651077" w:rsidRDefault="00651077" w:rsidP="00651077">
      <w:pPr>
        <w:widowControl w:val="0"/>
        <w:autoSpaceDE w:val="0"/>
        <w:autoSpaceDN w:val="0"/>
        <w:adjustRightInd w:val="0"/>
        <w:spacing w:line="240" w:lineRule="auto"/>
        <w:ind w:left="640" w:hanging="640"/>
        <w:rPr>
          <w:rFonts w:ascii="Calibri" w:hAnsi="Calibri" w:cs="Calibri"/>
          <w:noProof/>
        </w:rPr>
      </w:pPr>
      <w:r w:rsidRPr="00651077">
        <w:rPr>
          <w:rFonts w:ascii="Calibri" w:hAnsi="Calibri" w:cs="Calibri"/>
          <w:noProof/>
          <w:szCs w:val="24"/>
        </w:rPr>
        <w:t>31.</w:t>
      </w:r>
      <w:r w:rsidRPr="00651077">
        <w:rPr>
          <w:rFonts w:ascii="Calibri" w:hAnsi="Calibri" w:cs="Calibri"/>
          <w:noProof/>
          <w:szCs w:val="24"/>
        </w:rPr>
        <w:tab/>
        <w:t xml:space="preserve">Choi, H., Li, C. &amp; Peterson, G. P. Dynamic Processes of Nanobubbles: Growth, Collapse, and Coalescence. </w:t>
      </w:r>
      <w:r w:rsidRPr="00651077">
        <w:rPr>
          <w:rFonts w:ascii="Calibri" w:hAnsi="Calibri" w:cs="Calibri"/>
          <w:i/>
          <w:iCs/>
          <w:noProof/>
          <w:szCs w:val="24"/>
        </w:rPr>
        <w:t>J. Heat Transfer</w:t>
      </w:r>
      <w:r w:rsidRPr="00651077">
        <w:rPr>
          <w:rFonts w:ascii="Calibri" w:hAnsi="Calibri" w:cs="Calibri"/>
          <w:noProof/>
          <w:szCs w:val="24"/>
        </w:rPr>
        <w:t xml:space="preserve"> </w:t>
      </w:r>
      <w:r w:rsidRPr="00651077">
        <w:rPr>
          <w:rFonts w:ascii="Calibri" w:hAnsi="Calibri" w:cs="Calibri"/>
          <w:b/>
          <w:bCs/>
          <w:noProof/>
          <w:szCs w:val="24"/>
        </w:rPr>
        <w:t>143</w:t>
      </w:r>
      <w:r w:rsidRPr="00651077">
        <w:rPr>
          <w:rFonts w:ascii="Calibri" w:hAnsi="Calibri" w:cs="Calibri"/>
          <w:noProof/>
          <w:szCs w:val="24"/>
        </w:rPr>
        <w:t>, 1–23 (2021).</w:t>
      </w:r>
    </w:p>
    <w:p w14:paraId="0A0EC605" w14:textId="60A5D76B" w:rsidR="003A1F4D" w:rsidRDefault="003A1F4D" w:rsidP="00187302">
      <w:pPr>
        <w:jc w:val="both"/>
      </w:pPr>
    </w:p>
    <w:sectPr w:rsidR="003A1F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9251FE"/>
    <w:multiLevelType w:val="hybridMultilevel"/>
    <w:tmpl w:val="B686DE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64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1F4D"/>
    <w:rsid w:val="00025487"/>
    <w:rsid w:val="000329FA"/>
    <w:rsid w:val="00043F6C"/>
    <w:rsid w:val="00063ED3"/>
    <w:rsid w:val="00074081"/>
    <w:rsid w:val="000740E4"/>
    <w:rsid w:val="000A5827"/>
    <w:rsid w:val="000B2DB4"/>
    <w:rsid w:val="000C0EE7"/>
    <w:rsid w:val="000E44F6"/>
    <w:rsid w:val="000E57AE"/>
    <w:rsid w:val="000F18BF"/>
    <w:rsid w:val="000F63BB"/>
    <w:rsid w:val="00101913"/>
    <w:rsid w:val="00106D15"/>
    <w:rsid w:val="00107115"/>
    <w:rsid w:val="00113F2F"/>
    <w:rsid w:val="00133E26"/>
    <w:rsid w:val="00145882"/>
    <w:rsid w:val="00167797"/>
    <w:rsid w:val="00180B83"/>
    <w:rsid w:val="00185351"/>
    <w:rsid w:val="00187302"/>
    <w:rsid w:val="001A1569"/>
    <w:rsid w:val="001A27EF"/>
    <w:rsid w:val="001C73CC"/>
    <w:rsid w:val="001D7B3D"/>
    <w:rsid w:val="001E3F18"/>
    <w:rsid w:val="001F2B88"/>
    <w:rsid w:val="00200FFB"/>
    <w:rsid w:val="0021441E"/>
    <w:rsid w:val="0022312C"/>
    <w:rsid w:val="0023678A"/>
    <w:rsid w:val="0025320D"/>
    <w:rsid w:val="00286C77"/>
    <w:rsid w:val="00290FD7"/>
    <w:rsid w:val="00293F92"/>
    <w:rsid w:val="002943CA"/>
    <w:rsid w:val="0029697C"/>
    <w:rsid w:val="002A396D"/>
    <w:rsid w:val="002A3AE4"/>
    <w:rsid w:val="002A68C4"/>
    <w:rsid w:val="002B21B0"/>
    <w:rsid w:val="002B5E8D"/>
    <w:rsid w:val="002C034A"/>
    <w:rsid w:val="002E51B0"/>
    <w:rsid w:val="00303A28"/>
    <w:rsid w:val="003042BE"/>
    <w:rsid w:val="00304797"/>
    <w:rsid w:val="00316F9E"/>
    <w:rsid w:val="00330CB8"/>
    <w:rsid w:val="0035098B"/>
    <w:rsid w:val="00354907"/>
    <w:rsid w:val="00376CAA"/>
    <w:rsid w:val="003835F3"/>
    <w:rsid w:val="0038361D"/>
    <w:rsid w:val="00396374"/>
    <w:rsid w:val="003A1F4D"/>
    <w:rsid w:val="003B415D"/>
    <w:rsid w:val="003B6D83"/>
    <w:rsid w:val="003B6FEF"/>
    <w:rsid w:val="003C2FF3"/>
    <w:rsid w:val="0041693B"/>
    <w:rsid w:val="00430760"/>
    <w:rsid w:val="0043331C"/>
    <w:rsid w:val="00436774"/>
    <w:rsid w:val="00441539"/>
    <w:rsid w:val="004574CD"/>
    <w:rsid w:val="004723DF"/>
    <w:rsid w:val="00473A0D"/>
    <w:rsid w:val="0047628A"/>
    <w:rsid w:val="00476CFE"/>
    <w:rsid w:val="0048200D"/>
    <w:rsid w:val="00486F47"/>
    <w:rsid w:val="00487BB0"/>
    <w:rsid w:val="004A5453"/>
    <w:rsid w:val="004A6C70"/>
    <w:rsid w:val="004B106B"/>
    <w:rsid w:val="004B664D"/>
    <w:rsid w:val="004E2E62"/>
    <w:rsid w:val="004E3BE7"/>
    <w:rsid w:val="004E7211"/>
    <w:rsid w:val="005056C6"/>
    <w:rsid w:val="00506A3F"/>
    <w:rsid w:val="00512665"/>
    <w:rsid w:val="005210F5"/>
    <w:rsid w:val="00523937"/>
    <w:rsid w:val="005311AE"/>
    <w:rsid w:val="00541A18"/>
    <w:rsid w:val="005519B8"/>
    <w:rsid w:val="0058123A"/>
    <w:rsid w:val="00590BED"/>
    <w:rsid w:val="0059270A"/>
    <w:rsid w:val="0059758E"/>
    <w:rsid w:val="00597757"/>
    <w:rsid w:val="005A0D16"/>
    <w:rsid w:val="005A232C"/>
    <w:rsid w:val="005A451B"/>
    <w:rsid w:val="005A6BDC"/>
    <w:rsid w:val="005C2D1B"/>
    <w:rsid w:val="005F647D"/>
    <w:rsid w:val="0061389B"/>
    <w:rsid w:val="00620ECB"/>
    <w:rsid w:val="00621E41"/>
    <w:rsid w:val="00646D95"/>
    <w:rsid w:val="00651077"/>
    <w:rsid w:val="00672B36"/>
    <w:rsid w:val="006923BB"/>
    <w:rsid w:val="006B155B"/>
    <w:rsid w:val="006B49E3"/>
    <w:rsid w:val="006C0D2A"/>
    <w:rsid w:val="006D062C"/>
    <w:rsid w:val="006D3EEA"/>
    <w:rsid w:val="006F097F"/>
    <w:rsid w:val="0072410E"/>
    <w:rsid w:val="0072413E"/>
    <w:rsid w:val="007308A6"/>
    <w:rsid w:val="007457CF"/>
    <w:rsid w:val="007629BA"/>
    <w:rsid w:val="00781C6F"/>
    <w:rsid w:val="0078487D"/>
    <w:rsid w:val="007A2870"/>
    <w:rsid w:val="007A76FE"/>
    <w:rsid w:val="007E0FC9"/>
    <w:rsid w:val="007E23AE"/>
    <w:rsid w:val="007E3058"/>
    <w:rsid w:val="007F0507"/>
    <w:rsid w:val="007F1297"/>
    <w:rsid w:val="007F20EC"/>
    <w:rsid w:val="00803AD4"/>
    <w:rsid w:val="00817D10"/>
    <w:rsid w:val="00841038"/>
    <w:rsid w:val="00866697"/>
    <w:rsid w:val="0088218E"/>
    <w:rsid w:val="00884B83"/>
    <w:rsid w:val="008B0FB5"/>
    <w:rsid w:val="008C27FD"/>
    <w:rsid w:val="008C63EB"/>
    <w:rsid w:val="008E0F9C"/>
    <w:rsid w:val="008E7E01"/>
    <w:rsid w:val="00902FF4"/>
    <w:rsid w:val="009233E6"/>
    <w:rsid w:val="00925E6C"/>
    <w:rsid w:val="00930485"/>
    <w:rsid w:val="009326A6"/>
    <w:rsid w:val="009723D3"/>
    <w:rsid w:val="00996F5F"/>
    <w:rsid w:val="009A613C"/>
    <w:rsid w:val="009C17C5"/>
    <w:rsid w:val="009D1DF5"/>
    <w:rsid w:val="009E468A"/>
    <w:rsid w:val="00A23B16"/>
    <w:rsid w:val="00A323C3"/>
    <w:rsid w:val="00A34ACE"/>
    <w:rsid w:val="00A360F1"/>
    <w:rsid w:val="00A427E9"/>
    <w:rsid w:val="00A56ED3"/>
    <w:rsid w:val="00A64417"/>
    <w:rsid w:val="00A646A2"/>
    <w:rsid w:val="00A83E15"/>
    <w:rsid w:val="00AB0CB3"/>
    <w:rsid w:val="00AB3BDB"/>
    <w:rsid w:val="00AB5ED5"/>
    <w:rsid w:val="00AB7518"/>
    <w:rsid w:val="00AC5814"/>
    <w:rsid w:val="00AE406E"/>
    <w:rsid w:val="00AE5F09"/>
    <w:rsid w:val="00AF78A8"/>
    <w:rsid w:val="00B0119F"/>
    <w:rsid w:val="00B15131"/>
    <w:rsid w:val="00B30C59"/>
    <w:rsid w:val="00B42EE5"/>
    <w:rsid w:val="00B452AE"/>
    <w:rsid w:val="00B5059C"/>
    <w:rsid w:val="00B613D2"/>
    <w:rsid w:val="00B62635"/>
    <w:rsid w:val="00B81412"/>
    <w:rsid w:val="00B83FB5"/>
    <w:rsid w:val="00B96641"/>
    <w:rsid w:val="00B96C6E"/>
    <w:rsid w:val="00BA589B"/>
    <w:rsid w:val="00BB35D3"/>
    <w:rsid w:val="00C03D15"/>
    <w:rsid w:val="00C221AB"/>
    <w:rsid w:val="00C35B99"/>
    <w:rsid w:val="00C43CA6"/>
    <w:rsid w:val="00C43D67"/>
    <w:rsid w:val="00C478B9"/>
    <w:rsid w:val="00C56F54"/>
    <w:rsid w:val="00C6588D"/>
    <w:rsid w:val="00C752CB"/>
    <w:rsid w:val="00C81D7E"/>
    <w:rsid w:val="00C82445"/>
    <w:rsid w:val="00C84D71"/>
    <w:rsid w:val="00C86544"/>
    <w:rsid w:val="00C902FD"/>
    <w:rsid w:val="00CA4C59"/>
    <w:rsid w:val="00CA6816"/>
    <w:rsid w:val="00CB755E"/>
    <w:rsid w:val="00CC6D4D"/>
    <w:rsid w:val="00CD0938"/>
    <w:rsid w:val="00CD43D2"/>
    <w:rsid w:val="00CE6BAB"/>
    <w:rsid w:val="00D11615"/>
    <w:rsid w:val="00D16139"/>
    <w:rsid w:val="00D16397"/>
    <w:rsid w:val="00D2446D"/>
    <w:rsid w:val="00D24A29"/>
    <w:rsid w:val="00D3653D"/>
    <w:rsid w:val="00D531A4"/>
    <w:rsid w:val="00D54649"/>
    <w:rsid w:val="00D56E3C"/>
    <w:rsid w:val="00D61FAA"/>
    <w:rsid w:val="00D675A5"/>
    <w:rsid w:val="00DB12C2"/>
    <w:rsid w:val="00DD204E"/>
    <w:rsid w:val="00DE2E80"/>
    <w:rsid w:val="00DF14FB"/>
    <w:rsid w:val="00E0725B"/>
    <w:rsid w:val="00E1334E"/>
    <w:rsid w:val="00E34213"/>
    <w:rsid w:val="00E5289F"/>
    <w:rsid w:val="00E54901"/>
    <w:rsid w:val="00E6379C"/>
    <w:rsid w:val="00E7397E"/>
    <w:rsid w:val="00E73DCD"/>
    <w:rsid w:val="00E82E99"/>
    <w:rsid w:val="00EA05FD"/>
    <w:rsid w:val="00ED37B3"/>
    <w:rsid w:val="00ED5CDA"/>
    <w:rsid w:val="00ED6CF5"/>
    <w:rsid w:val="00EE0A88"/>
    <w:rsid w:val="00EE35CD"/>
    <w:rsid w:val="00EE5CEA"/>
    <w:rsid w:val="00F00CC4"/>
    <w:rsid w:val="00F10AA4"/>
    <w:rsid w:val="00F23C1F"/>
    <w:rsid w:val="00F2539B"/>
    <w:rsid w:val="00F356D0"/>
    <w:rsid w:val="00F35F14"/>
    <w:rsid w:val="00F37F92"/>
    <w:rsid w:val="00F45AD1"/>
    <w:rsid w:val="00F47E36"/>
    <w:rsid w:val="00F55F74"/>
    <w:rsid w:val="00F56CEB"/>
    <w:rsid w:val="00F575C1"/>
    <w:rsid w:val="00F61245"/>
    <w:rsid w:val="00F614C4"/>
    <w:rsid w:val="00F961EB"/>
    <w:rsid w:val="00FA2329"/>
    <w:rsid w:val="00FA3842"/>
    <w:rsid w:val="00FB2E2D"/>
    <w:rsid w:val="00FB384B"/>
    <w:rsid w:val="00FC4DC1"/>
    <w:rsid w:val="00FE25C1"/>
    <w:rsid w:val="00FF1E7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A42AC"/>
  <w15:chartTrackingRefBased/>
  <w15:docId w15:val="{9F334ADC-4181-4DF9-B43C-25DDBA9F7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f0">
    <w:name w:val="pf0"/>
    <w:basedOn w:val="Normal"/>
    <w:rsid w:val="003A1F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3A1F4D"/>
    <w:rPr>
      <w:rFonts w:ascii="Segoe UI" w:hAnsi="Segoe UI" w:cs="Segoe UI" w:hint="default"/>
      <w:color w:val="202122"/>
      <w:sz w:val="18"/>
      <w:szCs w:val="18"/>
      <w:shd w:val="clear" w:color="auto" w:fill="FFFFFF"/>
    </w:rPr>
  </w:style>
  <w:style w:type="character" w:customStyle="1" w:styleId="cf11">
    <w:name w:val="cf11"/>
    <w:basedOn w:val="DefaultParagraphFont"/>
    <w:rsid w:val="003A1F4D"/>
    <w:rPr>
      <w:rFonts w:ascii="Segoe UI" w:hAnsi="Segoe UI" w:cs="Segoe UI" w:hint="default"/>
      <w:b/>
      <w:bCs/>
      <w:color w:val="202122"/>
      <w:sz w:val="18"/>
      <w:szCs w:val="18"/>
      <w:shd w:val="clear" w:color="auto" w:fill="FFFFFF"/>
    </w:rPr>
  </w:style>
  <w:style w:type="paragraph" w:styleId="Caption">
    <w:name w:val="caption"/>
    <w:basedOn w:val="Normal"/>
    <w:next w:val="Normal"/>
    <w:uiPriority w:val="35"/>
    <w:unhideWhenUsed/>
    <w:qFormat/>
    <w:rsid w:val="009E468A"/>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4B664D"/>
    <w:rPr>
      <w:color w:val="808080"/>
    </w:rPr>
  </w:style>
  <w:style w:type="paragraph" w:styleId="ListParagraph">
    <w:name w:val="List Paragraph"/>
    <w:basedOn w:val="Normal"/>
    <w:uiPriority w:val="34"/>
    <w:qFormat/>
    <w:rsid w:val="00025487"/>
    <w:pPr>
      <w:ind w:left="720"/>
      <w:contextualSpacing/>
    </w:pPr>
  </w:style>
  <w:style w:type="character" w:styleId="CommentReference">
    <w:name w:val="annotation reference"/>
    <w:basedOn w:val="DefaultParagraphFont"/>
    <w:uiPriority w:val="99"/>
    <w:semiHidden/>
    <w:unhideWhenUsed/>
    <w:rsid w:val="00E5289F"/>
    <w:rPr>
      <w:sz w:val="16"/>
      <w:szCs w:val="16"/>
    </w:rPr>
  </w:style>
  <w:style w:type="paragraph" w:styleId="CommentText">
    <w:name w:val="annotation text"/>
    <w:basedOn w:val="Normal"/>
    <w:link w:val="CommentTextChar"/>
    <w:uiPriority w:val="99"/>
    <w:unhideWhenUsed/>
    <w:rsid w:val="00E5289F"/>
    <w:pPr>
      <w:spacing w:line="240" w:lineRule="auto"/>
    </w:pPr>
    <w:rPr>
      <w:sz w:val="20"/>
      <w:szCs w:val="20"/>
    </w:rPr>
  </w:style>
  <w:style w:type="character" w:customStyle="1" w:styleId="CommentTextChar">
    <w:name w:val="Comment Text Char"/>
    <w:basedOn w:val="DefaultParagraphFont"/>
    <w:link w:val="CommentText"/>
    <w:uiPriority w:val="99"/>
    <w:rsid w:val="00E5289F"/>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5289F"/>
    <w:rPr>
      <w:b/>
      <w:bCs/>
    </w:rPr>
  </w:style>
  <w:style w:type="character" w:customStyle="1" w:styleId="CommentSubjectChar">
    <w:name w:val="Comment Subject Char"/>
    <w:basedOn w:val="CommentTextChar"/>
    <w:link w:val="CommentSubject"/>
    <w:uiPriority w:val="99"/>
    <w:semiHidden/>
    <w:rsid w:val="00E5289F"/>
    <w:rPr>
      <w:b/>
      <w:bCs/>
      <w:kern w:val="0"/>
      <w:sz w:val="20"/>
      <w:szCs w:val="20"/>
      <w14:ligatures w14:val="none"/>
    </w:rPr>
  </w:style>
  <w:style w:type="table" w:styleId="TableGrid">
    <w:name w:val="Table Grid"/>
    <w:basedOn w:val="TableNormal"/>
    <w:uiPriority w:val="39"/>
    <w:rsid w:val="003B41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3B415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3B415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3B415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D24A29"/>
    <w:pPr>
      <w:spacing w:after="0" w:line="240" w:lineRule="auto"/>
    </w:pPr>
    <w:rPr>
      <w:kern w:val="0"/>
      <w14:ligatures w14:val="none"/>
    </w:rPr>
  </w:style>
  <w:style w:type="paragraph" w:styleId="BalloonText">
    <w:name w:val="Balloon Text"/>
    <w:basedOn w:val="Normal"/>
    <w:link w:val="BalloonTextChar"/>
    <w:uiPriority w:val="99"/>
    <w:semiHidden/>
    <w:unhideWhenUsed/>
    <w:rsid w:val="005A6B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6BDC"/>
    <w:rPr>
      <w:rFonts w:ascii="Segoe UI"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4499221">
      <w:bodyDiv w:val="1"/>
      <w:marLeft w:val="0"/>
      <w:marRight w:val="0"/>
      <w:marTop w:val="0"/>
      <w:marBottom w:val="0"/>
      <w:divBdr>
        <w:top w:val="none" w:sz="0" w:space="0" w:color="auto"/>
        <w:left w:val="none" w:sz="0" w:space="0" w:color="auto"/>
        <w:bottom w:val="none" w:sz="0" w:space="0" w:color="auto"/>
        <w:right w:val="none" w:sz="0" w:space="0" w:color="auto"/>
      </w:divBdr>
    </w:div>
    <w:div w:id="362511951">
      <w:bodyDiv w:val="1"/>
      <w:marLeft w:val="0"/>
      <w:marRight w:val="0"/>
      <w:marTop w:val="0"/>
      <w:marBottom w:val="0"/>
      <w:divBdr>
        <w:top w:val="none" w:sz="0" w:space="0" w:color="auto"/>
        <w:left w:val="none" w:sz="0" w:space="0" w:color="auto"/>
        <w:bottom w:val="none" w:sz="0" w:space="0" w:color="auto"/>
        <w:right w:val="none" w:sz="0" w:space="0" w:color="auto"/>
      </w:divBdr>
    </w:div>
    <w:div w:id="793981258">
      <w:bodyDiv w:val="1"/>
      <w:marLeft w:val="0"/>
      <w:marRight w:val="0"/>
      <w:marTop w:val="0"/>
      <w:marBottom w:val="0"/>
      <w:divBdr>
        <w:top w:val="none" w:sz="0" w:space="0" w:color="auto"/>
        <w:left w:val="none" w:sz="0" w:space="0" w:color="auto"/>
        <w:bottom w:val="none" w:sz="0" w:space="0" w:color="auto"/>
        <w:right w:val="none" w:sz="0" w:space="0" w:color="auto"/>
      </w:divBdr>
    </w:div>
    <w:div w:id="199552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10A34C-F8F1-45E5-9F0F-4F2087776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14</Pages>
  <Words>2868</Words>
  <Characters>16351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 Hyungmok</dc:creator>
  <cp:keywords/>
  <dc:description/>
  <cp:lastModifiedBy>Joh, Hyungmok</cp:lastModifiedBy>
  <cp:revision>12</cp:revision>
  <dcterms:created xsi:type="dcterms:W3CDTF">2023-08-28T19:43:00Z</dcterms:created>
  <dcterms:modified xsi:type="dcterms:W3CDTF">2023-08-29T21:41:00Z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http://www.zotero.org/styles/acs-nano</vt:lpwstr>
  </property>
  <property fmtid="{D5CDD505-2E9C-101B-9397-08002B2CF9AE}" pid="3" name="Mendeley Recent Style Name 0_1">
    <vt:lpwstr>ACS Nano</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http://www.zotero.org/styles/applied-physics-letters</vt:lpwstr>
  </property>
  <property fmtid="{D5CDD505-2E9C-101B-9397-08002B2CF9AE}" pid="9" name="Mendeley Recent Style Name 3_1">
    <vt:lpwstr>Applied Physics Letters</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http://www.zotero.org/styles/nature-no-et-al</vt:lpwstr>
  </property>
  <property fmtid="{D5CDD505-2E9C-101B-9397-08002B2CF9AE}" pid="21" name="Mendeley Recent Style Name 9_1">
    <vt:lpwstr>Nature (no "et al.")</vt:lpwstr>
  </property>
  <property fmtid="{D5CDD505-2E9C-101B-9397-08002B2CF9AE}" pid="22" name="Mendeley Document_1">
    <vt:lpwstr>True</vt:lpwstr>
  </property>
  <property fmtid="{D5CDD505-2E9C-101B-9397-08002B2CF9AE}" pid="23" name="Mendeley Unique User Id_1">
    <vt:lpwstr>fc38f8df-b7c7-3842-942f-44b4ebeeeca2</vt:lpwstr>
  </property>
  <property fmtid="{D5CDD505-2E9C-101B-9397-08002B2CF9AE}" pid="24" name="Mendeley Citation Style_1">
    <vt:lpwstr>http://www.zotero.org/styles/nature</vt:lpwstr>
  </property>
  <property fmtid="{D5CDD505-2E9C-101B-9397-08002B2CF9AE}" pid="25" name="GrammarlyDocumentId">
    <vt:lpwstr>c683d8f4149bfc0a2ee7989d467cfcd3c381d2bb08fb3ab02c81f8ad46825ca2</vt:lpwstr>
  </property>
</Properties>
</file>