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990D65" w14:textId="42E5B478" w:rsidR="004B7572" w:rsidRPr="00475111" w:rsidRDefault="00475111" w:rsidP="00475111">
      <w:pPr>
        <w:spacing w:line="480" w:lineRule="auto"/>
        <w:jc w:val="center"/>
        <w:rPr>
          <w:rFonts w:ascii="Times New Roman" w:hAnsi="Times New Roman" w:cs="Times New Roman"/>
          <w:b/>
          <w:color w:val="000000" w:themeColor="text1"/>
          <w:lang w:val="en-US"/>
        </w:rPr>
      </w:pPr>
      <w:r w:rsidRPr="00475111">
        <w:rPr>
          <w:rFonts w:ascii="Times New Roman" w:hAnsi="Times New Roman" w:cs="Times New Roman"/>
          <w:b/>
          <w:color w:val="000000" w:themeColor="text1"/>
          <w:lang w:val="en-US"/>
        </w:rPr>
        <w:t>S</w:t>
      </w:r>
      <w:r>
        <w:rPr>
          <w:rFonts w:ascii="Times New Roman" w:hAnsi="Times New Roman" w:cs="Times New Roman"/>
          <w:b/>
          <w:color w:val="000000" w:themeColor="text1"/>
          <w:lang w:val="en-US"/>
        </w:rPr>
        <w:t>UPPLEMENTARY APPENDIX</w:t>
      </w:r>
    </w:p>
    <w:p w14:paraId="39579BC9" w14:textId="77777777" w:rsidR="00475111" w:rsidRPr="00475111" w:rsidRDefault="00475111" w:rsidP="00475111">
      <w:pPr>
        <w:spacing w:line="480" w:lineRule="auto"/>
        <w:rPr>
          <w:rFonts w:ascii="Times New Roman" w:hAnsi="Times New Roman" w:cs="Times New Roman"/>
          <w:bCs/>
          <w:color w:val="000000" w:themeColor="text1"/>
          <w:lang w:val="en-US"/>
        </w:rPr>
      </w:pPr>
    </w:p>
    <w:p w14:paraId="2194EAEA" w14:textId="5B1A0648" w:rsidR="00475111" w:rsidRPr="00475111" w:rsidRDefault="00475111" w:rsidP="00475111">
      <w:pPr>
        <w:spacing w:line="480" w:lineRule="auto"/>
        <w:rPr>
          <w:rFonts w:ascii="Times New Roman" w:hAnsi="Times New Roman" w:cs="Times New Roman"/>
          <w:bCs/>
          <w:color w:val="000000" w:themeColor="text1"/>
          <w:lang w:val="en-US"/>
        </w:rPr>
      </w:pPr>
      <w:r w:rsidRPr="00475111">
        <w:rPr>
          <w:rFonts w:ascii="Times New Roman" w:hAnsi="Times New Roman" w:cs="Times New Roman"/>
          <w:bCs/>
          <w:color w:val="000000" w:themeColor="text1"/>
          <w:lang w:val="en-US"/>
        </w:rPr>
        <w:t xml:space="preserve">This appendix has been provided by the authors to give readers additional information about their work. </w:t>
      </w:r>
    </w:p>
    <w:p w14:paraId="138F59DC" w14:textId="77777777" w:rsidR="00475111" w:rsidRPr="00475111" w:rsidRDefault="00475111" w:rsidP="00475111">
      <w:pPr>
        <w:spacing w:line="480" w:lineRule="auto"/>
        <w:rPr>
          <w:rFonts w:ascii="Times New Roman" w:hAnsi="Times New Roman" w:cs="Times New Roman"/>
          <w:bCs/>
          <w:color w:val="000000" w:themeColor="text1"/>
          <w:lang w:val="en-US"/>
        </w:rPr>
      </w:pPr>
    </w:p>
    <w:p w14:paraId="0FB27926" w14:textId="77777777" w:rsidR="00475111" w:rsidRDefault="00475111" w:rsidP="00475111">
      <w:pPr>
        <w:spacing w:line="480" w:lineRule="auto"/>
        <w:rPr>
          <w:rFonts w:ascii="Times New Roman" w:hAnsi="Times New Roman" w:cs="Times New Roman"/>
          <w:bCs/>
          <w:lang w:val="en-US"/>
        </w:rPr>
      </w:pPr>
      <w:r w:rsidRPr="00475111">
        <w:rPr>
          <w:rFonts w:ascii="Times New Roman" w:hAnsi="Times New Roman" w:cs="Times New Roman"/>
          <w:bCs/>
          <w:lang w:val="en-US"/>
        </w:rPr>
        <w:t>C</w:t>
      </w:r>
      <w:r>
        <w:rPr>
          <w:rFonts w:ascii="Times New Roman" w:hAnsi="Times New Roman" w:cs="Times New Roman"/>
          <w:bCs/>
          <w:lang w:val="en-US"/>
        </w:rPr>
        <w:t>ONTENTS:</w:t>
      </w:r>
    </w:p>
    <w:p w14:paraId="0CE8416E" w14:textId="5FAD008E" w:rsidR="00026D64" w:rsidRDefault="00026D64" w:rsidP="00431B9D">
      <w:pPr>
        <w:spacing w:line="480" w:lineRule="auto"/>
        <w:rPr>
          <w:rFonts w:ascii="Times New Roman" w:hAnsi="Times New Roman" w:cs="Times New Roman"/>
          <w:bCs/>
          <w:lang w:val="en-US"/>
        </w:rPr>
      </w:pPr>
      <w:r>
        <w:rPr>
          <w:rFonts w:ascii="Times New Roman" w:hAnsi="Times New Roman" w:cs="Times New Roman"/>
          <w:bCs/>
          <w:lang w:val="en-US"/>
        </w:rPr>
        <w:t xml:space="preserve">SUPPLEMENTAL METHODS </w:t>
      </w:r>
    </w:p>
    <w:p w14:paraId="5BC0688A" w14:textId="03FB2009" w:rsidR="007F101C" w:rsidRPr="00991889" w:rsidRDefault="00FF6BD7" w:rsidP="007F101C">
      <w:pPr>
        <w:tabs>
          <w:tab w:val="left" w:pos="220"/>
          <w:tab w:val="left" w:pos="720"/>
        </w:tabs>
        <w:spacing w:line="480" w:lineRule="auto"/>
        <w:jc w:val="both"/>
        <w:rPr>
          <w:rFonts w:ascii="Times New Roman" w:hAnsi="Times New Roman" w:cs="Times New Roman"/>
          <w:color w:val="000000" w:themeColor="text1"/>
          <w:lang w:val="en-US"/>
        </w:rPr>
      </w:pPr>
      <w:r>
        <w:rPr>
          <w:rFonts w:ascii="Times New Roman" w:hAnsi="Times New Roman" w:cs="Times New Roman"/>
          <w:b/>
          <w:bCs/>
          <w:color w:val="000000" w:themeColor="text1"/>
          <w:lang w:val="en-US"/>
        </w:rPr>
        <w:t>D</w:t>
      </w:r>
      <w:r w:rsidR="00C36469">
        <w:rPr>
          <w:rFonts w:ascii="Times New Roman" w:hAnsi="Times New Roman" w:cs="Times New Roman"/>
          <w:b/>
          <w:bCs/>
          <w:color w:val="000000" w:themeColor="text1"/>
          <w:lang w:val="en-US"/>
        </w:rPr>
        <w:t>etailed d</w:t>
      </w:r>
      <w:r>
        <w:rPr>
          <w:rFonts w:ascii="Times New Roman" w:hAnsi="Times New Roman" w:cs="Times New Roman"/>
          <w:b/>
          <w:bCs/>
          <w:color w:val="000000" w:themeColor="text1"/>
          <w:lang w:val="en-US"/>
        </w:rPr>
        <w:t xml:space="preserve">escription of the </w:t>
      </w:r>
      <w:r w:rsidR="007F101C" w:rsidRPr="007F101C">
        <w:rPr>
          <w:rFonts w:ascii="Times New Roman" w:hAnsi="Times New Roman" w:cs="Times New Roman"/>
          <w:b/>
          <w:bCs/>
          <w:color w:val="000000" w:themeColor="text1"/>
          <w:lang w:val="en-US"/>
        </w:rPr>
        <w:t>GEP recording:</w:t>
      </w:r>
      <w:r w:rsidR="007F101C">
        <w:rPr>
          <w:rFonts w:ascii="Times New Roman" w:hAnsi="Times New Roman" w:cs="Times New Roman"/>
          <w:color w:val="000000" w:themeColor="text1"/>
          <w:lang w:val="en-US"/>
        </w:rPr>
        <w:t xml:space="preserve"> </w:t>
      </w:r>
      <w:r w:rsidR="007F101C" w:rsidRPr="00991889">
        <w:rPr>
          <w:rFonts w:ascii="Times New Roman" w:hAnsi="Times New Roman" w:cs="Times New Roman"/>
          <w:color w:val="000000" w:themeColor="text1"/>
          <w:lang w:val="en-US"/>
        </w:rPr>
        <w:t>Water and sucrose solutions were driven through the taste stimulation system by compressed air. Two parallel silicone tubes were used: one for wa</w:t>
      </w:r>
      <w:bookmarkStart w:id="0" w:name="_GoBack"/>
      <w:bookmarkEnd w:id="0"/>
      <w:r w:rsidR="007F101C" w:rsidRPr="00991889">
        <w:rPr>
          <w:rFonts w:ascii="Times New Roman" w:hAnsi="Times New Roman" w:cs="Times New Roman"/>
          <w:color w:val="000000" w:themeColor="text1"/>
          <w:lang w:val="en-US"/>
        </w:rPr>
        <w:t xml:space="preserve">ter and the other for a taste solution. Water and sucrose solutions were switched back and forth by two electromagnetic valves controlled by an electronic device. The electronic box sent a real-time signal to the computer software for collecting taste evoked potentials (GEPs) when the taste solution was administered (with an accuracy of one millisecond), to obtain reliable GEP latencies. The semi-rigid silicone tubes were placed side by side on the middle of the tongue, approximately 1.5 ± 0.5 cm from the anterior arch. The solutions were delivered on the tongue through a small hole at the end of each tube. The sucrose solution was delivered intermittently at a flow rate of 200 mL/hour by one tube and water alternately by the other tube, at a flow rate of 100 mL/hour. A flow rate of 200 mL/hour was chosen for the sucrose solutions because it allowed uniform stimulation of a large part of the tongue in a quasi-instantaneous manner (21-24 cm², a methylene blue test having been previously performed). The water flow rate was set at 100 mL/hour to minimize swallowing in order to eliminate artifacts in the GEP recordings. Preliminary tests were performed to ensure that the subjects did not perceive the difference in flow rates and that the change in flow rate did not create artifacts in GEP recordings (control recordings with water in both tubes did not induce cortical responses). The recording sessions lasted 20 minutes. </w:t>
      </w:r>
      <w:r w:rsidR="007F101C" w:rsidRPr="00991889">
        <w:rPr>
          <w:rFonts w:ascii="Times New Roman" w:hAnsi="Times New Roman" w:cs="Times New Roman"/>
          <w:color w:val="000000" w:themeColor="text1"/>
          <w:lang w:val="en-US"/>
        </w:rPr>
        <w:lastRenderedPageBreak/>
        <w:t>Concentration of the sucrose solution was set at 10 g.100 mL</w:t>
      </w:r>
      <w:r w:rsidR="007F101C" w:rsidRPr="00991889">
        <w:rPr>
          <w:rFonts w:ascii="Times New Roman" w:hAnsi="Times New Roman" w:cs="Times New Roman"/>
          <w:color w:val="000000" w:themeColor="text1"/>
          <w:vertAlign w:val="superscript"/>
          <w:lang w:val="en-US"/>
        </w:rPr>
        <w:t>-1</w:t>
      </w:r>
      <w:r w:rsidR="007F101C" w:rsidRPr="00991889">
        <w:rPr>
          <w:rFonts w:ascii="Times New Roman" w:hAnsi="Times New Roman" w:cs="Times New Roman"/>
          <w:color w:val="000000" w:themeColor="text1"/>
          <w:lang w:val="en-US"/>
        </w:rPr>
        <w:t xml:space="preserve"> water (Evian® water) as in previous studies </w:t>
      </w:r>
      <w:r w:rsidR="007F101C" w:rsidRPr="00991889">
        <w:rPr>
          <w:rFonts w:ascii="Times New Roman" w:hAnsi="Times New Roman" w:cs="Times New Roman"/>
          <w:color w:val="000000" w:themeColor="text1"/>
          <w:lang w:val="en-US"/>
        </w:rPr>
        <w:fldChar w:fldCharType="begin"/>
      </w:r>
      <w:r w:rsidR="007F101C">
        <w:rPr>
          <w:rFonts w:ascii="Times New Roman" w:hAnsi="Times New Roman" w:cs="Times New Roman"/>
          <w:color w:val="000000" w:themeColor="text1"/>
          <w:lang w:val="en-US"/>
        </w:rPr>
        <w:instrText xml:space="preserve"> ADDIN ZOTERO_ITEM CSL_CITATION {"citationID":"cV0IsFVo","properties":{"formattedCitation":"(24,32)","plainCitation":"(24,32)","noteIndex":0},"citationItems":[{"id":1977,"uris":["http://zotero.org/users/local/8ZycsLFb/items/S5MG6HW7"],"itemData":{"id":1977,"type":"article-journal","abstract":"Previous functional Magnetic Resonance Imaging studies evaluated the role of satiety on cortical taste area activity and highlighted decreased activation in the orbito-frontal cortex when food was eaten until satiation. The modulation of orbito-frontal neurons (secondary taste area) by ad libitum food intake has been associated with the pleasantness of the food's flavor. The insula and frontal operculum (primary taste area) are also involved in reward processing. The aim was to compare human gustatory evoked potentials (GEP) recorded in the primary and secondary gustatory cortices in a fasted state with those after food intake. Fifteen healthy volunteers were enrolled in this observational study. In each of two sessions, two GEP recordings were performed (at 11:00 am and 1:30 pm) in response to sucrose gustatory stimulation, and a sucrose-gustatory threshold was determined. During one session, a standard lunch was provided between the two GEP recordings. During the other session, subjects had nothing to eat. Hunger sensation, wanting, liking, and the perception of the solution's intensity were evaluated with visual analog scales. GEP latencies measured in the Pz (p &lt; 0.001), Cz (p &lt; 0.01), Fz (p &lt; 0.001) recordings (primary taste area) were longer after lunch than in the pre-prandial condition. Fp1 and Fp2 latencies (secondary taste area) tended to be longer after lunch, but the difference was not significant. No difference was observed for the sucrose-gustatory threshold regardless of the session and time. Modifications in the primary taste area activity during the post-prandial period occurred regardless of the nature of the food eaten and could represent the activity of the frontal operculum and insula, which was recently shown to be modulated by gut signals (GLP-1, CCK, ghrelin, or insulin) through vagal afferent neurons or metabolic changes of the internal milieu after nutrient absorption. This trial was registered at clinicalstrials.gov as NCT02472444.","container-title":"Frontiers in Neuroscience","DOI":"10.3389/fnins.2015.00490","ISSN":"1662-4548","journalAbbreviation":"Front Neurosci","language":"eng","note":"PMID: 26778949\nPMCID: PMC4700205","page":"490","source":"PubMed","title":"Prandial States Modify the Reactivity of the Gustatory Cortex Using Gustatory Evoked Potentials in Humans","volume":"9","author":[{"family":"Jacquin-Piques","given":"Agnès"},{"family":"Gaudillat","given":"Stéphanie"},{"family":"Mouillot","given":"Thomas"},{"family":"Gigot","given":"Vincent"},{"family":"Meillon","given":"Sophie"},{"family":"Leloup","given":"Corinne"},{"family":"Penicaud","given":"Luc"},{"family":"Brondel","given":"Laurent"}],"issued":{"date-parts":[["2015"]]}}},{"id":603,"uris":["http://zotero.org/users/local/8ZycsLFb/items/BHFFHDBE"],"itemData":{"id":603,"type":"article-journal","abstract":"High time resolution is required to reliably measure neuronal activity in the gustatory cortex in response to taste stimuli. Hedonic aspects of gustatory processing have never been explored using gustatory evoked potentials (GEPs), a high-time-resolution technique. Our aim was to study cerebral processing of hedonic taste in humans using GEPs in response to sucrose solutions in subjects with different ratings of pleasantness regarding sucrose. In this exploratory study, 30 healthy volunteers were randomly stimulated with 3 sucrose solutions. The sucrose stimulus was presented to the tongue for 1s 20 times. GEPs were recorded from 9 cortical sites with EEG sensors at Cz, Fz, Pz, C3, C4, F3, F4, Fp1, and Fp2 (10/20 system). The main result was that subjects who preferred the high-concentration (20g/100mL) sucrose solution had higher GEP amplitudes on the Pz, Cz, and Fz electrodes than did subjects who preferred the low-concentration (5g/100mL) or the moderate-concentration (10g/100mL) solutions regardless of stimulus intensity. The difference in P1N1 amplitude on the Pz, Cz, and Fz electrodes according to sucrose preference of the subjects was described with stronger significance with stimulation by the 20 g-sucrose solution than by the 5 and 10g sucrose solutions. Using the reliable and safe GEP technique, we provide an original demonstration of variability of the gustatory response on the Pz, Cz, and Fz electrodes according to a sweet preference in humans. Further studies are needed to correlate the electric signal recorded by surface electrodes to the neural generator.","container-title":"Chemical Senses","DOI":"10.1093/chemse/bjw063","ISSN":"1464-3553","issue":"7","journalAbbreviation":"Chem. Senses","language":"eng","note":"PMID: 27235187","page":"591-599","source":"PubMed","title":"Preference for Sucrose Solutions Modulates Taste Cortical Activity in Humans","volume":"41","author":[{"family":"Jacquin-Piques","given":"Agnès"},{"family":"Mouillot","given":"Thomas"},{"family":"Gigot","given":"Vincent"},{"family":"Meillon","given":"Sophie"},{"family":"Leloup","given":"Corinne"},{"family":"Penicaud","given":"Luc"},{"family":"Brondel","given":"Laurent"}],"issued":{"date-parts":[["2016",9]]}}}],"schema":"https://github.com/citation-style-language/schema/raw/master/csl-citation.json"} </w:instrText>
      </w:r>
      <w:r w:rsidR="007F101C" w:rsidRPr="00991889">
        <w:rPr>
          <w:rFonts w:ascii="Times New Roman" w:hAnsi="Times New Roman" w:cs="Times New Roman"/>
          <w:color w:val="000000" w:themeColor="text1"/>
          <w:lang w:val="en-US"/>
        </w:rPr>
        <w:fldChar w:fldCharType="separate"/>
      </w:r>
      <w:r w:rsidR="007F101C">
        <w:rPr>
          <w:rFonts w:ascii="Times New Roman" w:hAnsi="Times New Roman" w:cs="Times New Roman"/>
          <w:noProof/>
          <w:color w:val="000000" w:themeColor="text1"/>
          <w:lang w:val="en-US"/>
        </w:rPr>
        <w:t>(24,32)</w:t>
      </w:r>
      <w:r w:rsidR="007F101C" w:rsidRPr="00991889">
        <w:rPr>
          <w:rFonts w:ascii="Times New Roman" w:hAnsi="Times New Roman" w:cs="Times New Roman"/>
          <w:color w:val="000000" w:themeColor="text1"/>
          <w:lang w:val="en-US"/>
        </w:rPr>
        <w:fldChar w:fldCharType="end"/>
      </w:r>
      <w:r w:rsidR="007F101C" w:rsidRPr="00991889">
        <w:rPr>
          <w:rFonts w:ascii="Times New Roman" w:hAnsi="Times New Roman" w:cs="Times New Roman"/>
          <w:color w:val="000000" w:themeColor="text1"/>
          <w:lang w:val="en-US"/>
        </w:rPr>
        <w:t xml:space="preserve">. During each session, the sucrose solution was delivered 20 times on the tongue for one second. The inter tasting stimulus interval was 1 minute to avoid adaptation and to stimulate the taste receptors during the refractory period. During the GEP recordings, subjects listened to soft music to mask the rattling noise of the solenoid valves (preliminary results did not detect any evoked potentials in response to the noise from these ones). Subjects also had to keep their eyes closed to avoid light stimulation and eye opening/closing artifacts. Subjects also had a nose clip during taste stimulation to avoid that retro-nasal olfaction skews taste results. GEPs were recorded using external scalp electrodes, according to the international 10/20 nomenclature of the EEG. Three electrodes were placed on </w:t>
      </w:r>
      <w:proofErr w:type="spellStart"/>
      <w:r w:rsidR="007F101C" w:rsidRPr="00991889">
        <w:rPr>
          <w:rFonts w:ascii="Times New Roman" w:hAnsi="Times New Roman" w:cs="Times New Roman"/>
          <w:color w:val="000000" w:themeColor="text1"/>
          <w:lang w:val="en-US"/>
        </w:rPr>
        <w:t>Pz</w:t>
      </w:r>
      <w:proofErr w:type="spellEnd"/>
      <w:r w:rsidR="007F101C" w:rsidRPr="00991889">
        <w:rPr>
          <w:rFonts w:ascii="Times New Roman" w:hAnsi="Times New Roman" w:cs="Times New Roman"/>
          <w:color w:val="000000" w:themeColor="text1"/>
          <w:lang w:val="en-US"/>
        </w:rPr>
        <w:t xml:space="preserve">, </w:t>
      </w:r>
      <w:proofErr w:type="spellStart"/>
      <w:r w:rsidR="007F101C" w:rsidRPr="00991889">
        <w:rPr>
          <w:rFonts w:ascii="Times New Roman" w:hAnsi="Times New Roman" w:cs="Times New Roman"/>
          <w:color w:val="000000" w:themeColor="text1"/>
          <w:lang w:val="en-US"/>
        </w:rPr>
        <w:t>Cz</w:t>
      </w:r>
      <w:proofErr w:type="spellEnd"/>
      <w:r w:rsidR="007F101C" w:rsidRPr="00991889">
        <w:rPr>
          <w:rFonts w:ascii="Times New Roman" w:hAnsi="Times New Roman" w:cs="Times New Roman"/>
          <w:color w:val="000000" w:themeColor="text1"/>
          <w:lang w:val="en-US"/>
        </w:rPr>
        <w:t xml:space="preserve">, and </w:t>
      </w:r>
      <w:proofErr w:type="spellStart"/>
      <w:r w:rsidR="007F101C" w:rsidRPr="00991889">
        <w:rPr>
          <w:rFonts w:ascii="Times New Roman" w:hAnsi="Times New Roman" w:cs="Times New Roman"/>
          <w:color w:val="000000" w:themeColor="text1"/>
          <w:lang w:val="en-US"/>
        </w:rPr>
        <w:t>Fz</w:t>
      </w:r>
      <w:proofErr w:type="spellEnd"/>
      <w:r w:rsidR="007F101C" w:rsidRPr="00991889">
        <w:rPr>
          <w:rFonts w:ascii="Times New Roman" w:hAnsi="Times New Roman" w:cs="Times New Roman"/>
          <w:color w:val="000000" w:themeColor="text1"/>
          <w:lang w:val="en-US"/>
        </w:rPr>
        <w:t xml:space="preserve">. The electrodes were referenced against linked earlobes (ear clip electrodes enfolded by Ag, 10 mm diameter - </w:t>
      </w:r>
      <w:proofErr w:type="spellStart"/>
      <w:r w:rsidR="007F101C" w:rsidRPr="00991889">
        <w:rPr>
          <w:rFonts w:ascii="Times New Roman" w:hAnsi="Times New Roman" w:cs="Times New Roman"/>
          <w:color w:val="000000" w:themeColor="text1"/>
          <w:lang w:val="en-US"/>
        </w:rPr>
        <w:t>SystemPLUS</w:t>
      </w:r>
      <w:proofErr w:type="spellEnd"/>
      <w:r w:rsidR="007F101C" w:rsidRPr="00991889">
        <w:rPr>
          <w:rFonts w:ascii="Times New Roman" w:hAnsi="Times New Roman" w:cs="Times New Roman"/>
          <w:color w:val="000000" w:themeColor="text1"/>
          <w:lang w:val="en-US"/>
        </w:rPr>
        <w:t xml:space="preserve"> EVOLUTION), and the ground electrode was placed on the forehead. Disposable cup electrodes enfolded by Ag-AgCl (6 mm diameter), with a long polyurethane cable (</w:t>
      </w:r>
      <w:proofErr w:type="spellStart"/>
      <w:r w:rsidR="007F101C" w:rsidRPr="00991889">
        <w:rPr>
          <w:rFonts w:ascii="Times New Roman" w:hAnsi="Times New Roman" w:cs="Times New Roman"/>
          <w:color w:val="000000" w:themeColor="text1"/>
          <w:lang w:val="en-US"/>
        </w:rPr>
        <w:t>SystemPLUS</w:t>
      </w:r>
      <w:proofErr w:type="spellEnd"/>
      <w:r w:rsidR="007F101C" w:rsidRPr="00991889">
        <w:rPr>
          <w:rFonts w:ascii="Times New Roman" w:hAnsi="Times New Roman" w:cs="Times New Roman"/>
          <w:color w:val="000000" w:themeColor="text1"/>
          <w:lang w:val="en-US"/>
        </w:rPr>
        <w:t xml:space="preserve"> EVOLUTION) were used. The EEG recordings were amplified, filtered and digitized with </w:t>
      </w:r>
      <w:proofErr w:type="spellStart"/>
      <w:r w:rsidR="007F101C" w:rsidRPr="00991889">
        <w:rPr>
          <w:rFonts w:ascii="Times New Roman" w:hAnsi="Times New Roman" w:cs="Times New Roman"/>
          <w:color w:val="000000" w:themeColor="text1"/>
          <w:lang w:val="en-US"/>
        </w:rPr>
        <w:t>Micromed</w:t>
      </w:r>
      <w:proofErr w:type="spellEnd"/>
      <w:r w:rsidR="007F101C" w:rsidRPr="00991889">
        <w:rPr>
          <w:rFonts w:ascii="Times New Roman" w:hAnsi="Times New Roman" w:cs="Times New Roman"/>
          <w:color w:val="000000" w:themeColor="text1"/>
          <w:lang w:val="en-US"/>
        </w:rPr>
        <w:t xml:space="preserve"> software (</w:t>
      </w:r>
      <w:proofErr w:type="spellStart"/>
      <w:r w:rsidR="007F101C" w:rsidRPr="00991889">
        <w:rPr>
          <w:rFonts w:ascii="Times New Roman" w:hAnsi="Times New Roman" w:cs="Times New Roman"/>
          <w:color w:val="000000" w:themeColor="text1"/>
          <w:lang w:val="en-US"/>
        </w:rPr>
        <w:t>SystmPLUS</w:t>
      </w:r>
      <w:proofErr w:type="spellEnd"/>
      <w:r w:rsidR="007F101C" w:rsidRPr="00991889">
        <w:rPr>
          <w:rFonts w:ascii="Times New Roman" w:hAnsi="Times New Roman" w:cs="Times New Roman"/>
          <w:color w:val="000000" w:themeColor="text1"/>
          <w:lang w:val="en-US"/>
        </w:rPr>
        <w:t xml:space="preserve"> EVOLUTION, 2007, </w:t>
      </w:r>
      <w:proofErr w:type="spellStart"/>
      <w:r w:rsidR="007F101C" w:rsidRPr="00991889">
        <w:rPr>
          <w:rFonts w:ascii="Times New Roman" w:hAnsi="Times New Roman" w:cs="Times New Roman"/>
          <w:color w:val="000000" w:themeColor="text1"/>
          <w:lang w:val="en-US"/>
        </w:rPr>
        <w:t>Micromed</w:t>
      </w:r>
      <w:proofErr w:type="spellEnd"/>
      <w:r w:rsidR="007F101C" w:rsidRPr="00991889">
        <w:rPr>
          <w:rFonts w:ascii="Times New Roman" w:hAnsi="Times New Roman" w:cs="Times New Roman"/>
          <w:color w:val="000000" w:themeColor="text1"/>
          <w:lang w:val="en-US"/>
        </w:rPr>
        <w:t xml:space="preserve"> S.p.A, Italy) with the following data: time constant 1 second, sampling frequency 2048 Hz, 50 Hz filter (main voltage), 200 Hz low-pass filter and 0.4 Hz high-pass filter during the GEPs recording sessions. The GEP results obtained after each of the 20 stimulations were averaged for the same subject and stimulus to improve the signal-to-noise ratio. The GEP records were analyzed with the abovementioned software. The software averaged the responses and then detected the different peaks. All GEP recordings were reviewed and re-analyzed by the same well-trained neurophysiologist who was blinded to the type of stimulation, in order to adjust the different response sliders, if necessary. The GEPs were defined according to three peaks: the first positive peak (P1), the second negative peak (N1), and the third positive peak (P2). For each GEP average (that is to say, for the same </w:t>
      </w:r>
      <w:r w:rsidR="007F101C" w:rsidRPr="00991889">
        <w:rPr>
          <w:rFonts w:ascii="Times New Roman" w:hAnsi="Times New Roman" w:cs="Times New Roman"/>
          <w:color w:val="000000" w:themeColor="text1"/>
          <w:lang w:val="en-US"/>
        </w:rPr>
        <w:lastRenderedPageBreak/>
        <w:t xml:space="preserve">subject and stimulus at the same time), the initial P1 latency, peak N1 latency and P1N1 amplitude were collected. The P1 latency corresponded to the time between the initial stimulation and the P1 peak. The N1 latency was the time between the initial stimulation and the N1 peak. The P1N1 amplitude was calculated as an absolute value from P1 peak to N1 peak. Then, two analyses were performed: on the one hand, a statistical average of the results in each condition was done; on the other hand, a GEP curve called “grand average” was done by pooling GEP curves of all similar subjects recording in a similar condition. The presence of two separate analyses to obtain the results explains why </w:t>
      </w:r>
      <w:r w:rsidR="007F101C" w:rsidRPr="00991889">
        <w:rPr>
          <w:color w:val="000000" w:themeColor="text1"/>
          <w:lang w:val="en-US"/>
        </w:rPr>
        <w:t xml:space="preserve">the </w:t>
      </w:r>
      <w:r w:rsidR="007F101C" w:rsidRPr="00991889">
        <w:rPr>
          <w:rFonts w:ascii="Times New Roman" w:hAnsi="Times New Roman" w:cs="Times New Roman"/>
          <w:color w:val="000000" w:themeColor="text1"/>
          <w:lang w:val="en-US"/>
        </w:rPr>
        <w:t>statistical average of N1 peaks did not correspond exactly to the arrows in the grand average figures.</w:t>
      </w:r>
    </w:p>
    <w:p w14:paraId="2C04D6CA" w14:textId="77777777" w:rsidR="00026D64" w:rsidRDefault="00026D64" w:rsidP="00431B9D">
      <w:pPr>
        <w:spacing w:line="480" w:lineRule="auto"/>
        <w:rPr>
          <w:rFonts w:ascii="Times New Roman" w:hAnsi="Times New Roman" w:cs="Times New Roman"/>
          <w:bCs/>
          <w:lang w:val="en-US"/>
        </w:rPr>
      </w:pPr>
    </w:p>
    <w:p w14:paraId="3D3758A8" w14:textId="17156D0A" w:rsidR="00431B9D" w:rsidRDefault="00431B9D" w:rsidP="00431B9D">
      <w:pPr>
        <w:spacing w:line="480" w:lineRule="auto"/>
        <w:rPr>
          <w:rFonts w:ascii="Times New Roman" w:hAnsi="Times New Roman" w:cs="Times New Roman"/>
          <w:bCs/>
          <w:lang w:val="en-US"/>
        </w:rPr>
      </w:pPr>
      <w:r>
        <w:rPr>
          <w:rFonts w:ascii="Times New Roman" w:hAnsi="Times New Roman" w:cs="Times New Roman"/>
          <w:bCs/>
          <w:lang w:val="en-US"/>
        </w:rPr>
        <w:t>S</w:t>
      </w:r>
      <w:r w:rsidR="006536D8">
        <w:rPr>
          <w:rFonts w:ascii="Times New Roman" w:hAnsi="Times New Roman" w:cs="Times New Roman"/>
          <w:bCs/>
          <w:lang w:val="en-US"/>
        </w:rPr>
        <w:t xml:space="preserve">UPPLEMENTARY TABLE: </w:t>
      </w:r>
    </w:p>
    <w:p w14:paraId="53A8E114" w14:textId="77BE44F0" w:rsidR="00431B9D" w:rsidRPr="00991889" w:rsidRDefault="00431B9D" w:rsidP="00431B9D">
      <w:pPr>
        <w:spacing w:line="480" w:lineRule="auto"/>
        <w:jc w:val="both"/>
        <w:rPr>
          <w:rFonts w:ascii="Times New Roman" w:hAnsi="Times New Roman" w:cs="Times New Roman"/>
          <w:color w:val="000000" w:themeColor="text1"/>
          <w:lang w:val="en-US"/>
        </w:rPr>
      </w:pPr>
      <w:r w:rsidRPr="00991889">
        <w:rPr>
          <w:rFonts w:ascii="Times New Roman" w:hAnsi="Times New Roman" w:cs="Times New Roman"/>
          <w:b/>
          <w:color w:val="000000" w:themeColor="text1"/>
          <w:lang w:val="en-US"/>
        </w:rPr>
        <w:t xml:space="preserve">Table </w:t>
      </w:r>
      <w:r>
        <w:rPr>
          <w:rFonts w:ascii="Times New Roman" w:hAnsi="Times New Roman" w:cs="Times New Roman"/>
          <w:b/>
          <w:color w:val="000000" w:themeColor="text1"/>
          <w:lang w:val="en-US"/>
        </w:rPr>
        <w:t>S1</w:t>
      </w:r>
      <w:r w:rsidRPr="00991889">
        <w:rPr>
          <w:rFonts w:ascii="Times New Roman" w:hAnsi="Times New Roman" w:cs="Times New Roman"/>
          <w:b/>
          <w:color w:val="000000" w:themeColor="text1"/>
          <w:lang w:val="en-US"/>
        </w:rPr>
        <w:t>:</w:t>
      </w:r>
      <w:r w:rsidRPr="00991889">
        <w:rPr>
          <w:rFonts w:ascii="Times New Roman" w:hAnsi="Times New Roman" w:cs="Times New Roman"/>
          <w:color w:val="000000" w:themeColor="text1"/>
          <w:lang w:val="en-US"/>
        </w:rPr>
        <w:t xml:space="preserve"> Comparison of plasma levels of hormones involved in food eating behavior (acylated ghrelin, insulin, leptin and serotonin) between obese and normal-weight subjects, before and after a session without (fasting session) or with ingestion of a standardized meal (feeding session). </w:t>
      </w:r>
    </w:p>
    <w:p w14:paraId="6DBA9C79" w14:textId="3317ED5E" w:rsidR="00431B9D" w:rsidRPr="0019165A" w:rsidRDefault="00431B9D" w:rsidP="0019165A">
      <w:pPr>
        <w:spacing w:line="480" w:lineRule="auto"/>
        <w:jc w:val="both"/>
        <w:rPr>
          <w:rFonts w:ascii="Times New Roman" w:hAnsi="Times New Roman" w:cs="Times New Roman"/>
          <w:color w:val="000000" w:themeColor="text1"/>
          <w:lang w:val="en-US"/>
        </w:rPr>
      </w:pPr>
      <w:r w:rsidRPr="00991889">
        <w:rPr>
          <w:rFonts w:ascii="Times New Roman" w:hAnsi="Times New Roman" w:cs="Times New Roman"/>
          <w:color w:val="000000" w:themeColor="text1"/>
          <w:lang w:val="en-US"/>
        </w:rPr>
        <w:t>Mean ± standard deviations of plasma levels of hormones. F-value with degree of freedom and p-values for the global model (multiple-way ANOVA); ns: statistically not-significantly different.</w:t>
      </w:r>
    </w:p>
    <w:p w14:paraId="6D0CFB8A" w14:textId="77777777" w:rsidR="00431B9D" w:rsidRDefault="00431B9D" w:rsidP="00DC5A15">
      <w:pPr>
        <w:spacing w:line="480" w:lineRule="auto"/>
        <w:rPr>
          <w:rFonts w:ascii="Times New Roman" w:hAnsi="Times New Roman" w:cs="Times New Roman"/>
          <w:bCs/>
          <w:lang w:val="en-US"/>
        </w:rPr>
      </w:pPr>
    </w:p>
    <w:p w14:paraId="5B01C96D" w14:textId="261A1362" w:rsidR="00DC5A15" w:rsidRDefault="006536D8" w:rsidP="00DC5A15">
      <w:pPr>
        <w:spacing w:line="480" w:lineRule="auto"/>
        <w:rPr>
          <w:rFonts w:ascii="Times New Roman" w:hAnsi="Times New Roman" w:cs="Times New Roman"/>
          <w:bCs/>
          <w:lang w:val="en-US"/>
        </w:rPr>
      </w:pPr>
      <w:r>
        <w:rPr>
          <w:rFonts w:ascii="Times New Roman" w:hAnsi="Times New Roman" w:cs="Times New Roman"/>
          <w:bCs/>
          <w:lang w:val="en-US"/>
        </w:rPr>
        <w:t xml:space="preserve">SUPPLEMENTARY FIGURES: </w:t>
      </w:r>
    </w:p>
    <w:p w14:paraId="240B3FDC" w14:textId="1CCF1160" w:rsidR="00431B9D" w:rsidRPr="00991889" w:rsidRDefault="00475111" w:rsidP="00431B9D">
      <w:pPr>
        <w:spacing w:line="480" w:lineRule="auto"/>
        <w:jc w:val="both"/>
        <w:rPr>
          <w:rFonts w:ascii="Times New Roman" w:hAnsi="Times New Roman" w:cs="Times New Roman"/>
          <w:bCs/>
          <w:color w:val="000000" w:themeColor="text1"/>
          <w:lang w:val="en-US"/>
        </w:rPr>
      </w:pPr>
      <w:r w:rsidRPr="00475111">
        <w:rPr>
          <w:rFonts w:ascii="Times New Roman" w:hAnsi="Times New Roman" w:cs="Times New Roman"/>
          <w:bCs/>
          <w:lang w:val="en-US"/>
        </w:rPr>
        <w:t xml:space="preserve"> </w:t>
      </w:r>
      <w:r w:rsidR="00431B9D" w:rsidRPr="00991889">
        <w:rPr>
          <w:rFonts w:ascii="Times New Roman" w:hAnsi="Times New Roman" w:cs="Times New Roman"/>
          <w:b/>
          <w:color w:val="000000" w:themeColor="text1"/>
          <w:lang w:val="en-US"/>
        </w:rPr>
        <w:t xml:space="preserve">Figure </w:t>
      </w:r>
      <w:r w:rsidR="00431B9D">
        <w:rPr>
          <w:rFonts w:ascii="Times New Roman" w:hAnsi="Times New Roman" w:cs="Times New Roman"/>
          <w:b/>
          <w:color w:val="000000" w:themeColor="text1"/>
          <w:lang w:val="en-US"/>
        </w:rPr>
        <w:t>S</w:t>
      </w:r>
      <w:r w:rsidR="00431B9D" w:rsidRPr="00991889">
        <w:rPr>
          <w:rFonts w:ascii="Times New Roman" w:hAnsi="Times New Roman" w:cs="Times New Roman"/>
          <w:b/>
          <w:color w:val="000000" w:themeColor="text1"/>
          <w:lang w:val="en-US"/>
        </w:rPr>
        <w:t>1</w:t>
      </w:r>
      <w:r w:rsidR="00431B9D" w:rsidRPr="00991889">
        <w:rPr>
          <w:rFonts w:ascii="Times New Roman" w:hAnsi="Times New Roman" w:cs="Times New Roman"/>
          <w:bCs/>
          <w:color w:val="000000" w:themeColor="text1"/>
          <w:lang w:val="en-US"/>
        </w:rPr>
        <w:t xml:space="preserve">: Design of the study, describing the course of the fasting session and the feeding session. Indirect calorimetry and bio-electric </w:t>
      </w:r>
      <w:proofErr w:type="spellStart"/>
      <w:r w:rsidR="00431B9D" w:rsidRPr="00991889">
        <w:rPr>
          <w:rFonts w:ascii="Times New Roman" w:hAnsi="Times New Roman" w:cs="Times New Roman"/>
          <w:bCs/>
          <w:color w:val="000000" w:themeColor="text1"/>
          <w:lang w:val="en-US"/>
        </w:rPr>
        <w:t>impedancemetry</w:t>
      </w:r>
      <w:proofErr w:type="spellEnd"/>
      <w:r w:rsidR="00431B9D" w:rsidRPr="00991889">
        <w:rPr>
          <w:rFonts w:ascii="Times New Roman" w:hAnsi="Times New Roman" w:cs="Times New Roman"/>
          <w:bCs/>
          <w:color w:val="000000" w:themeColor="text1"/>
          <w:lang w:val="en-US"/>
        </w:rPr>
        <w:t xml:space="preserve"> were performed only one time, either at the feeding session, or at the fasting session, in a random order; GEP: gustatory Evoked Potentials</w:t>
      </w:r>
    </w:p>
    <w:p w14:paraId="79A14D64" w14:textId="5E9DAEC4" w:rsidR="00475111" w:rsidRDefault="00475111" w:rsidP="00475111">
      <w:pPr>
        <w:spacing w:line="480" w:lineRule="auto"/>
        <w:rPr>
          <w:rFonts w:ascii="Times New Roman" w:hAnsi="Times New Roman" w:cs="Times New Roman"/>
          <w:bCs/>
          <w:lang w:val="en-US"/>
        </w:rPr>
      </w:pPr>
    </w:p>
    <w:p w14:paraId="4A0F632A" w14:textId="7039DE2F" w:rsidR="0019165A" w:rsidRPr="00991889" w:rsidRDefault="0019165A" w:rsidP="0019165A">
      <w:pPr>
        <w:spacing w:line="480" w:lineRule="auto"/>
        <w:jc w:val="both"/>
        <w:rPr>
          <w:rFonts w:ascii="Times New Roman" w:hAnsi="Times New Roman" w:cs="Times New Roman"/>
          <w:color w:val="000000" w:themeColor="text1"/>
          <w:lang w:val="en-US"/>
        </w:rPr>
      </w:pPr>
      <w:r w:rsidRPr="00991889">
        <w:rPr>
          <w:rFonts w:ascii="Times New Roman" w:hAnsi="Times New Roman" w:cs="Times New Roman"/>
          <w:b/>
          <w:color w:val="000000" w:themeColor="text1"/>
          <w:lang w:val="en-US"/>
        </w:rPr>
        <w:lastRenderedPageBreak/>
        <w:t xml:space="preserve">Figure </w:t>
      </w:r>
      <w:r w:rsidR="00833586">
        <w:rPr>
          <w:rFonts w:ascii="Times New Roman" w:hAnsi="Times New Roman" w:cs="Times New Roman"/>
          <w:b/>
          <w:color w:val="000000" w:themeColor="text1"/>
          <w:lang w:val="en-US"/>
        </w:rPr>
        <w:t>S</w:t>
      </w:r>
      <w:r w:rsidR="00F201E9">
        <w:rPr>
          <w:rFonts w:ascii="Times New Roman" w:hAnsi="Times New Roman" w:cs="Times New Roman"/>
          <w:b/>
          <w:color w:val="000000" w:themeColor="text1"/>
          <w:lang w:val="en-US"/>
        </w:rPr>
        <w:t>2</w:t>
      </w:r>
      <w:r w:rsidRPr="00991889">
        <w:rPr>
          <w:rFonts w:ascii="Times New Roman" w:hAnsi="Times New Roman" w:cs="Times New Roman"/>
          <w:b/>
          <w:color w:val="000000" w:themeColor="text1"/>
          <w:lang w:val="en-US"/>
        </w:rPr>
        <w:t>:</w:t>
      </w:r>
      <w:r w:rsidRPr="00991889">
        <w:rPr>
          <w:rFonts w:ascii="Times New Roman" w:hAnsi="Times New Roman" w:cs="Times New Roman"/>
          <w:color w:val="000000" w:themeColor="text1"/>
          <w:lang w:val="en-US"/>
        </w:rPr>
        <w:t xml:space="preserve"> Recordings of gustatory evoked potentials (GEPs) on the </w:t>
      </w:r>
      <w:proofErr w:type="spellStart"/>
      <w:r w:rsidRPr="00991889">
        <w:rPr>
          <w:rFonts w:ascii="Times New Roman" w:hAnsi="Times New Roman" w:cs="Times New Roman"/>
          <w:color w:val="000000" w:themeColor="text1"/>
          <w:lang w:val="en-US"/>
        </w:rPr>
        <w:t>Fz</w:t>
      </w:r>
      <w:proofErr w:type="spellEnd"/>
      <w:r w:rsidRPr="00991889">
        <w:rPr>
          <w:rFonts w:ascii="Times New Roman" w:hAnsi="Times New Roman" w:cs="Times New Roman"/>
          <w:color w:val="000000" w:themeColor="text1"/>
          <w:lang w:val="en-US"/>
        </w:rPr>
        <w:t xml:space="preserve"> electrode in the morning and afternoon, during a feeding session (A) and a fasting session (B) in patients living with obesity (OB) and normal-weight (NW) subjects.</w:t>
      </w:r>
    </w:p>
    <w:p w14:paraId="4B5C21B7" w14:textId="77777777" w:rsidR="0019165A" w:rsidRPr="00991889" w:rsidRDefault="0019165A" w:rsidP="0019165A">
      <w:pPr>
        <w:spacing w:line="480" w:lineRule="auto"/>
        <w:jc w:val="both"/>
        <w:rPr>
          <w:rFonts w:ascii="Times New Roman" w:hAnsi="Times New Roman" w:cs="Times New Roman"/>
          <w:color w:val="000000" w:themeColor="text1"/>
          <w:lang w:val="en-US"/>
        </w:rPr>
        <w:sectPr w:rsidR="0019165A" w:rsidRPr="00991889" w:rsidSect="003D7EEA">
          <w:headerReference w:type="default" r:id="rId7"/>
          <w:type w:val="continuous"/>
          <w:pgSz w:w="11900" w:h="16840"/>
          <w:pgMar w:top="1418" w:right="1418" w:bottom="1418" w:left="1418" w:header="709" w:footer="709" w:gutter="0"/>
          <w:lnNumType w:countBy="1" w:restart="continuous"/>
          <w:cols w:space="708"/>
          <w:docGrid w:linePitch="360"/>
        </w:sectPr>
      </w:pPr>
      <w:r w:rsidRPr="00991889">
        <w:rPr>
          <w:rFonts w:ascii="Times New Roman" w:hAnsi="Times New Roman" w:cs="Times New Roman"/>
          <w:color w:val="000000" w:themeColor="text1"/>
          <w:lang w:val="en-US"/>
        </w:rPr>
        <w:t>The curves show the average of the 28 OB and the 22 NW subjects after stimulation with a sucrose solution (for each subject, the curve represents an average of 20 taste stimuli recorded over 20 minutes). Statistical analyses were performed using ANOVAs with several factors (session effect, obesity effect, hourly effect). A p-value of less than 0.01 was considered statistically significant (Bonferroni correction). Results are expressed as mean ± SD. Significant differences obtained with the obesity effect are indicated by * with p &lt;0.001, and differences with the time effect are indicated by # with p &lt;0.001.</w:t>
      </w:r>
    </w:p>
    <w:p w14:paraId="2886530E" w14:textId="77777777" w:rsidR="0019165A" w:rsidRPr="00991889" w:rsidRDefault="0019165A" w:rsidP="0019165A">
      <w:pPr>
        <w:spacing w:line="480" w:lineRule="auto"/>
        <w:jc w:val="both"/>
        <w:rPr>
          <w:rFonts w:ascii="Times New Roman" w:hAnsi="Times New Roman" w:cs="Times New Roman"/>
          <w:color w:val="000000" w:themeColor="text1"/>
          <w:lang w:val="en-US"/>
        </w:rPr>
      </w:pPr>
    </w:p>
    <w:p w14:paraId="442D174D" w14:textId="76024E55" w:rsidR="0019165A" w:rsidRPr="00991889" w:rsidRDefault="0019165A" w:rsidP="0019165A">
      <w:pPr>
        <w:spacing w:line="480" w:lineRule="auto"/>
        <w:jc w:val="both"/>
        <w:rPr>
          <w:rFonts w:ascii="Times New Roman" w:hAnsi="Times New Roman" w:cs="Times New Roman"/>
          <w:color w:val="000000" w:themeColor="text1"/>
          <w:lang w:val="en-US"/>
        </w:rPr>
      </w:pPr>
      <w:r w:rsidRPr="00991889">
        <w:rPr>
          <w:rFonts w:ascii="Times New Roman" w:hAnsi="Times New Roman" w:cs="Times New Roman"/>
          <w:b/>
          <w:color w:val="000000" w:themeColor="text1"/>
          <w:lang w:val="en-US"/>
        </w:rPr>
        <w:t xml:space="preserve">Figure </w:t>
      </w:r>
      <w:r w:rsidR="00833586">
        <w:rPr>
          <w:rFonts w:ascii="Times New Roman" w:hAnsi="Times New Roman" w:cs="Times New Roman"/>
          <w:b/>
          <w:color w:val="000000" w:themeColor="text1"/>
          <w:lang w:val="en-US"/>
        </w:rPr>
        <w:t>S</w:t>
      </w:r>
      <w:r w:rsidR="00F201E9">
        <w:rPr>
          <w:rFonts w:ascii="Times New Roman" w:hAnsi="Times New Roman" w:cs="Times New Roman"/>
          <w:b/>
          <w:color w:val="000000" w:themeColor="text1"/>
          <w:lang w:val="en-US"/>
        </w:rPr>
        <w:t>3</w:t>
      </w:r>
      <w:r w:rsidRPr="00991889">
        <w:rPr>
          <w:rFonts w:ascii="Times New Roman" w:hAnsi="Times New Roman" w:cs="Times New Roman"/>
          <w:b/>
          <w:color w:val="000000" w:themeColor="text1"/>
          <w:lang w:val="en-US"/>
        </w:rPr>
        <w:t>:</w:t>
      </w:r>
      <w:r w:rsidRPr="00991889">
        <w:rPr>
          <w:rFonts w:ascii="Times New Roman" w:hAnsi="Times New Roman" w:cs="Times New Roman"/>
          <w:color w:val="000000" w:themeColor="text1"/>
          <w:lang w:val="en-US"/>
        </w:rPr>
        <w:t xml:space="preserve"> Recordings of gustatory evoked potentials (GEPs) on the </w:t>
      </w:r>
      <w:proofErr w:type="spellStart"/>
      <w:r w:rsidRPr="00991889">
        <w:rPr>
          <w:rFonts w:ascii="Times New Roman" w:hAnsi="Times New Roman" w:cs="Times New Roman"/>
          <w:color w:val="000000" w:themeColor="text1"/>
          <w:lang w:val="en-US"/>
        </w:rPr>
        <w:t>Pz</w:t>
      </w:r>
      <w:proofErr w:type="spellEnd"/>
      <w:r w:rsidRPr="00991889">
        <w:rPr>
          <w:rFonts w:ascii="Times New Roman" w:hAnsi="Times New Roman" w:cs="Times New Roman"/>
          <w:color w:val="000000" w:themeColor="text1"/>
          <w:lang w:val="en-US"/>
        </w:rPr>
        <w:t xml:space="preserve"> electrode in the morning and afternoon, during a feeding session (A) and a fasting session (B) in patients living with obesity (OB) and normal-weight (NW) subjects.</w:t>
      </w:r>
    </w:p>
    <w:p w14:paraId="5E92419B" w14:textId="3AD251E8" w:rsidR="00DC5A15" w:rsidRPr="0019165A" w:rsidRDefault="0019165A" w:rsidP="0019165A">
      <w:pPr>
        <w:spacing w:line="480" w:lineRule="auto"/>
        <w:jc w:val="both"/>
        <w:rPr>
          <w:rFonts w:ascii="Times New Roman" w:hAnsi="Times New Roman" w:cs="Times New Roman"/>
          <w:color w:val="000000" w:themeColor="text1"/>
          <w:lang w:val="en-US"/>
        </w:rPr>
      </w:pPr>
      <w:r w:rsidRPr="00991889">
        <w:rPr>
          <w:rFonts w:ascii="Times New Roman" w:hAnsi="Times New Roman" w:cs="Times New Roman"/>
          <w:color w:val="000000" w:themeColor="text1"/>
          <w:lang w:val="en-US"/>
        </w:rPr>
        <w:t>The curves show the average of the 28 OB and the 22 NW after stimulation with a sucrose solution (for each subject, the curve represents an average of 20 taste stimuli recorded over 20 minutes). Statistical analyses were performed using ANOVAs with several factors (session effect, obesity effect, hourly effect). A p-value of less than 0.01 was considered statistically significant (Bonferroni correction). Results are expressed as mean ± SD. Significant differences obtained with the obesity effect are indicated by * with p &lt;0.001, and differences with the time effect are indicated by # with p &lt;0.001.</w:t>
      </w:r>
    </w:p>
    <w:p w14:paraId="58082745" w14:textId="77777777" w:rsidR="0019165A" w:rsidRPr="00991889" w:rsidRDefault="0019165A" w:rsidP="0019165A">
      <w:pPr>
        <w:spacing w:line="480" w:lineRule="auto"/>
        <w:jc w:val="both"/>
        <w:rPr>
          <w:rFonts w:ascii="Times New Roman" w:hAnsi="Times New Roman" w:cs="Times New Roman"/>
          <w:color w:val="000000" w:themeColor="text1"/>
          <w:lang w:val="en-US"/>
        </w:rPr>
      </w:pPr>
    </w:p>
    <w:p w14:paraId="4BD774C8" w14:textId="0A8395D4" w:rsidR="0019165A" w:rsidRPr="00991889" w:rsidRDefault="0019165A" w:rsidP="0019165A">
      <w:pPr>
        <w:spacing w:line="480" w:lineRule="auto"/>
        <w:jc w:val="both"/>
        <w:rPr>
          <w:rFonts w:ascii="Times New Roman" w:hAnsi="Times New Roman" w:cs="Times New Roman"/>
          <w:color w:val="000000" w:themeColor="text1"/>
          <w:lang w:val="en-US"/>
        </w:rPr>
      </w:pPr>
      <w:r w:rsidRPr="00991889">
        <w:rPr>
          <w:rFonts w:ascii="Times New Roman" w:hAnsi="Times New Roman" w:cs="Times New Roman"/>
          <w:b/>
          <w:color w:val="000000" w:themeColor="text1"/>
          <w:lang w:val="en-US"/>
        </w:rPr>
        <w:t xml:space="preserve">Figure </w:t>
      </w:r>
      <w:r w:rsidR="00833586">
        <w:rPr>
          <w:rFonts w:ascii="Times New Roman" w:hAnsi="Times New Roman" w:cs="Times New Roman"/>
          <w:b/>
          <w:color w:val="000000" w:themeColor="text1"/>
          <w:lang w:val="en-US"/>
        </w:rPr>
        <w:t>S</w:t>
      </w:r>
      <w:r w:rsidR="00F201E9">
        <w:rPr>
          <w:rFonts w:ascii="Times New Roman" w:hAnsi="Times New Roman" w:cs="Times New Roman"/>
          <w:b/>
          <w:color w:val="000000" w:themeColor="text1"/>
          <w:lang w:val="en-US"/>
        </w:rPr>
        <w:t>4</w:t>
      </w:r>
      <w:r w:rsidRPr="00991889">
        <w:rPr>
          <w:rFonts w:ascii="Times New Roman" w:hAnsi="Times New Roman" w:cs="Times New Roman"/>
          <w:b/>
          <w:color w:val="000000" w:themeColor="text1"/>
          <w:lang w:val="en-US"/>
        </w:rPr>
        <w:t>:</w:t>
      </w:r>
      <w:r w:rsidRPr="00991889">
        <w:rPr>
          <w:rFonts w:ascii="Times New Roman" w:hAnsi="Times New Roman" w:cs="Times New Roman"/>
          <w:color w:val="000000" w:themeColor="text1"/>
          <w:lang w:val="en-US"/>
        </w:rPr>
        <w:t xml:space="preserve"> </w:t>
      </w:r>
      <w:r w:rsidRPr="00991889">
        <w:rPr>
          <w:rFonts w:ascii="Times New Roman" w:hAnsi="Times New Roman" w:cs="Times New Roman"/>
          <w:iCs/>
          <w:color w:val="000000" w:themeColor="text1"/>
          <w:lang w:val="en-US"/>
        </w:rPr>
        <w:t xml:space="preserve">Comparisons of hunger sensation between fasting and feeding sessions in </w:t>
      </w:r>
      <w:r w:rsidRPr="00991889">
        <w:rPr>
          <w:rFonts w:ascii="Times New Roman" w:hAnsi="Times New Roman" w:cs="Times New Roman"/>
          <w:color w:val="000000" w:themeColor="text1"/>
          <w:lang w:val="en-US"/>
        </w:rPr>
        <w:t>patients living with obesity</w:t>
      </w:r>
      <w:r w:rsidRPr="00991889">
        <w:rPr>
          <w:rFonts w:ascii="Times New Roman" w:hAnsi="Times New Roman" w:cs="Times New Roman"/>
          <w:iCs/>
          <w:color w:val="000000" w:themeColor="text1"/>
          <w:lang w:val="en-US"/>
        </w:rPr>
        <w:t xml:space="preserve"> and normal-weight subjects.</w:t>
      </w:r>
    </w:p>
    <w:p w14:paraId="6C980323" w14:textId="70FBD8F7" w:rsidR="00475111" w:rsidRPr="0019165A" w:rsidRDefault="0019165A" w:rsidP="0019165A">
      <w:pPr>
        <w:spacing w:line="480" w:lineRule="auto"/>
        <w:jc w:val="both"/>
        <w:rPr>
          <w:rFonts w:ascii="Times New Roman" w:hAnsi="Times New Roman" w:cs="Times New Roman"/>
          <w:color w:val="000000" w:themeColor="text1"/>
          <w:lang w:val="en-US"/>
        </w:rPr>
      </w:pPr>
      <w:r w:rsidRPr="00991889">
        <w:rPr>
          <w:rFonts w:ascii="Times New Roman" w:hAnsi="Times New Roman" w:cs="Times New Roman"/>
          <w:iCs/>
          <w:color w:val="000000" w:themeColor="text1"/>
          <w:lang w:val="en-US"/>
        </w:rPr>
        <w:lastRenderedPageBreak/>
        <w:t xml:space="preserve">Hunger sensation at the end of the morning and at the beginning of the afternoon are represented in the 2 separated sessions (fasting and feeding sessions). Results are expressed as means ± SD. Analyses were performed using </w:t>
      </w:r>
      <w:r w:rsidRPr="00991889">
        <w:rPr>
          <w:rFonts w:ascii="Times New Roman" w:hAnsi="Times New Roman" w:cs="Times New Roman"/>
          <w:color w:val="000000" w:themeColor="text1"/>
          <w:lang w:val="en-US"/>
        </w:rPr>
        <w:t xml:space="preserve">ANOVAs with several factors (session effect, obesity effect, time effect). </w:t>
      </w:r>
      <w:r w:rsidRPr="00991889">
        <w:rPr>
          <w:rFonts w:ascii="Times New Roman" w:hAnsi="Times New Roman" w:cs="Times New Roman"/>
          <w:iCs/>
          <w:color w:val="000000" w:themeColor="text1"/>
          <w:lang w:val="en-US"/>
        </w:rPr>
        <w:t>A p-value of less than 0.01 was considered statistically significant (Bonferroni correction). * indicates significant difference (p &lt;0.01).</w:t>
      </w:r>
    </w:p>
    <w:p w14:paraId="3111FCB5" w14:textId="77777777" w:rsidR="0019165A" w:rsidRPr="00991889" w:rsidRDefault="0019165A" w:rsidP="0019165A">
      <w:pPr>
        <w:spacing w:line="480" w:lineRule="auto"/>
        <w:jc w:val="both"/>
        <w:rPr>
          <w:rFonts w:ascii="Times New Roman" w:hAnsi="Times New Roman" w:cs="Times New Roman"/>
          <w:color w:val="000000" w:themeColor="text1"/>
          <w:lang w:val="en-US"/>
        </w:rPr>
      </w:pPr>
    </w:p>
    <w:p w14:paraId="6A6E5468" w14:textId="77777777" w:rsidR="00E65B9A" w:rsidRPr="00E65B9A" w:rsidRDefault="0019165A" w:rsidP="00E65B9A">
      <w:pPr>
        <w:spacing w:line="480" w:lineRule="auto"/>
        <w:jc w:val="both"/>
        <w:rPr>
          <w:rFonts w:ascii="Times New Roman" w:hAnsi="Times New Roman" w:cs="Times New Roman"/>
          <w:iCs/>
          <w:color w:val="000000" w:themeColor="text1"/>
          <w:lang w:val="en-US"/>
        </w:rPr>
      </w:pPr>
      <w:r w:rsidRPr="00991889">
        <w:rPr>
          <w:rFonts w:ascii="Times New Roman" w:hAnsi="Times New Roman" w:cs="Times New Roman"/>
          <w:b/>
          <w:color w:val="000000" w:themeColor="text1"/>
          <w:lang w:val="en-US"/>
        </w:rPr>
        <w:t xml:space="preserve">Figure </w:t>
      </w:r>
      <w:r w:rsidR="00833586">
        <w:rPr>
          <w:rFonts w:ascii="Times New Roman" w:hAnsi="Times New Roman" w:cs="Times New Roman"/>
          <w:b/>
          <w:color w:val="000000" w:themeColor="text1"/>
          <w:lang w:val="en-US"/>
        </w:rPr>
        <w:t>S</w:t>
      </w:r>
      <w:r w:rsidR="00F201E9">
        <w:rPr>
          <w:rFonts w:ascii="Times New Roman" w:hAnsi="Times New Roman" w:cs="Times New Roman"/>
          <w:b/>
          <w:color w:val="000000" w:themeColor="text1"/>
          <w:lang w:val="en-US"/>
        </w:rPr>
        <w:t>5</w:t>
      </w:r>
      <w:r w:rsidRPr="00991889">
        <w:rPr>
          <w:rFonts w:ascii="Times New Roman" w:hAnsi="Times New Roman" w:cs="Times New Roman"/>
          <w:b/>
          <w:color w:val="000000" w:themeColor="text1"/>
          <w:lang w:val="en-US"/>
        </w:rPr>
        <w:t>:</w:t>
      </w:r>
      <w:r w:rsidRPr="00991889">
        <w:rPr>
          <w:rFonts w:ascii="Times New Roman" w:hAnsi="Times New Roman" w:cs="Times New Roman"/>
          <w:color w:val="000000" w:themeColor="text1"/>
          <w:lang w:val="en-US"/>
        </w:rPr>
        <w:t xml:space="preserve"> </w:t>
      </w:r>
      <w:r w:rsidR="00E65B9A" w:rsidRPr="00E65B9A">
        <w:rPr>
          <w:rFonts w:ascii="Times New Roman" w:hAnsi="Times New Roman" w:cs="Times New Roman"/>
          <w:iCs/>
          <w:color w:val="000000" w:themeColor="text1"/>
          <w:lang w:val="en-US"/>
        </w:rPr>
        <w:t>Correlation between plasma levels of hormones that may be involved in food eating behavior [</w:t>
      </w:r>
      <w:proofErr w:type="spellStart"/>
      <w:r w:rsidR="00E65B9A" w:rsidRPr="00E65B9A">
        <w:rPr>
          <w:rFonts w:ascii="Times New Roman" w:hAnsi="Times New Roman" w:cs="Times New Roman"/>
          <w:iCs/>
          <w:color w:val="000000" w:themeColor="text1"/>
          <w:lang w:val="en-US"/>
        </w:rPr>
        <w:t>acylated</w:t>
      </w:r>
      <w:proofErr w:type="spellEnd"/>
      <w:r w:rsidR="00E65B9A" w:rsidRPr="00E65B9A">
        <w:rPr>
          <w:rFonts w:ascii="Times New Roman" w:hAnsi="Times New Roman" w:cs="Times New Roman"/>
          <w:iCs/>
          <w:color w:val="000000" w:themeColor="text1"/>
          <w:lang w:val="en-US"/>
        </w:rPr>
        <w:t xml:space="preserve"> ghrelin (A), leptin (B), insulin (C) and serotonin (D)] and GEP latencies in P1Cz after sucrose taste stimulation in patients living with obesity (grey points) and normal-weight (black points) subjects.</w:t>
      </w:r>
    </w:p>
    <w:p w14:paraId="75A77F66" w14:textId="25A8F964" w:rsidR="0019165A" w:rsidRPr="00475111" w:rsidRDefault="00E65B9A" w:rsidP="00E65B9A">
      <w:pPr>
        <w:spacing w:line="480" w:lineRule="auto"/>
        <w:jc w:val="both"/>
        <w:rPr>
          <w:rFonts w:ascii="Times New Roman" w:hAnsi="Times New Roman" w:cs="Times New Roman"/>
          <w:bCs/>
          <w:lang w:val="en-US"/>
        </w:rPr>
      </w:pPr>
      <w:r w:rsidRPr="00E65B9A">
        <w:rPr>
          <w:rFonts w:ascii="Times New Roman" w:hAnsi="Times New Roman" w:cs="Times New Roman"/>
          <w:iCs/>
          <w:color w:val="000000" w:themeColor="text1"/>
          <w:lang w:val="en-US"/>
        </w:rPr>
        <w:t>Similar significant correlations are observed for P1Pz and P1Fz latencies. The analyses were performed using Spearman correlations.</w:t>
      </w:r>
    </w:p>
    <w:sectPr w:rsidR="0019165A" w:rsidRPr="00475111" w:rsidSect="003D7EEA">
      <w:type w:val="continuous"/>
      <w:pgSz w:w="11900" w:h="16840"/>
      <w:pgMar w:top="1418" w:right="1418" w:bottom="1418"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83B5EB" w14:textId="77777777" w:rsidR="007D44DF" w:rsidRDefault="007D44DF">
      <w:r>
        <w:separator/>
      </w:r>
    </w:p>
  </w:endnote>
  <w:endnote w:type="continuationSeparator" w:id="0">
    <w:p w14:paraId="1DB56753" w14:textId="77777777" w:rsidR="007D44DF" w:rsidRDefault="007D4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6AFBCC" w14:textId="77777777" w:rsidR="007D44DF" w:rsidRDefault="007D44DF">
      <w:r>
        <w:separator/>
      </w:r>
    </w:p>
  </w:footnote>
  <w:footnote w:type="continuationSeparator" w:id="0">
    <w:p w14:paraId="51AE1C5C" w14:textId="77777777" w:rsidR="007D44DF" w:rsidRDefault="007D44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9466C9" w14:textId="77777777" w:rsidR="009E3C18" w:rsidRDefault="009E3C18">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111"/>
    <w:rsid w:val="000177E4"/>
    <w:rsid w:val="00026D64"/>
    <w:rsid w:val="000E2989"/>
    <w:rsid w:val="00124FE1"/>
    <w:rsid w:val="00133084"/>
    <w:rsid w:val="001430D9"/>
    <w:rsid w:val="0019165A"/>
    <w:rsid w:val="00195BB6"/>
    <w:rsid w:val="00311879"/>
    <w:rsid w:val="00384D1D"/>
    <w:rsid w:val="003D7EEA"/>
    <w:rsid w:val="00431B9D"/>
    <w:rsid w:val="00475111"/>
    <w:rsid w:val="004B7572"/>
    <w:rsid w:val="006536D8"/>
    <w:rsid w:val="006B7CF8"/>
    <w:rsid w:val="007D44DF"/>
    <w:rsid w:val="007F101C"/>
    <w:rsid w:val="00826139"/>
    <w:rsid w:val="00833586"/>
    <w:rsid w:val="009910DD"/>
    <w:rsid w:val="009E3C18"/>
    <w:rsid w:val="00C36469"/>
    <w:rsid w:val="00CB67E9"/>
    <w:rsid w:val="00DC5A15"/>
    <w:rsid w:val="00E65B9A"/>
    <w:rsid w:val="00F201E9"/>
    <w:rsid w:val="00F24F06"/>
    <w:rsid w:val="00FF6BD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E5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111"/>
    <w:rPr>
      <w:kern w:val="0"/>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124FE1"/>
  </w:style>
  <w:style w:type="paragraph" w:styleId="En-tte">
    <w:name w:val="header"/>
    <w:basedOn w:val="Normal"/>
    <w:link w:val="En-tteCar"/>
    <w:uiPriority w:val="99"/>
    <w:unhideWhenUsed/>
    <w:rsid w:val="0019165A"/>
    <w:pPr>
      <w:tabs>
        <w:tab w:val="center" w:pos="4536"/>
        <w:tab w:val="right" w:pos="9072"/>
      </w:tabs>
    </w:pPr>
    <w:rPr>
      <w:sz w:val="22"/>
      <w:szCs w:val="22"/>
    </w:rPr>
  </w:style>
  <w:style w:type="character" w:customStyle="1" w:styleId="En-tteCar">
    <w:name w:val="En-tête Car"/>
    <w:basedOn w:val="Policepardfaut"/>
    <w:link w:val="En-tte"/>
    <w:uiPriority w:val="99"/>
    <w:rsid w:val="0019165A"/>
    <w:rPr>
      <w:kern w:val="0"/>
      <w:sz w:val="22"/>
      <w:szCs w:val="22"/>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111"/>
    <w:rPr>
      <w:kern w:val="0"/>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124FE1"/>
  </w:style>
  <w:style w:type="paragraph" w:styleId="En-tte">
    <w:name w:val="header"/>
    <w:basedOn w:val="Normal"/>
    <w:link w:val="En-tteCar"/>
    <w:uiPriority w:val="99"/>
    <w:unhideWhenUsed/>
    <w:rsid w:val="0019165A"/>
    <w:pPr>
      <w:tabs>
        <w:tab w:val="center" w:pos="4536"/>
        <w:tab w:val="right" w:pos="9072"/>
      </w:tabs>
    </w:pPr>
    <w:rPr>
      <w:sz w:val="22"/>
      <w:szCs w:val="22"/>
    </w:rPr>
  </w:style>
  <w:style w:type="character" w:customStyle="1" w:styleId="En-tteCar">
    <w:name w:val="En-tête Car"/>
    <w:basedOn w:val="Policepardfaut"/>
    <w:link w:val="En-tte"/>
    <w:uiPriority w:val="99"/>
    <w:rsid w:val="0019165A"/>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5</Pages>
  <Words>2131</Words>
  <Characters>11724</Characters>
  <Application>Microsoft Office Word</Application>
  <DocSecurity>0</DocSecurity>
  <Lines>97</Lines>
  <Paragraphs>27</Paragraphs>
  <ScaleCrop>false</ScaleCrop>
  <Company/>
  <LinksUpToDate>false</LinksUpToDate>
  <CharactersWithSpaces>13828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Mouillot</dc:creator>
  <cp:keywords/>
  <dc:description/>
  <cp:lastModifiedBy>MOUILLOT THOMAS</cp:lastModifiedBy>
  <cp:revision>80</cp:revision>
  <dcterms:created xsi:type="dcterms:W3CDTF">2024-01-30T15:54:00Z</dcterms:created>
  <dcterms:modified xsi:type="dcterms:W3CDTF">2024-01-31T10:53:00Z</dcterms:modified>
</cp:coreProperties>
</file>