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1C4F" w14:textId="376988C1" w:rsidR="001E2D1E" w:rsidRPr="001E2D1E" w:rsidRDefault="001E2D1E" w:rsidP="00B76E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2D1E">
        <w:rPr>
          <w:rFonts w:ascii="Times New Roman" w:hAnsi="Times New Roman" w:cs="Times New Roman"/>
          <w:b/>
          <w:bCs/>
          <w:sz w:val="24"/>
          <w:szCs w:val="24"/>
        </w:rPr>
        <w:t>Table 2: (</w:t>
      </w:r>
      <w:proofErr w:type="spellStart"/>
      <w:r w:rsidRPr="001E2D1E">
        <w:rPr>
          <w:rFonts w:ascii="Times New Roman" w:hAnsi="Times New Roman" w:cs="Times New Roman"/>
          <w:b/>
          <w:bCs/>
          <w:sz w:val="24"/>
          <w:szCs w:val="24"/>
        </w:rPr>
        <w:t>Infectious</w:t>
      </w:r>
      <w:proofErr w:type="spellEnd"/>
      <w:r w:rsidRPr="001E2D1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1E2D1E">
        <w:rPr>
          <w:rFonts w:ascii="Times New Roman" w:hAnsi="Times New Roman" w:cs="Times New Roman"/>
          <w:b/>
          <w:bCs/>
          <w:sz w:val="24"/>
          <w:szCs w:val="24"/>
        </w:rPr>
        <w:t>viral</w:t>
      </w:r>
      <w:proofErr w:type="spellEnd"/>
      <w:r w:rsidRPr="001E2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2D1E">
        <w:rPr>
          <w:rFonts w:ascii="Times New Roman" w:hAnsi="Times New Roman" w:cs="Times New Roman"/>
          <w:b/>
          <w:bCs/>
          <w:sz w:val="24"/>
          <w:szCs w:val="24"/>
        </w:rPr>
        <w:t>titers</w:t>
      </w:r>
      <w:proofErr w:type="spellEnd"/>
      <w:r w:rsidRPr="001E2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2D1E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1E2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2D1E">
        <w:rPr>
          <w:rFonts w:ascii="Times New Roman" w:hAnsi="Times New Roman" w:cs="Times New Roman"/>
          <w:b/>
          <w:bCs/>
          <w:sz w:val="24"/>
          <w:szCs w:val="24"/>
        </w:rPr>
        <w:t>selected</w:t>
      </w:r>
      <w:proofErr w:type="spellEnd"/>
      <w:r w:rsidRPr="001E2D1E">
        <w:rPr>
          <w:rFonts w:ascii="Times New Roman" w:hAnsi="Times New Roman" w:cs="Times New Roman"/>
          <w:b/>
          <w:bCs/>
          <w:sz w:val="24"/>
          <w:szCs w:val="24"/>
        </w:rPr>
        <w:t xml:space="preserve"> RSV-NICA vials.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714"/>
        <w:gridCol w:w="1126"/>
        <w:gridCol w:w="1554"/>
        <w:gridCol w:w="1448"/>
        <w:gridCol w:w="1501"/>
      </w:tblGrid>
      <w:tr w:rsidR="001E2D1E" w:rsidRPr="001E2D1E" w14:paraId="179D59AC" w14:textId="77777777" w:rsidTr="00977938">
        <w:trPr>
          <w:trHeight w:val="271"/>
        </w:trPr>
        <w:tc>
          <w:tcPr>
            <w:tcW w:w="1276" w:type="dxa"/>
            <w:tcBorders>
              <w:top w:val="single" w:sz="12" w:space="0" w:color="auto"/>
              <w:left w:val="nil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6CDBD4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Sample ID</w:t>
            </w:r>
          </w:p>
        </w:tc>
        <w:tc>
          <w:tcPr>
            <w:tcW w:w="141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379E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TCID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50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/ml (log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10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)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AC776D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Average TCID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50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/ml ± SEM</w:t>
            </w:r>
          </w:p>
        </w:tc>
        <w:tc>
          <w:tcPr>
            <w:tcW w:w="1126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089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PFU/ml (log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vertAlign w:val="subscript"/>
                <w:lang w:val="en-US"/>
              </w:rPr>
              <w:t>10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)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41819E0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Average PFU/ml ± SEM</w:t>
            </w:r>
          </w:p>
        </w:tc>
        <w:tc>
          <w:tcPr>
            <w:tcW w:w="144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nil"/>
            </w:tcBorders>
          </w:tcPr>
          <w:p w14:paraId="2498B1E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proofErr w:type="spellStart"/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vRNA</w:t>
            </w:r>
            <w:proofErr w:type="spellEnd"/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 xml:space="preserve"> copies/ml (log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10</w:t>
            </w: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)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10EE0E0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 xml:space="preserve">Average </w:t>
            </w:r>
            <w:proofErr w:type="spellStart"/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vRNA</w:t>
            </w:r>
            <w:proofErr w:type="spellEnd"/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 xml:space="preserve"> copies/ml ± SEM</w:t>
            </w:r>
          </w:p>
        </w:tc>
      </w:tr>
      <w:tr w:rsidR="001E2D1E" w:rsidRPr="001E2D1E" w14:paraId="5493C05A" w14:textId="77777777" w:rsidTr="00977938">
        <w:trPr>
          <w:trHeight w:val="271"/>
        </w:trPr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A85CC4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A1</w:t>
            </w:r>
          </w:p>
        </w:tc>
        <w:tc>
          <w:tcPr>
            <w:tcW w:w="1418" w:type="dxa"/>
            <w:tcBorders>
              <w:top w:val="doub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09B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4.50</w:t>
            </w:r>
          </w:p>
        </w:tc>
        <w:tc>
          <w:tcPr>
            <w:tcW w:w="1714" w:type="dxa"/>
            <w:vMerge w:val="restart"/>
            <w:tcBorders>
              <w:top w:val="doub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852C5F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4.17 ± 0.56</w:t>
            </w:r>
          </w:p>
        </w:tc>
        <w:tc>
          <w:tcPr>
            <w:tcW w:w="1126" w:type="dxa"/>
            <w:tcBorders>
              <w:top w:val="doub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2F1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4.52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8F8F64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3.97 ± 0.45</w:t>
            </w:r>
          </w:p>
        </w:tc>
        <w:tc>
          <w:tcPr>
            <w:tcW w:w="1448" w:type="dxa"/>
            <w:tcBorders>
              <w:top w:val="double" w:sz="4" w:space="0" w:color="auto"/>
              <w:left w:val="dashSmallGap" w:sz="4" w:space="0" w:color="auto"/>
              <w:bottom w:val="nil"/>
              <w:right w:val="nil"/>
            </w:tcBorders>
          </w:tcPr>
          <w:p w14:paraId="520BCE1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8.22</w:t>
            </w:r>
          </w:p>
        </w:tc>
        <w:tc>
          <w:tcPr>
            <w:tcW w:w="1501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F18B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8.28 ± 0.05</w:t>
            </w:r>
          </w:p>
        </w:tc>
      </w:tr>
      <w:tr w:rsidR="001E2D1E" w:rsidRPr="001E2D1E" w14:paraId="1060F516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43472C6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A2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B1A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4.83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69D02B83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2F7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4.56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24847B4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97ABE9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8.26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E989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196CEA28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2A6F5C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A3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BFC3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3E7F5CC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10D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2.64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314A14C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20C74AF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8.33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5153F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4329C052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25FC9F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A4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3BC8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4.83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68F38E6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B320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4.18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5CAC09B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right w:val="nil"/>
            </w:tcBorders>
          </w:tcPr>
          <w:p w14:paraId="4EFEA2E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8.31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B57F3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1C8B4EC1" w14:textId="77777777" w:rsidTr="00977938">
        <w:trPr>
          <w:trHeight w:val="271"/>
        </w:trPr>
        <w:tc>
          <w:tcPr>
            <w:tcW w:w="1276" w:type="dxa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3C3E8B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B1</w:t>
            </w:r>
          </w:p>
        </w:tc>
        <w:tc>
          <w:tcPr>
            <w:tcW w:w="1418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E05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4.17</w:t>
            </w:r>
          </w:p>
        </w:tc>
        <w:tc>
          <w:tcPr>
            <w:tcW w:w="171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E8343D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4.67 ± 0.17</w:t>
            </w:r>
          </w:p>
        </w:tc>
        <w:tc>
          <w:tcPr>
            <w:tcW w:w="1126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C39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3.88</w:t>
            </w:r>
          </w:p>
        </w:tc>
        <w:tc>
          <w:tcPr>
            <w:tcW w:w="155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333011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4.75 ± 0.29</w:t>
            </w:r>
          </w:p>
        </w:tc>
        <w:tc>
          <w:tcPr>
            <w:tcW w:w="1448" w:type="dxa"/>
            <w:tcBorders>
              <w:left w:val="dashSmallGap" w:sz="4" w:space="0" w:color="auto"/>
              <w:bottom w:val="nil"/>
              <w:right w:val="nil"/>
            </w:tcBorders>
          </w:tcPr>
          <w:p w14:paraId="66BE1C95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8.32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B6DA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8.30 ± 0.02</w:t>
            </w:r>
          </w:p>
        </w:tc>
      </w:tr>
      <w:tr w:rsidR="001E2D1E" w:rsidRPr="001E2D1E" w14:paraId="7E312DC4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75911D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B2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22C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4.83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7C58CC3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1BF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5.05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7401BA2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14F9D7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8.27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8F80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489B5CB3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FB5A71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B3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3D5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4.83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20B591C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B6C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5.11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46BF5D5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66DADE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8.29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526B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61112CE6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B40228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B4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99DA3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4.83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72A1551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9921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4.95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4B76749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right w:val="nil"/>
            </w:tcBorders>
          </w:tcPr>
          <w:p w14:paraId="1A649955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8.30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B13B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2B3151D3" w14:textId="77777777" w:rsidTr="00977938">
        <w:trPr>
          <w:trHeight w:val="271"/>
        </w:trPr>
        <w:tc>
          <w:tcPr>
            <w:tcW w:w="1276" w:type="dxa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AF45B5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C1</w:t>
            </w:r>
          </w:p>
        </w:tc>
        <w:tc>
          <w:tcPr>
            <w:tcW w:w="1418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954F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4.17</w:t>
            </w:r>
          </w:p>
        </w:tc>
        <w:tc>
          <w:tcPr>
            <w:tcW w:w="171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34CD1D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3.72 ± 0.62</w:t>
            </w:r>
          </w:p>
        </w:tc>
        <w:tc>
          <w:tcPr>
            <w:tcW w:w="1126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EC4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3.96</w:t>
            </w:r>
          </w:p>
        </w:tc>
        <w:tc>
          <w:tcPr>
            <w:tcW w:w="155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4E79BC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2.68 ± 1.14</w:t>
            </w:r>
          </w:p>
        </w:tc>
        <w:tc>
          <w:tcPr>
            <w:tcW w:w="1448" w:type="dxa"/>
            <w:tcBorders>
              <w:left w:val="dashSmallGap" w:sz="4" w:space="0" w:color="auto"/>
              <w:bottom w:val="nil"/>
              <w:right w:val="nil"/>
            </w:tcBorders>
          </w:tcPr>
          <w:p w14:paraId="24507B1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8.26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FBC23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8.23 ± 0.08</w:t>
            </w:r>
          </w:p>
        </w:tc>
      </w:tr>
      <w:tr w:rsidR="001E2D1E" w:rsidRPr="001E2D1E" w14:paraId="21986846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E1CCD9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C2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EDB3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1536CFAF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366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1.00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5294FDD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8DB938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8.18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6604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151E1182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EE50F2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C3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678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20281CA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43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4.76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3949229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C0B33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8.33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79C2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17A7142D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D92687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C4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right w:val="nil"/>
              <w:tl2br w:val="single" w:sz="4" w:space="0" w:color="auto"/>
              <w:tr2bl w:val="single" w:sz="4" w:space="0" w:color="auto"/>
            </w:tcBorders>
            <w:shd w:val="clear" w:color="auto" w:fill="AEAAAA"/>
            <w:noWrap/>
            <w:vAlign w:val="center"/>
            <w:hideMark/>
          </w:tcPr>
          <w:p w14:paraId="34BD841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6580C29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6E89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1.00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5F059D6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right w:val="nil"/>
            </w:tcBorders>
          </w:tcPr>
          <w:p w14:paraId="757378B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8.16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BD71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521A85C8" w14:textId="77777777" w:rsidTr="00977938">
        <w:trPr>
          <w:trHeight w:val="271"/>
        </w:trPr>
        <w:tc>
          <w:tcPr>
            <w:tcW w:w="1276" w:type="dxa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FBDCA2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D1</w:t>
            </w:r>
          </w:p>
        </w:tc>
        <w:tc>
          <w:tcPr>
            <w:tcW w:w="1418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2E4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4.83</w:t>
            </w:r>
          </w:p>
        </w:tc>
        <w:tc>
          <w:tcPr>
            <w:tcW w:w="171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4FC2EF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4.75 ± 0.16</w:t>
            </w:r>
          </w:p>
        </w:tc>
        <w:tc>
          <w:tcPr>
            <w:tcW w:w="1126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678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4.49</w:t>
            </w:r>
          </w:p>
        </w:tc>
        <w:tc>
          <w:tcPr>
            <w:tcW w:w="155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CC80BD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4.41 ± 0.18</w:t>
            </w:r>
          </w:p>
        </w:tc>
        <w:tc>
          <w:tcPr>
            <w:tcW w:w="1448" w:type="dxa"/>
            <w:tcBorders>
              <w:left w:val="dashSmallGap" w:sz="4" w:space="0" w:color="auto"/>
              <w:bottom w:val="nil"/>
              <w:right w:val="nil"/>
            </w:tcBorders>
          </w:tcPr>
          <w:p w14:paraId="417B613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8.31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C7B1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8.32 ± 0.03</w:t>
            </w:r>
          </w:p>
        </w:tc>
      </w:tr>
      <w:tr w:rsidR="001E2D1E" w:rsidRPr="001E2D1E" w14:paraId="16BA116B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E8B297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D2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867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370A45D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354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4.88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74D7AFE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183FE1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8.31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7BC2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5A03B152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B3AE2E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D3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982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601BE62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60E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4.04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64E7459F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766DE73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8.37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094A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55D4E1E8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AB66AC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D4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B6C4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5.17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53E494D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DC6EF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4.24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0E356A5C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right w:val="nil"/>
            </w:tcBorders>
          </w:tcPr>
          <w:p w14:paraId="323E135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8.29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962E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6F2EF889" w14:textId="77777777" w:rsidTr="00977938">
        <w:trPr>
          <w:trHeight w:val="271"/>
        </w:trPr>
        <w:tc>
          <w:tcPr>
            <w:tcW w:w="1276" w:type="dxa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2EB69E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J1</w:t>
            </w:r>
          </w:p>
        </w:tc>
        <w:tc>
          <w:tcPr>
            <w:tcW w:w="1418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CC7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2.50</w:t>
            </w:r>
          </w:p>
        </w:tc>
        <w:tc>
          <w:tcPr>
            <w:tcW w:w="171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63577A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3.92 ± 0.84</w:t>
            </w:r>
          </w:p>
        </w:tc>
        <w:tc>
          <w:tcPr>
            <w:tcW w:w="1126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F34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1.00</w:t>
            </w:r>
          </w:p>
        </w:tc>
        <w:tc>
          <w:tcPr>
            <w:tcW w:w="1554" w:type="dxa"/>
            <w:vMerge w:val="restart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94EA77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3.21 ± 1.02</w:t>
            </w:r>
          </w:p>
        </w:tc>
        <w:tc>
          <w:tcPr>
            <w:tcW w:w="1448" w:type="dxa"/>
            <w:tcBorders>
              <w:left w:val="dashSmallGap" w:sz="4" w:space="0" w:color="auto"/>
              <w:bottom w:val="nil"/>
              <w:right w:val="nil"/>
            </w:tcBorders>
          </w:tcPr>
          <w:p w14:paraId="297A650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8.27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39D1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8.29 ± 0.09</w:t>
            </w:r>
          </w:p>
        </w:tc>
      </w:tr>
      <w:tr w:rsidR="001E2D1E" w:rsidRPr="001E2D1E" w14:paraId="5AB802B8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80196E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J2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14E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4.83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5ABAAF6C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AEA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4.94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6781368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314B3A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8.37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DD24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2CE8D08C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04D376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J3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DC6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3EDE5CE5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923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1.95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255CE7D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837914D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8.17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E218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3544F680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A954D8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J4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CC0A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5.83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607F44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31C5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4.95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5D1FEB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right w:val="nil"/>
            </w:tcBorders>
          </w:tcPr>
          <w:p w14:paraId="142530D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8.35</w:t>
            </w:r>
          </w:p>
        </w:tc>
        <w:tc>
          <w:tcPr>
            <w:tcW w:w="15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F358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</w:tr>
      <w:tr w:rsidR="001E2D1E" w:rsidRPr="001E2D1E" w14:paraId="1F7BF424" w14:textId="77777777" w:rsidTr="00977938">
        <w:trPr>
          <w:trHeight w:val="271"/>
        </w:trPr>
        <w:tc>
          <w:tcPr>
            <w:tcW w:w="1276" w:type="dxa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1B1558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L1</w:t>
            </w:r>
          </w:p>
        </w:tc>
        <w:tc>
          <w:tcPr>
            <w:tcW w:w="1418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063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4.50</w:t>
            </w:r>
          </w:p>
        </w:tc>
        <w:tc>
          <w:tcPr>
            <w:tcW w:w="1714" w:type="dxa"/>
            <w:vMerge w:val="restart"/>
            <w:tcBorders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2F87AAC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3.67 ± 0.69</w:t>
            </w:r>
          </w:p>
        </w:tc>
        <w:tc>
          <w:tcPr>
            <w:tcW w:w="1126" w:type="dxa"/>
            <w:tcBorders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05F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  <w:t>4.48</w:t>
            </w:r>
          </w:p>
        </w:tc>
        <w:tc>
          <w:tcPr>
            <w:tcW w:w="1554" w:type="dxa"/>
            <w:vMerge w:val="restart"/>
            <w:tcBorders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3FC49F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  <w:t>2.79 ± 1.04</w:t>
            </w:r>
          </w:p>
        </w:tc>
        <w:tc>
          <w:tcPr>
            <w:tcW w:w="1448" w:type="dxa"/>
            <w:tcBorders>
              <w:left w:val="dashSmallGap" w:sz="4" w:space="0" w:color="auto"/>
              <w:bottom w:val="nil"/>
              <w:right w:val="nil"/>
            </w:tcBorders>
          </w:tcPr>
          <w:p w14:paraId="60AD7665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8.31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A3E45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8.29 ± 0.05</w:t>
            </w:r>
          </w:p>
        </w:tc>
      </w:tr>
      <w:tr w:rsidR="001E2D1E" w:rsidRPr="001E2D1E" w14:paraId="0188822E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7151B96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L2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AAB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39B0EF6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B1D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  <w:t>1.00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19490B22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23CD279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8.22</w:t>
            </w:r>
          </w:p>
        </w:tc>
        <w:tc>
          <w:tcPr>
            <w:tcW w:w="150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2632B8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</w:p>
        </w:tc>
      </w:tr>
      <w:tr w:rsidR="001E2D1E" w:rsidRPr="001E2D1E" w14:paraId="0A59B0EB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6CF6C66C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L3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016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2.50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3D6E1F57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32A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  <w:t>1.00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76654001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555529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8.28</w:t>
            </w:r>
          </w:p>
        </w:tc>
        <w:tc>
          <w:tcPr>
            <w:tcW w:w="150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54D1CE0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</w:p>
        </w:tc>
      </w:tr>
      <w:tr w:rsidR="001E2D1E" w:rsidRPr="001E2D1E" w14:paraId="67902AAB" w14:textId="77777777" w:rsidTr="00977938">
        <w:trPr>
          <w:trHeight w:val="271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2DE4DE4C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18"/>
                <w:lang w:val="en-US"/>
              </w:rPr>
              <w:t>L4</w:t>
            </w:r>
          </w:p>
        </w:tc>
        <w:tc>
          <w:tcPr>
            <w:tcW w:w="1418" w:type="dxa"/>
            <w:tcBorders>
              <w:top w:val="nil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30C28E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5.17</w: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29A49D3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30732B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18"/>
                <w:lang w:val="en-US"/>
              </w:rPr>
              <w:t>4.70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7CBEFBD4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dashSmallGap" w:sz="4" w:space="0" w:color="auto"/>
              <w:bottom w:val="single" w:sz="12" w:space="0" w:color="auto"/>
              <w:right w:val="nil"/>
            </w:tcBorders>
          </w:tcPr>
          <w:p w14:paraId="45CFF198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</w:pPr>
            <w:r w:rsidRPr="001E2D1E">
              <w:rPr>
                <w:rFonts w:ascii="Times New Roman" w:eastAsia="Calibri" w:hAnsi="Times New Roman" w:cs="Times New Roman"/>
                <w:iCs/>
                <w:sz w:val="20"/>
                <w:szCs w:val="18"/>
                <w:lang w:val="en-US"/>
              </w:rPr>
              <w:t>8.34</w:t>
            </w:r>
          </w:p>
        </w:tc>
        <w:tc>
          <w:tcPr>
            <w:tcW w:w="150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5743E8A" w14:textId="77777777" w:rsidR="001E2D1E" w:rsidRPr="001E2D1E" w:rsidRDefault="001E2D1E" w:rsidP="001E2D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18"/>
                <w:lang w:val="en-US"/>
              </w:rPr>
            </w:pPr>
          </w:p>
        </w:tc>
      </w:tr>
    </w:tbl>
    <w:p w14:paraId="65E2587C" w14:textId="77777777" w:rsidR="001E2D1E" w:rsidRDefault="001E2D1E" w:rsidP="001E2D1E">
      <w:pPr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340AF9">
        <w:rPr>
          <w:rFonts w:ascii="Times New Roman" w:hAnsi="Times New Roman" w:cs="Times New Roman"/>
          <w:i/>
          <w:iCs/>
          <w:sz w:val="18"/>
          <w:szCs w:val="18"/>
        </w:rPr>
        <w:t>Viral</w:t>
      </w:r>
      <w:proofErr w:type="spellEnd"/>
      <w:r w:rsidRPr="00340AF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340AF9">
        <w:rPr>
          <w:rFonts w:ascii="Times New Roman" w:hAnsi="Times New Roman" w:cs="Times New Roman"/>
          <w:i/>
          <w:iCs/>
          <w:sz w:val="18"/>
          <w:szCs w:val="18"/>
        </w:rPr>
        <w:t>infectious</w:t>
      </w:r>
      <w:proofErr w:type="spellEnd"/>
      <w:r w:rsidRPr="00340AF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340AF9">
        <w:rPr>
          <w:rFonts w:ascii="Times New Roman" w:hAnsi="Times New Roman" w:cs="Times New Roman"/>
          <w:i/>
          <w:iCs/>
          <w:sz w:val="18"/>
          <w:szCs w:val="18"/>
        </w:rPr>
        <w:t>titers</w:t>
      </w:r>
      <w:proofErr w:type="spellEnd"/>
      <w:r w:rsidRPr="00340AF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340AF9">
        <w:rPr>
          <w:rFonts w:ascii="Times New Roman" w:hAnsi="Times New Roman" w:cs="Times New Roman"/>
          <w:i/>
          <w:iCs/>
          <w:sz w:val="18"/>
          <w:szCs w:val="18"/>
        </w:rPr>
        <w:t>that</w:t>
      </w:r>
      <w:proofErr w:type="spellEnd"/>
      <w:r w:rsidRPr="00340AF9">
        <w:rPr>
          <w:rFonts w:ascii="Times New Roman" w:hAnsi="Times New Roman" w:cs="Times New Roman"/>
          <w:i/>
          <w:iCs/>
          <w:sz w:val="18"/>
          <w:szCs w:val="18"/>
        </w:rPr>
        <w:t xml:space="preserve"> are </w:t>
      </w:r>
      <w:proofErr w:type="spellStart"/>
      <w:r w:rsidRPr="00340AF9">
        <w:rPr>
          <w:rFonts w:ascii="Times New Roman" w:hAnsi="Times New Roman" w:cs="Times New Roman"/>
          <w:i/>
          <w:iCs/>
          <w:sz w:val="18"/>
          <w:szCs w:val="18"/>
        </w:rPr>
        <w:t>shown</w:t>
      </w:r>
      <w:proofErr w:type="spellEnd"/>
      <w:r w:rsidRPr="00340AF9">
        <w:rPr>
          <w:rFonts w:ascii="Times New Roman" w:hAnsi="Times New Roman" w:cs="Times New Roman"/>
          <w:i/>
          <w:iCs/>
          <w:sz w:val="18"/>
          <w:szCs w:val="18"/>
        </w:rPr>
        <w:t>. Lower limit of detection was set at 2.5 log</w:t>
      </w:r>
      <w:r w:rsidRPr="00340AF9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10</w:t>
      </w:r>
      <w:r w:rsidRPr="00340AF9">
        <w:rPr>
          <w:rFonts w:ascii="Times New Roman" w:hAnsi="Times New Roman" w:cs="Times New Roman"/>
          <w:i/>
          <w:iCs/>
          <w:sz w:val="18"/>
          <w:szCs w:val="18"/>
        </w:rPr>
        <w:t xml:space="preserve"> for TCID50 and at 1 log</w:t>
      </w:r>
      <w:r w:rsidRPr="00340AF9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10</w:t>
      </w:r>
      <w:r w:rsidRPr="00340AF9">
        <w:rPr>
          <w:rFonts w:ascii="Times New Roman" w:hAnsi="Times New Roman" w:cs="Times New Roman"/>
          <w:i/>
          <w:iCs/>
          <w:sz w:val="18"/>
          <w:szCs w:val="18"/>
        </w:rPr>
        <w:t xml:space="preserve"> for PFU. </w:t>
      </w:r>
    </w:p>
    <w:p w14:paraId="51296771" w14:textId="4361AF1A" w:rsidR="0033214C" w:rsidRDefault="0033214C">
      <w:pPr>
        <w:jc w:val="left"/>
      </w:pPr>
    </w:p>
    <w:sectPr w:rsidR="00332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001135"/>
    <w:rsid w:val="00154878"/>
    <w:rsid w:val="001B0728"/>
    <w:rsid w:val="001E2D1E"/>
    <w:rsid w:val="00213749"/>
    <w:rsid w:val="00313FA2"/>
    <w:rsid w:val="0033214C"/>
    <w:rsid w:val="00420800"/>
    <w:rsid w:val="00490FB2"/>
    <w:rsid w:val="005844A9"/>
    <w:rsid w:val="00653A55"/>
    <w:rsid w:val="00656D79"/>
    <w:rsid w:val="007179E2"/>
    <w:rsid w:val="007664D4"/>
    <w:rsid w:val="008A7479"/>
    <w:rsid w:val="008F6765"/>
    <w:rsid w:val="00977938"/>
    <w:rsid w:val="009A78E8"/>
    <w:rsid w:val="00A17745"/>
    <w:rsid w:val="00A64492"/>
    <w:rsid w:val="00AE362B"/>
    <w:rsid w:val="00B76E4C"/>
    <w:rsid w:val="00C216CD"/>
    <w:rsid w:val="00CA269F"/>
    <w:rsid w:val="00CE5DC8"/>
    <w:rsid w:val="00DF4A2A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9E2"/>
    <w:pPr>
      <w:jc w:val="both"/>
    </w:pPr>
  </w:style>
  <w:style w:type="paragraph" w:styleId="Kop1">
    <w:name w:val="heading 1"/>
    <w:basedOn w:val="Standaard"/>
    <w:next w:val="Standaard"/>
    <w:link w:val="Kop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Kop2">
    <w:name w:val="heading 2"/>
    <w:basedOn w:val="Standaard"/>
    <w:next w:val="Standaard"/>
    <w:link w:val="Kop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Kop3">
    <w:name w:val="heading 3"/>
    <w:basedOn w:val="Standaard"/>
    <w:next w:val="Standaard"/>
    <w:link w:val="Kop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Kop4">
    <w:name w:val="heading 4"/>
    <w:basedOn w:val="Standaard"/>
    <w:next w:val="Standaard"/>
    <w:link w:val="Kop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Kop5">
    <w:name w:val="heading 5"/>
    <w:basedOn w:val="Standaard"/>
    <w:next w:val="Standaard"/>
    <w:link w:val="Kop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Kop3Char">
    <w:name w:val="Kop 3 Char"/>
    <w:basedOn w:val="Standaardalinea-lettertype"/>
    <w:link w:val="Kop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Kop4Char">
    <w:name w:val="Kop 4 Char"/>
    <w:basedOn w:val="Standaardalinea-lettertype"/>
    <w:link w:val="Kop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Kop5Char">
    <w:name w:val="Kop 5 Char"/>
    <w:basedOn w:val="Standaardalinea-lettertype"/>
    <w:link w:val="Kop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Bijschrift">
    <w:name w:val="caption"/>
    <w:basedOn w:val="Standaard"/>
    <w:next w:val="Standaard"/>
    <w:uiPriority w:val="3"/>
    <w:qFormat/>
    <w:rsid w:val="007179E2"/>
    <w:pPr>
      <w:spacing w:before="120" w:after="120"/>
    </w:pPr>
    <w:rPr>
      <w:bCs/>
      <w:i/>
    </w:rPr>
  </w:style>
  <w:style w:type="paragraph" w:styleId="Titel">
    <w:name w:val="Title"/>
    <w:basedOn w:val="Standaard"/>
    <w:next w:val="Standaard"/>
    <w:link w:val="Titel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Zwaar">
    <w:name w:val="Strong"/>
    <w:basedOn w:val="Standaardalinea-lettertype"/>
    <w:uiPriority w:val="22"/>
    <w:qFormat/>
    <w:rsid w:val="007179E2"/>
    <w:rPr>
      <w:b/>
      <w:bCs/>
    </w:rPr>
  </w:style>
  <w:style w:type="character" w:styleId="Nadruk">
    <w:name w:val="Emphasis"/>
    <w:basedOn w:val="Standaardalinea-lettertype"/>
    <w:uiPriority w:val="20"/>
    <w:qFormat/>
    <w:rsid w:val="007179E2"/>
    <w:rPr>
      <w:i/>
      <w:iCs/>
    </w:rPr>
  </w:style>
  <w:style w:type="paragraph" w:styleId="Geenafstand">
    <w:name w:val="No Spacing"/>
    <w:uiPriority w:val="1"/>
    <w:rsid w:val="00DF4A2A"/>
  </w:style>
  <w:style w:type="paragraph" w:styleId="Citaat">
    <w:name w:val="Quote"/>
    <w:basedOn w:val="Standaard"/>
    <w:next w:val="Standaard"/>
    <w:link w:val="Citaat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7179E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179E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179E2"/>
    <w:rPr>
      <w:smallCaps/>
      <w:color w:val="002E56" w:themeColor="accent1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179E2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Standaard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Standaard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Standaardalinea-lettertype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7179E2"/>
    <w:rPr>
      <w:vanish/>
      <w:color w:val="7F7F7F" w:themeColor="text1" w:themeTint="80"/>
    </w:rPr>
  </w:style>
  <w:style w:type="table" w:styleId="Tabelraster">
    <w:name w:val="Table Grid"/>
    <w:basedOn w:val="Standaardtabel"/>
    <w:uiPriority w:val="39"/>
    <w:rsid w:val="0033214C"/>
    <w:rPr>
      <w:rFonts w:asciiTheme="minorHAnsi" w:eastAsiaTheme="minorHAnsi" w:hAnsiTheme="minorHAnsi" w:cstheme="minorBid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A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VITO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Dirk Roymans</cp:lastModifiedBy>
  <cp:revision>2</cp:revision>
  <dcterms:created xsi:type="dcterms:W3CDTF">2023-12-14T16:59:00Z</dcterms:created>
  <dcterms:modified xsi:type="dcterms:W3CDTF">2023-12-14T16:59:00Z</dcterms:modified>
</cp:coreProperties>
</file>