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67C590" w14:textId="42372DC2" w:rsidR="00044E2E" w:rsidRPr="00044E2E" w:rsidRDefault="00D74A49" w:rsidP="00044E2E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044E2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Table </w:t>
      </w:r>
      <w:r w:rsidR="00A72B4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044E2E">
        <w:rPr>
          <w:rFonts w:ascii="Times New Roman" w:eastAsia="Calibri" w:hAnsi="Times New Roman" w:cs="Times New Roman"/>
          <w:sz w:val="24"/>
          <w:szCs w:val="24"/>
        </w:rPr>
        <w:t xml:space="preserve"> Quality assessment of the included observational studies by NOS</w:t>
      </w:r>
    </w:p>
    <w:tbl>
      <w:tblPr>
        <w:tblStyle w:val="TableGrid"/>
        <w:tblW w:w="11678" w:type="dxa"/>
        <w:tblInd w:w="-1175" w:type="dxa"/>
        <w:tblLook w:val="04A0" w:firstRow="1" w:lastRow="0" w:firstColumn="1" w:lastColumn="0" w:noHBand="0" w:noVBand="1"/>
      </w:tblPr>
      <w:tblGrid>
        <w:gridCol w:w="1219"/>
        <w:gridCol w:w="554"/>
        <w:gridCol w:w="1212"/>
        <w:gridCol w:w="1016"/>
        <w:gridCol w:w="1149"/>
        <w:gridCol w:w="803"/>
        <w:gridCol w:w="279"/>
        <w:gridCol w:w="865"/>
        <w:gridCol w:w="865"/>
        <w:gridCol w:w="266"/>
        <w:gridCol w:w="928"/>
        <w:gridCol w:w="830"/>
        <w:gridCol w:w="918"/>
        <w:gridCol w:w="774"/>
      </w:tblGrid>
      <w:tr w:rsidR="00044E2E" w:rsidRPr="00044E2E" w14:paraId="51C31DFE" w14:textId="77777777" w:rsidTr="00FC3253">
        <w:trPr>
          <w:trHeight w:val="280"/>
        </w:trPr>
        <w:tc>
          <w:tcPr>
            <w:tcW w:w="1219" w:type="dxa"/>
            <w:vMerge w:val="restart"/>
            <w:noWrap/>
            <w:vAlign w:val="center"/>
            <w:hideMark/>
          </w:tcPr>
          <w:p w14:paraId="7D13163A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Author</w:t>
            </w:r>
          </w:p>
        </w:tc>
        <w:tc>
          <w:tcPr>
            <w:tcW w:w="554" w:type="dxa"/>
            <w:vMerge w:val="restart"/>
            <w:noWrap/>
            <w:vAlign w:val="center"/>
            <w:hideMark/>
          </w:tcPr>
          <w:p w14:paraId="6048A501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4180" w:type="dxa"/>
            <w:gridSpan w:val="4"/>
            <w:noWrap/>
            <w:vAlign w:val="center"/>
            <w:hideMark/>
          </w:tcPr>
          <w:p w14:paraId="5DEF13F8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Selection</w:t>
            </w:r>
          </w:p>
        </w:tc>
        <w:tc>
          <w:tcPr>
            <w:tcW w:w="279" w:type="dxa"/>
            <w:noWrap/>
            <w:vAlign w:val="center"/>
            <w:hideMark/>
          </w:tcPr>
          <w:p w14:paraId="37DDED8E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30" w:type="dxa"/>
            <w:gridSpan w:val="2"/>
            <w:noWrap/>
            <w:vAlign w:val="center"/>
            <w:hideMark/>
          </w:tcPr>
          <w:p w14:paraId="57EF3FF8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Comparability</w:t>
            </w:r>
          </w:p>
        </w:tc>
        <w:tc>
          <w:tcPr>
            <w:tcW w:w="266" w:type="dxa"/>
            <w:noWrap/>
            <w:vAlign w:val="center"/>
            <w:hideMark/>
          </w:tcPr>
          <w:p w14:paraId="1075EFB4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76" w:type="dxa"/>
            <w:gridSpan w:val="3"/>
            <w:noWrap/>
            <w:vAlign w:val="center"/>
            <w:hideMark/>
          </w:tcPr>
          <w:p w14:paraId="1779815E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774" w:type="dxa"/>
            <w:vMerge w:val="restart"/>
            <w:noWrap/>
            <w:vAlign w:val="center"/>
            <w:hideMark/>
          </w:tcPr>
          <w:p w14:paraId="2B64B6BC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044E2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Total Score</w:t>
            </w:r>
          </w:p>
        </w:tc>
      </w:tr>
      <w:tr w:rsidR="00044E2E" w:rsidRPr="00044E2E" w14:paraId="2FDD9973" w14:textId="77777777" w:rsidTr="00FC3253">
        <w:trPr>
          <w:trHeight w:val="280"/>
        </w:trPr>
        <w:tc>
          <w:tcPr>
            <w:tcW w:w="1219" w:type="dxa"/>
            <w:vMerge/>
            <w:hideMark/>
          </w:tcPr>
          <w:p w14:paraId="45626EFE" w14:textId="77777777" w:rsidR="00044E2E" w:rsidRPr="00044E2E" w:rsidRDefault="00044E2E" w:rsidP="00044E2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54" w:type="dxa"/>
            <w:vMerge/>
            <w:hideMark/>
          </w:tcPr>
          <w:p w14:paraId="6C48D851" w14:textId="77777777" w:rsidR="00044E2E" w:rsidRPr="00044E2E" w:rsidRDefault="00044E2E" w:rsidP="00044E2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1212" w:type="dxa"/>
            <w:noWrap/>
            <w:hideMark/>
          </w:tcPr>
          <w:p w14:paraId="419F97A8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16" w:type="dxa"/>
            <w:noWrap/>
            <w:hideMark/>
          </w:tcPr>
          <w:p w14:paraId="2289E82B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49" w:type="dxa"/>
            <w:noWrap/>
            <w:hideMark/>
          </w:tcPr>
          <w:p w14:paraId="1F9C6ED3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03" w:type="dxa"/>
            <w:noWrap/>
            <w:hideMark/>
          </w:tcPr>
          <w:p w14:paraId="4F5446C7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79" w:type="dxa"/>
            <w:noWrap/>
            <w:hideMark/>
          </w:tcPr>
          <w:p w14:paraId="6F2C2DFC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noWrap/>
            <w:hideMark/>
          </w:tcPr>
          <w:p w14:paraId="0CED19C1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5A</w:t>
            </w:r>
          </w:p>
        </w:tc>
        <w:tc>
          <w:tcPr>
            <w:tcW w:w="865" w:type="dxa"/>
            <w:noWrap/>
            <w:hideMark/>
          </w:tcPr>
          <w:p w14:paraId="7F01C8AB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5B</w:t>
            </w:r>
          </w:p>
        </w:tc>
        <w:tc>
          <w:tcPr>
            <w:tcW w:w="266" w:type="dxa"/>
            <w:noWrap/>
            <w:hideMark/>
          </w:tcPr>
          <w:p w14:paraId="027C33DF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  <w:noWrap/>
            <w:hideMark/>
          </w:tcPr>
          <w:p w14:paraId="71DEAD47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30" w:type="dxa"/>
            <w:noWrap/>
            <w:hideMark/>
          </w:tcPr>
          <w:p w14:paraId="06AA70A3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18" w:type="dxa"/>
            <w:noWrap/>
            <w:hideMark/>
          </w:tcPr>
          <w:p w14:paraId="53AFE0B9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74" w:type="dxa"/>
            <w:vMerge/>
            <w:hideMark/>
          </w:tcPr>
          <w:p w14:paraId="1D4D0C4D" w14:textId="77777777" w:rsidR="00044E2E" w:rsidRPr="00044E2E" w:rsidRDefault="00044E2E" w:rsidP="00044E2E">
            <w:pPr>
              <w:rPr>
                <w:rFonts w:ascii="Calibri" w:eastAsia="Calibri" w:hAnsi="Calibri" w:cs="Times New Roman"/>
              </w:rPr>
            </w:pPr>
          </w:p>
        </w:tc>
      </w:tr>
      <w:tr w:rsidR="00044E2E" w:rsidRPr="00044E2E" w14:paraId="0BDEC0A4" w14:textId="77777777" w:rsidTr="00FC3253">
        <w:trPr>
          <w:trHeight w:val="280"/>
        </w:trPr>
        <w:tc>
          <w:tcPr>
            <w:tcW w:w="1219" w:type="dxa"/>
            <w:vMerge/>
            <w:hideMark/>
          </w:tcPr>
          <w:p w14:paraId="6354A273" w14:textId="77777777" w:rsidR="00044E2E" w:rsidRPr="00044E2E" w:rsidRDefault="00044E2E" w:rsidP="00044E2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54" w:type="dxa"/>
            <w:vMerge/>
            <w:hideMark/>
          </w:tcPr>
          <w:p w14:paraId="40E8EF2B" w14:textId="77777777" w:rsidR="00044E2E" w:rsidRPr="00044E2E" w:rsidRDefault="00044E2E" w:rsidP="00044E2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1212" w:type="dxa"/>
            <w:noWrap/>
            <w:hideMark/>
          </w:tcPr>
          <w:p w14:paraId="432C12D9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Exposed cohort truly/somewhat representative</w:t>
            </w:r>
          </w:p>
        </w:tc>
        <w:tc>
          <w:tcPr>
            <w:tcW w:w="1016" w:type="dxa"/>
            <w:noWrap/>
            <w:hideMark/>
          </w:tcPr>
          <w:p w14:paraId="0CDBDA97" w14:textId="77777777" w:rsidR="00044E2E" w:rsidRPr="00044E2E" w:rsidRDefault="00044E2E" w:rsidP="00044E2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Nonexposed cohort drawn from the same community</w:t>
            </w:r>
          </w:p>
        </w:tc>
        <w:tc>
          <w:tcPr>
            <w:tcW w:w="1149" w:type="dxa"/>
            <w:noWrap/>
            <w:hideMark/>
          </w:tcPr>
          <w:p w14:paraId="695D7878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Ascertainment of exposure</w:t>
            </w:r>
          </w:p>
        </w:tc>
        <w:tc>
          <w:tcPr>
            <w:tcW w:w="803" w:type="dxa"/>
            <w:noWrap/>
            <w:hideMark/>
          </w:tcPr>
          <w:p w14:paraId="41E3747A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Outcome of interest </w:t>
            </w:r>
            <w:proofErr w:type="gramStart"/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not present</w:t>
            </w:r>
            <w:proofErr w:type="gramEnd"/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at start</w:t>
            </w:r>
          </w:p>
        </w:tc>
        <w:tc>
          <w:tcPr>
            <w:tcW w:w="279" w:type="dxa"/>
            <w:noWrap/>
            <w:hideMark/>
          </w:tcPr>
          <w:p w14:paraId="4DF840D7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noWrap/>
            <w:hideMark/>
          </w:tcPr>
          <w:p w14:paraId="47DC4DC0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Cohorts adjusted for age</w:t>
            </w:r>
          </w:p>
        </w:tc>
        <w:tc>
          <w:tcPr>
            <w:tcW w:w="865" w:type="dxa"/>
            <w:noWrap/>
            <w:hideMark/>
          </w:tcPr>
          <w:p w14:paraId="699F89D3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Cohorts adjusted for other important factor(s)</w:t>
            </w:r>
          </w:p>
        </w:tc>
        <w:tc>
          <w:tcPr>
            <w:tcW w:w="266" w:type="dxa"/>
            <w:noWrap/>
            <w:hideMark/>
          </w:tcPr>
          <w:p w14:paraId="28776402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  <w:noWrap/>
            <w:hideMark/>
          </w:tcPr>
          <w:p w14:paraId="074459FA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Quality of outcome assessment</w:t>
            </w:r>
          </w:p>
        </w:tc>
        <w:tc>
          <w:tcPr>
            <w:tcW w:w="830" w:type="dxa"/>
            <w:noWrap/>
            <w:hideMark/>
          </w:tcPr>
          <w:p w14:paraId="643C769A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Follow-up long enough for outcomes to occur</w:t>
            </w:r>
          </w:p>
        </w:tc>
        <w:tc>
          <w:tcPr>
            <w:tcW w:w="918" w:type="dxa"/>
            <w:noWrap/>
            <w:hideMark/>
          </w:tcPr>
          <w:p w14:paraId="7E9EE748" w14:textId="77777777" w:rsidR="00044E2E" w:rsidRPr="00044E2E" w:rsidRDefault="00044E2E" w:rsidP="00044E2E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44E2E">
              <w:rPr>
                <w:rFonts w:ascii="Times New Roman" w:eastAsia="Calibri" w:hAnsi="Times New Roman" w:cs="Times New Roman"/>
                <w:sz w:val="16"/>
                <w:szCs w:val="16"/>
              </w:rPr>
              <w:t>Adequacy of follow-up of cohorts</w:t>
            </w:r>
          </w:p>
        </w:tc>
        <w:tc>
          <w:tcPr>
            <w:tcW w:w="774" w:type="dxa"/>
            <w:vMerge/>
            <w:hideMark/>
          </w:tcPr>
          <w:p w14:paraId="311BA03B" w14:textId="77777777" w:rsidR="00044E2E" w:rsidRPr="00044E2E" w:rsidRDefault="00044E2E" w:rsidP="00044E2E">
            <w:pPr>
              <w:rPr>
                <w:rFonts w:ascii="Calibri" w:eastAsia="Calibri" w:hAnsi="Calibri" w:cs="Times New Roman"/>
              </w:rPr>
            </w:pPr>
          </w:p>
        </w:tc>
      </w:tr>
      <w:tr w:rsidR="00FC3253" w:rsidRPr="00044E2E" w14:paraId="43017B7A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0871B71C" w14:textId="0FE479AD" w:rsidR="00FC3253" w:rsidRPr="00FC3253" w:rsidRDefault="00FC3253" w:rsidP="00FC3253">
            <w:pPr>
              <w:rPr>
                <w:rFonts w:ascii="Times New Roman" w:eastAsia="Calibri" w:hAnsi="Times New Roman" w:cs="Times New Roman"/>
              </w:rPr>
            </w:pPr>
            <w:r w:rsidRPr="00FC3253">
              <w:rPr>
                <w:rFonts w:ascii="Times New Roman" w:eastAsia="Calibri" w:hAnsi="Times New Roman" w:cs="Times New Roman"/>
              </w:rPr>
              <w:t>Feng et al</w:t>
            </w:r>
          </w:p>
        </w:tc>
        <w:tc>
          <w:tcPr>
            <w:tcW w:w="554" w:type="dxa"/>
            <w:noWrap/>
            <w:vAlign w:val="center"/>
          </w:tcPr>
          <w:p w14:paraId="0D8A7508" w14:textId="08FDBC34" w:rsidR="00FC3253" w:rsidRPr="00044E2E" w:rsidRDefault="00FC3253" w:rsidP="00FC325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13B86ECE" w14:textId="60CB25DF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257F7F79" w14:textId="40DBC5E6" w:rsidR="00FC3253" w:rsidRPr="00044E2E" w:rsidRDefault="00AB2E4A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274A05FF" w14:textId="71ED2F70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5DD4D496" w14:textId="053A6B53" w:rsidR="00FC3253" w:rsidRPr="00044E2E" w:rsidRDefault="00AB2E4A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48EC6D3C" w14:textId="77777777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31278278" w14:textId="1E46BBE0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53C5101B" w14:textId="1AA2332E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4A07C5D5" w14:textId="77777777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273D570B" w14:textId="5BCEF554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77411297" w14:textId="2DA6898F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167323A5" w14:textId="68F7F7F5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5A2B1CEC" w14:textId="781D3974" w:rsidR="00FC3253" w:rsidRPr="00044E2E" w:rsidRDefault="00AB2E4A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FC3253" w:rsidRPr="00044E2E" w14:paraId="2BEACB40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52688759" w14:textId="7DA72286" w:rsidR="00FC3253" w:rsidRDefault="00FC3253" w:rsidP="00FC32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 et al</w:t>
            </w:r>
          </w:p>
        </w:tc>
        <w:tc>
          <w:tcPr>
            <w:tcW w:w="554" w:type="dxa"/>
            <w:noWrap/>
            <w:vAlign w:val="center"/>
          </w:tcPr>
          <w:p w14:paraId="0F1D3D46" w14:textId="4EAAD215" w:rsidR="00FC3253" w:rsidRPr="00044E2E" w:rsidRDefault="00FC3253" w:rsidP="00FC325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6FC45508" w14:textId="5BB9766B" w:rsidR="00FC3253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59FF135C" w14:textId="4A43D402" w:rsidR="00FC3253" w:rsidRDefault="00AB2E4A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29968937" w14:textId="3CAB0CB9" w:rsidR="00FC3253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0F1ABFD3" w14:textId="316A8A79" w:rsidR="00FC3253" w:rsidRDefault="00AB2E4A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103DC803" w14:textId="77777777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2D2EE412" w14:textId="6AD9BD08" w:rsidR="00FC3253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7AF05D3A" w14:textId="3E35C75B" w:rsidR="00FC3253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72358057" w14:textId="77777777" w:rsidR="00FC3253" w:rsidRPr="00044E2E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098976A1" w14:textId="1E995D8C" w:rsidR="00FC3253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7998BD0D" w14:textId="7CA684D2" w:rsidR="00FC3253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73998F42" w14:textId="1B426FA4" w:rsidR="00FC3253" w:rsidRDefault="00FC3253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6519DAC6" w14:textId="5DED7CC9" w:rsidR="00FC3253" w:rsidRDefault="00AB2E4A" w:rsidP="00FC325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AB2E4A" w:rsidRPr="00044E2E" w14:paraId="4DB861A3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15395476" w14:textId="17E56DAA" w:rsidR="00AB2E4A" w:rsidRDefault="00AB2E4A" w:rsidP="00AB2E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Mehra et al</w:t>
            </w:r>
          </w:p>
        </w:tc>
        <w:tc>
          <w:tcPr>
            <w:tcW w:w="554" w:type="dxa"/>
            <w:noWrap/>
            <w:vAlign w:val="center"/>
          </w:tcPr>
          <w:p w14:paraId="5369F8C6" w14:textId="19E4D8BF" w:rsidR="00AB2E4A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2379AFD4" w14:textId="28B44189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0E5B2113" w14:textId="27292732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59108D33" w14:textId="7017FBE8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6B05B950" w14:textId="3A0E709F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55A31F75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6DFAACD5" w14:textId="3D96DB7C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65" w:type="dxa"/>
            <w:noWrap/>
            <w:vAlign w:val="center"/>
          </w:tcPr>
          <w:p w14:paraId="44C565B5" w14:textId="5F6F00F5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66" w:type="dxa"/>
            <w:noWrap/>
            <w:vAlign w:val="center"/>
          </w:tcPr>
          <w:p w14:paraId="63DBB42F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7E9C4A55" w14:textId="6327E16D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4CDCA839" w14:textId="0BFFED0A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482E6A99" w14:textId="74355552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37BC4BE5" w14:textId="2E6268A5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</w:tr>
      <w:tr w:rsidR="00AB2E4A" w:rsidRPr="00044E2E" w14:paraId="607CC56E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2AEAC6D2" w14:textId="7B36BABF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Mehta et al</w:t>
            </w:r>
          </w:p>
        </w:tc>
        <w:tc>
          <w:tcPr>
            <w:tcW w:w="554" w:type="dxa"/>
            <w:noWrap/>
            <w:vAlign w:val="center"/>
          </w:tcPr>
          <w:p w14:paraId="0BDA356B" w14:textId="2EE84DB9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4D3FF627" w14:textId="022B4D2E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29D31D6C" w14:textId="523CA0FF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231C7740" w14:textId="1D7739BE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1617A2E0" w14:textId="7AD923F3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23D02FF0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04CBC563" w14:textId="273E73C4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1860071D" w14:textId="21EBDCC1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36FD9417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392704CE" w14:textId="45499310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28F0337F" w14:textId="1BD149A2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21F44EC1" w14:textId="47028625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347DFDC2" w14:textId="3319724F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AB2E4A" w:rsidRPr="00044E2E" w14:paraId="5A445397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2DAEF184" w14:textId="14B79012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Meng et al</w:t>
            </w:r>
          </w:p>
        </w:tc>
        <w:tc>
          <w:tcPr>
            <w:tcW w:w="554" w:type="dxa"/>
            <w:noWrap/>
            <w:vAlign w:val="center"/>
          </w:tcPr>
          <w:p w14:paraId="2B7425A7" w14:textId="2CDB4D81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21D54333" w14:textId="67C15BD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0D7FB29A" w14:textId="7FED2D01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76F384D3" w14:textId="01EEE34D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773B8C68" w14:textId="724317FD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4286786D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3BC6D72C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56398A33" w14:textId="6AE6ED38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7877B0D9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22C86B5F" w14:textId="329BB0D8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7DCBDCC5" w14:textId="42948185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10E179CA" w14:textId="12AC9364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3509F68D" w14:textId="70B834F1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AB2E4A" w:rsidRPr="00044E2E" w14:paraId="694B9F65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0A47B5EE" w14:textId="43F3CE1B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Reynolds et al</w:t>
            </w:r>
          </w:p>
        </w:tc>
        <w:tc>
          <w:tcPr>
            <w:tcW w:w="554" w:type="dxa"/>
            <w:noWrap/>
            <w:vAlign w:val="center"/>
          </w:tcPr>
          <w:p w14:paraId="7C1B186A" w14:textId="2B600300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36849A1D" w14:textId="522D9CAF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18190AE7" w14:textId="3AE0CC3A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13C3F485" w14:textId="4492BA11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5F88596C" w14:textId="051D530B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0CDB6C8A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58DF979D" w14:textId="13B20182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14C845B1" w14:textId="280CF223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6226611A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75681F6C" w14:textId="19DC14C1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368A718A" w14:textId="7A3A3B74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783285FC" w14:textId="2707C97A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454AFFFE" w14:textId="4BA1BB9A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AB2E4A" w:rsidRPr="00044E2E" w14:paraId="4ACCDB81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14E7270C" w14:textId="5E37309B" w:rsidR="00AB2E4A" w:rsidRDefault="00AB2E4A" w:rsidP="00AB2E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Richardson et al</w:t>
            </w:r>
          </w:p>
        </w:tc>
        <w:tc>
          <w:tcPr>
            <w:tcW w:w="554" w:type="dxa"/>
            <w:noWrap/>
            <w:vAlign w:val="center"/>
          </w:tcPr>
          <w:p w14:paraId="02D1C537" w14:textId="612C7444" w:rsidR="00AB2E4A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448777E4" w14:textId="31C9366E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1C0F466A" w14:textId="0F39DC5A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110D2029" w14:textId="39C719A0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3F977B98" w14:textId="262EDA0E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316D40A0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4754FBC3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224B462D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3CCFFA20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11BB65EF" w14:textId="6E701723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5D42402A" w14:textId="5D348190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51A469E4" w14:textId="425B6839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2B7F397B" w14:textId="77393982" w:rsidR="00AB2E4A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AB2E4A" w:rsidRPr="00044E2E" w14:paraId="23807021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152EC3A8" w14:textId="7164D2B1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Tao et al</w:t>
            </w:r>
          </w:p>
        </w:tc>
        <w:tc>
          <w:tcPr>
            <w:tcW w:w="554" w:type="dxa"/>
            <w:noWrap/>
            <w:vAlign w:val="center"/>
          </w:tcPr>
          <w:p w14:paraId="3E14AEF7" w14:textId="6205BB70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3A8916A4" w14:textId="5F5C913F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38367469" w14:textId="7D3D11F2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1C1CAA07" w14:textId="4BF907C0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12B385C5" w14:textId="65D3E966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0C1F8507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303F0256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7C4957D5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24BB883B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49661108" w14:textId="2B14F220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6BA83253" w14:textId="0ED1D91D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2E9F92DD" w14:textId="2382F0D3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3AD1F3BD" w14:textId="6335BBAF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AB2E4A" w:rsidRPr="00044E2E" w14:paraId="04EAAD3C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115A6CFF" w14:textId="28E76C88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Yang et al </w:t>
            </w:r>
          </w:p>
        </w:tc>
        <w:tc>
          <w:tcPr>
            <w:tcW w:w="554" w:type="dxa"/>
            <w:noWrap/>
            <w:vAlign w:val="center"/>
          </w:tcPr>
          <w:p w14:paraId="55141F4B" w14:textId="032047CC" w:rsidR="00AB2E4A" w:rsidRPr="00044E2E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000163FB" w14:textId="3B4C0AB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50653E98" w14:textId="6F43D369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571F1FB7" w14:textId="2BAB3EF9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601096A8" w14:textId="1F6E0E41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77708970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335588CC" w14:textId="70D78ECE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736DBE5E" w14:textId="6D910E1E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6" w:type="dxa"/>
            <w:noWrap/>
            <w:vAlign w:val="center"/>
          </w:tcPr>
          <w:p w14:paraId="542D0832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5EA03D4E" w14:textId="5D999070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445CBCB1" w14:textId="715D8679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34BFA699" w14:textId="2BFCB629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3766FC52" w14:textId="29880ED4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AB2E4A" w:rsidRPr="00044E2E" w14:paraId="1EE79A12" w14:textId="77777777" w:rsidTr="00FC3253">
        <w:trPr>
          <w:trHeight w:val="280"/>
        </w:trPr>
        <w:tc>
          <w:tcPr>
            <w:tcW w:w="1219" w:type="dxa"/>
            <w:noWrap/>
            <w:vAlign w:val="center"/>
          </w:tcPr>
          <w:p w14:paraId="4B566F57" w14:textId="611EB078" w:rsidR="00AB2E4A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>Zhang et al</w:t>
            </w:r>
          </w:p>
        </w:tc>
        <w:tc>
          <w:tcPr>
            <w:tcW w:w="554" w:type="dxa"/>
            <w:noWrap/>
            <w:vAlign w:val="center"/>
          </w:tcPr>
          <w:p w14:paraId="4DFA42F5" w14:textId="723C773F" w:rsidR="00AB2E4A" w:rsidRDefault="00AB2E4A" w:rsidP="00AB2E4A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212" w:type="dxa"/>
            <w:noWrap/>
            <w:vAlign w:val="center"/>
          </w:tcPr>
          <w:p w14:paraId="14E78F7E" w14:textId="1812678C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016" w:type="dxa"/>
            <w:noWrap/>
            <w:vAlign w:val="center"/>
          </w:tcPr>
          <w:p w14:paraId="12788A20" w14:textId="151B17D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9" w:type="dxa"/>
            <w:noWrap/>
            <w:vAlign w:val="center"/>
          </w:tcPr>
          <w:p w14:paraId="3557ADB1" w14:textId="639B9159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03" w:type="dxa"/>
            <w:noWrap/>
            <w:vAlign w:val="center"/>
          </w:tcPr>
          <w:p w14:paraId="7FAF1E63" w14:textId="10553F50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79" w:type="dxa"/>
            <w:noWrap/>
            <w:vAlign w:val="center"/>
          </w:tcPr>
          <w:p w14:paraId="7C2DB9EA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center"/>
          </w:tcPr>
          <w:p w14:paraId="01425340" w14:textId="63AD97B5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65" w:type="dxa"/>
            <w:noWrap/>
            <w:vAlign w:val="center"/>
          </w:tcPr>
          <w:p w14:paraId="688080DC" w14:textId="4D27929D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66" w:type="dxa"/>
            <w:noWrap/>
            <w:vAlign w:val="center"/>
          </w:tcPr>
          <w:p w14:paraId="24DC641F" w14:textId="77777777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28" w:type="dxa"/>
            <w:noWrap/>
            <w:vAlign w:val="center"/>
          </w:tcPr>
          <w:p w14:paraId="35F9C34B" w14:textId="6746F838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0" w:type="dxa"/>
            <w:noWrap/>
            <w:vAlign w:val="center"/>
          </w:tcPr>
          <w:p w14:paraId="49C5D968" w14:textId="4E3627DE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918" w:type="dxa"/>
            <w:noWrap/>
            <w:vAlign w:val="center"/>
          </w:tcPr>
          <w:p w14:paraId="4632375C" w14:textId="0EA46088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74" w:type="dxa"/>
            <w:noWrap/>
            <w:vAlign w:val="center"/>
          </w:tcPr>
          <w:p w14:paraId="0F829054" w14:textId="7D23545A" w:rsidR="00AB2E4A" w:rsidRPr="00044E2E" w:rsidRDefault="00AB2E4A" w:rsidP="00AB2E4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</w:tr>
    </w:tbl>
    <w:p w14:paraId="6CCC11AE" w14:textId="6AB10457" w:rsidR="00D74A49" w:rsidRPr="00044E2E" w:rsidRDefault="00D74A49" w:rsidP="00D74A49">
      <w:pPr>
        <w:spacing w:after="160" w:line="259" w:lineRule="auto"/>
        <w:rPr>
          <w:rFonts w:ascii="Times New Roman" w:eastAsia="Calibri" w:hAnsi="Times New Roman" w:cs="Times New Roman"/>
          <w:sz w:val="16"/>
          <w:szCs w:val="16"/>
        </w:rPr>
      </w:pPr>
      <w:bookmarkStart w:id="0" w:name="_Hlk35441481"/>
      <w:r w:rsidRPr="00044E2E">
        <w:rPr>
          <w:rFonts w:ascii="Times New Roman" w:eastAsia="Calibri" w:hAnsi="Times New Roman" w:cs="Times New Roman"/>
          <w:sz w:val="16"/>
          <w:szCs w:val="16"/>
        </w:rPr>
        <w:t>NOS</w:t>
      </w:r>
      <w:r>
        <w:rPr>
          <w:rFonts w:ascii="Times New Roman" w:eastAsia="Calibri" w:hAnsi="Times New Roman" w:cs="Times New Roman"/>
          <w:sz w:val="16"/>
          <w:szCs w:val="16"/>
        </w:rPr>
        <w:t>=Newcastle Otawa Scale;</w:t>
      </w:r>
      <w:r w:rsidRPr="00044E2E">
        <w:rPr>
          <w:rFonts w:ascii="Times New Roman" w:eastAsia="Calibri" w:hAnsi="Times New Roman" w:cs="Times New Roman"/>
          <w:sz w:val="16"/>
          <w:szCs w:val="16"/>
        </w:rPr>
        <w:t xml:space="preserve"> </w:t>
      </w:r>
      <w:r>
        <w:rPr>
          <w:rFonts w:ascii="Times New Roman" w:eastAsia="Calibri" w:hAnsi="Times New Roman" w:cs="Times New Roman"/>
          <w:sz w:val="16"/>
          <w:szCs w:val="16"/>
        </w:rPr>
        <w:t xml:space="preserve">in this scale </w:t>
      </w:r>
      <w:bookmarkEnd w:id="0"/>
      <w:r w:rsidRPr="00044E2E">
        <w:rPr>
          <w:rFonts w:ascii="Times New Roman" w:eastAsia="Calibri" w:hAnsi="Times New Roman" w:cs="Times New Roman"/>
          <w:sz w:val="16"/>
          <w:szCs w:val="16"/>
        </w:rPr>
        <w:t>score ranges between 0-9 where “0-3” indicates low quality, “4-5” indicates moderate quality and score of ≥6 indicates high quality study</w:t>
      </w:r>
    </w:p>
    <w:p w14:paraId="15D9B1DE" w14:textId="77777777" w:rsidR="00A72B4E" w:rsidRDefault="00A72B4E" w:rsidP="00A72B4E">
      <w:pPr>
        <w:spacing w:after="160" w:line="259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sectPr w:rsidR="00A72B4E" w:rsidSect="009928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38D"/>
    <w:rsid w:val="000301DD"/>
    <w:rsid w:val="00041D3E"/>
    <w:rsid w:val="00044E2E"/>
    <w:rsid w:val="0004640A"/>
    <w:rsid w:val="000B0CB0"/>
    <w:rsid w:val="000B4971"/>
    <w:rsid w:val="00103D3C"/>
    <w:rsid w:val="00144410"/>
    <w:rsid w:val="00166AAD"/>
    <w:rsid w:val="00197805"/>
    <w:rsid w:val="001C0835"/>
    <w:rsid w:val="001F7B01"/>
    <w:rsid w:val="0021030B"/>
    <w:rsid w:val="00255D75"/>
    <w:rsid w:val="002D2801"/>
    <w:rsid w:val="002E77AC"/>
    <w:rsid w:val="00300D4F"/>
    <w:rsid w:val="00346FE3"/>
    <w:rsid w:val="0035210F"/>
    <w:rsid w:val="003844F2"/>
    <w:rsid w:val="003B4907"/>
    <w:rsid w:val="003E63F1"/>
    <w:rsid w:val="003F13A7"/>
    <w:rsid w:val="00437D55"/>
    <w:rsid w:val="00450E8E"/>
    <w:rsid w:val="00490550"/>
    <w:rsid w:val="004A1771"/>
    <w:rsid w:val="004D5576"/>
    <w:rsid w:val="00593798"/>
    <w:rsid w:val="005942FD"/>
    <w:rsid w:val="00594BAE"/>
    <w:rsid w:val="005B3D28"/>
    <w:rsid w:val="005B5114"/>
    <w:rsid w:val="005D1E11"/>
    <w:rsid w:val="005D4603"/>
    <w:rsid w:val="005D59EF"/>
    <w:rsid w:val="00691D02"/>
    <w:rsid w:val="006E2891"/>
    <w:rsid w:val="00711294"/>
    <w:rsid w:val="00723701"/>
    <w:rsid w:val="0074257D"/>
    <w:rsid w:val="00743469"/>
    <w:rsid w:val="00754C4E"/>
    <w:rsid w:val="00765266"/>
    <w:rsid w:val="00773215"/>
    <w:rsid w:val="007A664A"/>
    <w:rsid w:val="007C2309"/>
    <w:rsid w:val="007D3490"/>
    <w:rsid w:val="007E3ECC"/>
    <w:rsid w:val="007E705B"/>
    <w:rsid w:val="0087447B"/>
    <w:rsid w:val="008B1327"/>
    <w:rsid w:val="008D252B"/>
    <w:rsid w:val="008E61C6"/>
    <w:rsid w:val="00950F88"/>
    <w:rsid w:val="0098043F"/>
    <w:rsid w:val="00980791"/>
    <w:rsid w:val="00987D43"/>
    <w:rsid w:val="0099281A"/>
    <w:rsid w:val="00A41196"/>
    <w:rsid w:val="00A63A60"/>
    <w:rsid w:val="00A72B4E"/>
    <w:rsid w:val="00AA2BB8"/>
    <w:rsid w:val="00AB2E4A"/>
    <w:rsid w:val="00AD1C5D"/>
    <w:rsid w:val="00AD25F2"/>
    <w:rsid w:val="00B009B1"/>
    <w:rsid w:val="00C045A2"/>
    <w:rsid w:val="00C07F55"/>
    <w:rsid w:val="00C17347"/>
    <w:rsid w:val="00C46D74"/>
    <w:rsid w:val="00D36C7F"/>
    <w:rsid w:val="00D74A49"/>
    <w:rsid w:val="00D97E2D"/>
    <w:rsid w:val="00DD437F"/>
    <w:rsid w:val="00E05952"/>
    <w:rsid w:val="00E30A3C"/>
    <w:rsid w:val="00E67C9C"/>
    <w:rsid w:val="00E7238D"/>
    <w:rsid w:val="00EB06B8"/>
    <w:rsid w:val="00EC421B"/>
    <w:rsid w:val="00F24584"/>
    <w:rsid w:val="00F62ABC"/>
    <w:rsid w:val="00F74C9C"/>
    <w:rsid w:val="00F83B28"/>
    <w:rsid w:val="00FC3253"/>
    <w:rsid w:val="00FF0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747FA"/>
  <w15:docId w15:val="{9931EC34-D1B6-4DFF-BCF2-5DAD186E4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Mohitosh Biswas</dc:creator>
  <cp:lastModifiedBy>Mohitosh Biswas</cp:lastModifiedBy>
  <cp:revision>18</cp:revision>
  <dcterms:created xsi:type="dcterms:W3CDTF">2020-03-18T05:49:00Z</dcterms:created>
  <dcterms:modified xsi:type="dcterms:W3CDTF">2020-06-16T08:11:00Z</dcterms:modified>
</cp:coreProperties>
</file>