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651" w:rsidRPr="00CC1651" w:rsidRDefault="00CC1651" w:rsidP="00CC1651">
      <w:pPr>
        <w:autoSpaceDE w:val="0"/>
        <w:autoSpaceDN w:val="0"/>
        <w:adjustRightInd w:val="0"/>
        <w:spacing w:after="0" w:line="360" w:lineRule="auto"/>
        <w:ind w:firstLine="720"/>
        <w:jc w:val="center"/>
        <w:rPr>
          <w:rFonts w:ascii="Times New Roman" w:hAnsi="Times New Roman" w:cs="Times New Roman"/>
          <w:b/>
          <w:bCs/>
          <w:sz w:val="24"/>
          <w:szCs w:val="24"/>
        </w:rPr>
      </w:pPr>
      <w:r w:rsidRPr="00CC1651">
        <w:rPr>
          <w:rFonts w:ascii="Times New Roman" w:hAnsi="Times New Roman" w:cs="Times New Roman"/>
          <w:b/>
          <w:bCs/>
          <w:sz w:val="24"/>
          <w:szCs w:val="24"/>
        </w:rPr>
        <w:t>Appendix</w:t>
      </w:r>
    </w:p>
    <w:p w:rsidR="00CC1651" w:rsidRPr="00CC1651" w:rsidRDefault="00CC1651" w:rsidP="00CC1651">
      <w:pPr>
        <w:autoSpaceDE w:val="0"/>
        <w:autoSpaceDN w:val="0"/>
        <w:adjustRightInd w:val="0"/>
        <w:spacing w:after="0" w:line="360" w:lineRule="auto"/>
        <w:ind w:firstLine="720"/>
        <w:jc w:val="center"/>
        <w:rPr>
          <w:rFonts w:ascii="Times New Roman" w:hAnsi="Times New Roman" w:cs="Times New Roman"/>
          <w:b/>
          <w:bCs/>
          <w:sz w:val="24"/>
          <w:szCs w:val="24"/>
        </w:rPr>
      </w:pPr>
      <w:r w:rsidRPr="00CC1651">
        <w:rPr>
          <w:rFonts w:ascii="Times New Roman" w:hAnsi="Times New Roman" w:cs="Times New Roman"/>
          <w:b/>
          <w:bCs/>
          <w:sz w:val="24"/>
          <w:szCs w:val="24"/>
        </w:rPr>
        <w:t>Supplementary File</w:t>
      </w:r>
    </w:p>
    <w:p w:rsidR="00CC1651" w:rsidRPr="00CC1651" w:rsidRDefault="00CC1651" w:rsidP="00CC1651">
      <w:pPr>
        <w:tabs>
          <w:tab w:val="left" w:pos="3060"/>
        </w:tabs>
        <w:spacing w:after="0" w:line="360" w:lineRule="auto"/>
        <w:jc w:val="both"/>
        <w:rPr>
          <w:rFonts w:ascii="Times New Roman" w:hAnsi="Times New Roman" w:cs="Times New Roman"/>
          <w:sz w:val="24"/>
          <w:szCs w:val="24"/>
          <w:lang w:val="pt-BR"/>
        </w:rPr>
      </w:pPr>
    </w:p>
    <w:p w:rsidR="00CC1651" w:rsidRPr="00CC1651" w:rsidRDefault="00CC1651" w:rsidP="00CC1651">
      <w:pPr>
        <w:tabs>
          <w:tab w:val="left" w:pos="3060"/>
        </w:tabs>
        <w:spacing w:after="0" w:line="360" w:lineRule="auto"/>
        <w:jc w:val="both"/>
        <w:rPr>
          <w:rFonts w:ascii="Times New Roman" w:hAnsi="Times New Roman" w:cs="Times New Roman"/>
          <w:sz w:val="24"/>
          <w:szCs w:val="24"/>
          <w:lang w:val="pt-BR"/>
        </w:rPr>
      </w:pPr>
      <w:r w:rsidRPr="00CC1651">
        <w:rPr>
          <w:rFonts w:ascii="Times New Roman" w:hAnsi="Times New Roman" w:cs="Times New Roman"/>
          <w:sz w:val="24"/>
          <w:szCs w:val="24"/>
          <w:lang w:val="pt-BR"/>
        </w:rPr>
        <w:t xml:space="preserve">Density Functional Theory (DFT) </w:t>
      </w:r>
    </w:p>
    <w:p w:rsidR="00CC1651" w:rsidRPr="00CC1651" w:rsidRDefault="00CC1651" w:rsidP="00CC1651">
      <w:pPr>
        <w:spacing w:after="0" w:line="360" w:lineRule="auto"/>
        <w:jc w:val="both"/>
        <w:rPr>
          <w:rFonts w:ascii="Times New Roman" w:hAnsi="Times New Roman" w:cs="Times New Roman"/>
          <w:sz w:val="24"/>
          <w:szCs w:val="24"/>
        </w:rPr>
      </w:pPr>
    </w:p>
    <w:p w:rsidR="00707302" w:rsidRPr="00CC1651" w:rsidRDefault="00CC1651" w:rsidP="00CC1651">
      <w:pPr>
        <w:spacing w:after="0" w:line="360" w:lineRule="auto"/>
        <w:ind w:firstLine="720"/>
        <w:jc w:val="both"/>
        <w:rPr>
          <w:rFonts w:ascii="Times New Roman" w:hAnsi="Times New Roman" w:cs="Times New Roman"/>
          <w:sz w:val="24"/>
          <w:szCs w:val="24"/>
        </w:rPr>
      </w:pPr>
      <w:r w:rsidRPr="00CC1651">
        <w:rPr>
          <w:rFonts w:ascii="Times New Roman" w:hAnsi="Times New Roman" w:cs="Times New Roman"/>
          <w:sz w:val="24"/>
          <w:szCs w:val="24"/>
        </w:rPr>
        <w:t>In the present study, molecular geometry properties were examined using DFT via Gaussian 09 with LANL2DZ at the 6-31G (</w:t>
      </w:r>
      <w:proofErr w:type="spellStart"/>
      <w:r w:rsidRPr="00CC1651">
        <w:rPr>
          <w:rFonts w:ascii="Times New Roman" w:hAnsi="Times New Roman" w:cs="Times New Roman"/>
          <w:sz w:val="24"/>
          <w:szCs w:val="24"/>
        </w:rPr>
        <w:t>d</w:t>
      </w:r>
      <w:proofErr w:type="gramStart"/>
      <w:r w:rsidRPr="00CC1651">
        <w:rPr>
          <w:rFonts w:ascii="Times New Roman" w:hAnsi="Times New Roman" w:cs="Times New Roman"/>
          <w:sz w:val="24"/>
          <w:szCs w:val="24"/>
        </w:rPr>
        <w:t>,p</w:t>
      </w:r>
      <w:proofErr w:type="spellEnd"/>
      <w:proofErr w:type="gramEnd"/>
      <w:r w:rsidRPr="00CC1651">
        <w:rPr>
          <w:rFonts w:ascii="Times New Roman" w:hAnsi="Times New Roman" w:cs="Times New Roman"/>
          <w:sz w:val="24"/>
          <w:szCs w:val="24"/>
        </w:rPr>
        <w:t xml:space="preserve">) level. Molecular surface electrostatic potential, electronic properties and Mulliken atomic charges were calculated employing the aforementioned DFT methods based on the optimized </w:t>
      </w:r>
      <w:r w:rsidR="00BE4A68" w:rsidRPr="00CC1651">
        <w:rPr>
          <w:rFonts w:ascii="Times New Roman" w:hAnsi="Times New Roman" w:cs="Times New Roman"/>
          <w:sz w:val="24"/>
          <w:szCs w:val="24"/>
        </w:rPr>
        <w:t>structures</w:t>
      </w:r>
      <w:r w:rsidR="00BE4A68">
        <w:rPr>
          <w:rFonts w:ascii="Times New Roman" w:hAnsi="Times New Roman" w:cs="Times New Roman"/>
          <w:sz w:val="24"/>
          <w:szCs w:val="24"/>
        </w:rPr>
        <w:t xml:space="preserve"> [1]</w:t>
      </w:r>
      <w:r w:rsidRPr="00CC1651">
        <w:rPr>
          <w:rFonts w:ascii="Times New Roman" w:hAnsi="Times New Roman" w:cs="Times New Roman"/>
          <w:sz w:val="24"/>
          <w:szCs w:val="24"/>
        </w:rPr>
        <w:t>.</w:t>
      </w:r>
    </w:p>
    <w:p w:rsidR="00CC1651" w:rsidRDefault="00CC1651" w:rsidP="00CC1651">
      <w:pPr>
        <w:spacing w:after="0" w:line="360" w:lineRule="auto"/>
        <w:jc w:val="both"/>
        <w:rPr>
          <w:rFonts w:ascii="Times New Roman" w:hAnsi="Times New Roman" w:cs="Times New Roman"/>
          <w:sz w:val="24"/>
          <w:szCs w:val="24"/>
        </w:rPr>
      </w:pPr>
    </w:p>
    <w:p w:rsidR="00CC1651" w:rsidRDefault="00CC1651" w:rsidP="00CC1651">
      <w:pPr>
        <w:spacing w:after="0" w:line="360" w:lineRule="auto"/>
        <w:jc w:val="both"/>
        <w:rPr>
          <w:rFonts w:ascii="Times New Roman" w:hAnsi="Times New Roman" w:cs="Times New Roman"/>
          <w:sz w:val="24"/>
          <w:szCs w:val="24"/>
        </w:rPr>
      </w:pPr>
      <w:r w:rsidRPr="00CC1651">
        <w:rPr>
          <w:rFonts w:ascii="Times New Roman" w:hAnsi="Times New Roman" w:cs="Times New Roman"/>
          <w:sz w:val="24"/>
          <w:szCs w:val="24"/>
        </w:rPr>
        <w:t>Molecular Docking Investigation</w:t>
      </w:r>
    </w:p>
    <w:p w:rsidR="00CC1651" w:rsidRPr="00CC1651" w:rsidRDefault="00CC1651" w:rsidP="00CC1651">
      <w:pPr>
        <w:spacing w:after="0" w:line="360" w:lineRule="auto"/>
        <w:jc w:val="both"/>
        <w:rPr>
          <w:rFonts w:ascii="Times New Roman" w:hAnsi="Times New Roman" w:cs="Times New Roman"/>
          <w:sz w:val="24"/>
          <w:szCs w:val="24"/>
        </w:rPr>
      </w:pPr>
    </w:p>
    <w:p w:rsidR="00CC1651" w:rsidRDefault="00CC1651" w:rsidP="00CC1651">
      <w:pPr>
        <w:spacing w:after="0" w:line="360" w:lineRule="auto"/>
        <w:ind w:firstLine="720"/>
        <w:jc w:val="both"/>
        <w:rPr>
          <w:rFonts w:ascii="Times New Roman" w:hAnsi="Times New Roman" w:cs="Times New Roman"/>
          <w:sz w:val="24"/>
          <w:szCs w:val="24"/>
        </w:rPr>
      </w:pPr>
      <w:r w:rsidRPr="00CC1651">
        <w:rPr>
          <w:rFonts w:ascii="Times New Roman" w:hAnsi="Times New Roman" w:cs="Times New Roman"/>
          <w:sz w:val="24"/>
          <w:szCs w:val="24"/>
        </w:rPr>
        <w:t xml:space="preserve">Molecular docking analysis of the Schiff base molecule was conducted using HEX 6.3 software—an interactive molecular graphics program for drug-nucleic acid interactions, docking free energy calculations, and the identification of potential docked poses for biomolecules. The crystal structure of the DNA double helix with the sequence </w:t>
      </w:r>
      <w:proofErr w:type="gramStart"/>
      <w:r w:rsidRPr="00CC1651">
        <w:rPr>
          <w:rFonts w:ascii="Times New Roman" w:hAnsi="Times New Roman" w:cs="Times New Roman"/>
          <w:sz w:val="24"/>
          <w:szCs w:val="24"/>
        </w:rPr>
        <w:t>d(</w:t>
      </w:r>
      <w:proofErr w:type="gramEnd"/>
      <w:r w:rsidRPr="00CC1651">
        <w:rPr>
          <w:rFonts w:ascii="Times New Roman" w:hAnsi="Times New Roman" w:cs="Times New Roman"/>
          <w:sz w:val="24"/>
          <w:szCs w:val="24"/>
        </w:rPr>
        <w:t>CGCGAATTCGCG)</w:t>
      </w:r>
      <w:r w:rsidRPr="00CC1651">
        <w:rPr>
          <w:rFonts w:ascii="Cambria Math" w:hAnsi="Cambria Math" w:cs="Times New Roman"/>
          <w:sz w:val="24"/>
          <w:szCs w:val="24"/>
        </w:rPr>
        <w:t>₂</w:t>
      </w:r>
      <w:r w:rsidRPr="00CC1651">
        <w:rPr>
          <w:rFonts w:ascii="Times New Roman" w:hAnsi="Times New Roman" w:cs="Times New Roman"/>
          <w:sz w:val="24"/>
          <w:szCs w:val="24"/>
        </w:rPr>
        <w:t xml:space="preserve"> </w:t>
      </w:r>
      <w:proofErr w:type="spellStart"/>
      <w:r w:rsidRPr="00CC1651">
        <w:rPr>
          <w:rFonts w:ascii="Times New Roman" w:hAnsi="Times New Roman" w:cs="Times New Roman"/>
          <w:sz w:val="24"/>
          <w:szCs w:val="24"/>
        </w:rPr>
        <w:t>dodecamer</w:t>
      </w:r>
      <w:proofErr w:type="spellEnd"/>
      <w:r w:rsidRPr="00CC1651">
        <w:rPr>
          <w:rFonts w:ascii="Times New Roman" w:hAnsi="Times New Roman" w:cs="Times New Roman"/>
          <w:sz w:val="24"/>
          <w:szCs w:val="24"/>
        </w:rPr>
        <w:t xml:space="preserve"> (PDB ID: 1BNA) was retrieved from the Protein Data Bank</w:t>
      </w:r>
      <w:r w:rsidR="00BE4A68">
        <w:rPr>
          <w:rFonts w:ascii="Times New Roman" w:hAnsi="Times New Roman" w:cs="Times New Roman"/>
          <w:sz w:val="24"/>
          <w:szCs w:val="24"/>
        </w:rPr>
        <w:t xml:space="preserve"> [</w:t>
      </w:r>
      <w:r w:rsidR="00BE4A68" w:rsidRPr="00BE4A68">
        <w:rPr>
          <w:rFonts w:ascii="Times New Roman" w:hAnsi="Times New Roman" w:cs="Times New Roman"/>
          <w:sz w:val="24"/>
          <w:szCs w:val="24"/>
        </w:rPr>
        <w:t>2</w:t>
      </w:r>
      <w:r w:rsidR="00BE4A68">
        <w:rPr>
          <w:rFonts w:ascii="Times New Roman" w:hAnsi="Times New Roman" w:cs="Times New Roman"/>
          <w:sz w:val="24"/>
          <w:szCs w:val="24"/>
        </w:rPr>
        <w:t>]</w:t>
      </w:r>
      <w:r w:rsidRPr="00CC1651">
        <w:rPr>
          <w:rFonts w:ascii="Times New Roman" w:hAnsi="Times New Roman" w:cs="Times New Roman"/>
          <w:sz w:val="24"/>
          <w:szCs w:val="24"/>
        </w:rPr>
        <w:t xml:space="preserve">. </w:t>
      </w:r>
    </w:p>
    <w:p w:rsidR="002367BD" w:rsidRDefault="002367BD" w:rsidP="004B17E9">
      <w:pPr>
        <w:spacing w:after="0" w:line="360" w:lineRule="auto"/>
        <w:jc w:val="both"/>
        <w:rPr>
          <w:rFonts w:ascii="Times New Roman" w:hAnsi="Times New Roman" w:cs="Times New Roman"/>
          <w:sz w:val="24"/>
          <w:szCs w:val="24"/>
        </w:rPr>
      </w:pPr>
    </w:p>
    <w:p w:rsidR="004B17E9" w:rsidRDefault="004B17E9" w:rsidP="004B17E9">
      <w:pPr>
        <w:spacing w:after="0" w:line="360" w:lineRule="auto"/>
        <w:jc w:val="both"/>
        <w:rPr>
          <w:rFonts w:ascii="Times New Roman" w:hAnsi="Times New Roman" w:cs="Times New Roman"/>
          <w:sz w:val="24"/>
          <w:szCs w:val="24"/>
        </w:rPr>
      </w:pPr>
      <w:r w:rsidRPr="004B17E9">
        <w:rPr>
          <w:rFonts w:ascii="Times New Roman" w:hAnsi="Times New Roman" w:cs="Times New Roman"/>
          <w:sz w:val="24"/>
          <w:szCs w:val="24"/>
        </w:rPr>
        <w:t>Prediction of Pharmacokinetic and Toxicological Properties through ADMET Analysis.</w:t>
      </w:r>
      <w:r>
        <w:rPr>
          <w:rFonts w:ascii="Times New Roman" w:hAnsi="Times New Roman" w:cs="Times New Roman"/>
          <w:sz w:val="24"/>
          <w:szCs w:val="24"/>
        </w:rPr>
        <w:t xml:space="preserve"> </w:t>
      </w:r>
    </w:p>
    <w:p w:rsidR="004B17E9" w:rsidRDefault="004B17E9" w:rsidP="004B17E9">
      <w:pPr>
        <w:spacing w:after="0" w:line="360" w:lineRule="auto"/>
        <w:jc w:val="both"/>
        <w:rPr>
          <w:rFonts w:ascii="Times New Roman" w:hAnsi="Times New Roman" w:cs="Times New Roman"/>
          <w:sz w:val="24"/>
          <w:szCs w:val="24"/>
        </w:rPr>
      </w:pPr>
    </w:p>
    <w:p w:rsidR="002367BD" w:rsidRPr="002367BD" w:rsidRDefault="002367BD" w:rsidP="002367BD">
      <w:pPr>
        <w:spacing w:after="0" w:line="360" w:lineRule="auto"/>
        <w:ind w:firstLine="720"/>
        <w:jc w:val="both"/>
        <w:rPr>
          <w:rFonts w:ascii="Times New Roman" w:hAnsi="Times New Roman" w:cs="Times New Roman"/>
          <w:sz w:val="24"/>
          <w:szCs w:val="24"/>
        </w:rPr>
      </w:pPr>
      <w:r w:rsidRPr="002367BD">
        <w:rPr>
          <w:rFonts w:ascii="Times New Roman" w:hAnsi="Times New Roman" w:cs="Times New Roman"/>
          <w:sz w:val="24"/>
          <w:szCs w:val="24"/>
        </w:rPr>
        <w:t xml:space="preserve">For the computation of pharmacokinetic properties of the studied Schiff base </w:t>
      </w:r>
      <w:proofErr w:type="spellStart"/>
      <w:r w:rsidRPr="002367BD">
        <w:rPr>
          <w:rFonts w:ascii="Times New Roman" w:hAnsi="Times New Roman" w:cs="Times New Roman"/>
          <w:sz w:val="24"/>
          <w:szCs w:val="24"/>
        </w:rPr>
        <w:t>ligand</w:t>
      </w:r>
      <w:proofErr w:type="spellEnd"/>
      <w:r w:rsidRPr="002367BD">
        <w:rPr>
          <w:rFonts w:ascii="Times New Roman" w:hAnsi="Times New Roman" w:cs="Times New Roman"/>
          <w:sz w:val="24"/>
          <w:szCs w:val="24"/>
        </w:rPr>
        <w:t xml:space="preserve">, online </w:t>
      </w:r>
      <w:proofErr w:type="spellStart"/>
      <w:r w:rsidRPr="002367BD">
        <w:rPr>
          <w:rFonts w:ascii="Times New Roman" w:hAnsi="Times New Roman" w:cs="Times New Roman"/>
          <w:sz w:val="24"/>
          <w:szCs w:val="24"/>
        </w:rPr>
        <w:t>pkCSM</w:t>
      </w:r>
      <w:proofErr w:type="spellEnd"/>
      <w:r w:rsidRPr="002367BD">
        <w:rPr>
          <w:rFonts w:ascii="Times New Roman" w:hAnsi="Times New Roman" w:cs="Times New Roman"/>
          <w:sz w:val="24"/>
          <w:szCs w:val="24"/>
        </w:rPr>
        <w:t xml:space="preserve"> pharmacokinetics prediction properties were employed [5]. The selected properties encompass absorption criteria such as Lipinski's rule of five, water solubility, Caco-2 permeability, intestinal absorption (human), skin permeability, and P-glycoprotein interactions [6]. Distribution-related parameters, including </w:t>
      </w:r>
      <w:proofErr w:type="spellStart"/>
      <w:r w:rsidRPr="002367BD">
        <w:rPr>
          <w:rFonts w:ascii="Times New Roman" w:hAnsi="Times New Roman" w:cs="Times New Roman"/>
          <w:sz w:val="24"/>
          <w:szCs w:val="24"/>
        </w:rPr>
        <w:t>VDss</w:t>
      </w:r>
      <w:proofErr w:type="spellEnd"/>
      <w:r w:rsidRPr="002367BD">
        <w:rPr>
          <w:rFonts w:ascii="Times New Roman" w:hAnsi="Times New Roman" w:cs="Times New Roman"/>
          <w:sz w:val="24"/>
          <w:szCs w:val="24"/>
        </w:rPr>
        <w:t>, Fu, Log BB, and CNS permeability, were also considered. Additionally, factors related to metabolism and excretion was taken into account.</w:t>
      </w:r>
      <w:r>
        <w:rPr>
          <w:rFonts w:ascii="Times New Roman" w:hAnsi="Times New Roman" w:cs="Times New Roman"/>
          <w:sz w:val="24"/>
          <w:szCs w:val="24"/>
        </w:rPr>
        <w:t xml:space="preserve"> </w:t>
      </w:r>
      <w:r w:rsidRPr="002367BD">
        <w:rPr>
          <w:rFonts w:ascii="Times New Roman" w:hAnsi="Times New Roman" w:cs="Times New Roman"/>
          <w:sz w:val="24"/>
          <w:szCs w:val="24"/>
        </w:rPr>
        <w:t xml:space="preserve">Furthermore, online pkCSM pharmacokinetics was utilized to predict the toxicity of the compounds, encompassing skin sensitization, </w:t>
      </w:r>
      <w:proofErr w:type="spellStart"/>
      <w:r w:rsidRPr="002367BD">
        <w:rPr>
          <w:rFonts w:ascii="Times New Roman" w:hAnsi="Times New Roman" w:cs="Times New Roman"/>
          <w:sz w:val="24"/>
          <w:szCs w:val="24"/>
        </w:rPr>
        <w:t>cardiotoxicity</w:t>
      </w:r>
      <w:proofErr w:type="spellEnd"/>
      <w:r w:rsidRPr="002367BD">
        <w:rPr>
          <w:rFonts w:ascii="Times New Roman" w:hAnsi="Times New Roman" w:cs="Times New Roman"/>
          <w:sz w:val="24"/>
          <w:szCs w:val="24"/>
        </w:rPr>
        <w:t xml:space="preserve">, oral rat acute toxicity (LD50), </w:t>
      </w:r>
      <w:proofErr w:type="spellStart"/>
      <w:r w:rsidRPr="002367BD">
        <w:rPr>
          <w:rFonts w:ascii="Times New Roman" w:hAnsi="Times New Roman" w:cs="Times New Roman"/>
          <w:sz w:val="24"/>
          <w:szCs w:val="24"/>
        </w:rPr>
        <w:t>hepatotoxicity</w:t>
      </w:r>
      <w:proofErr w:type="spellEnd"/>
      <w:r w:rsidRPr="002367BD">
        <w:rPr>
          <w:rFonts w:ascii="Times New Roman" w:hAnsi="Times New Roman" w:cs="Times New Roman"/>
          <w:sz w:val="24"/>
          <w:szCs w:val="24"/>
        </w:rPr>
        <w:t xml:space="preserve">, T. </w:t>
      </w:r>
      <w:proofErr w:type="spellStart"/>
      <w:r w:rsidRPr="002367BD">
        <w:rPr>
          <w:rFonts w:ascii="Times New Roman" w:hAnsi="Times New Roman" w:cs="Times New Roman"/>
          <w:sz w:val="24"/>
          <w:szCs w:val="24"/>
        </w:rPr>
        <w:t>pyriformis</w:t>
      </w:r>
      <w:proofErr w:type="spellEnd"/>
      <w:r w:rsidRPr="002367BD">
        <w:rPr>
          <w:rFonts w:ascii="Times New Roman" w:hAnsi="Times New Roman" w:cs="Times New Roman"/>
          <w:sz w:val="24"/>
          <w:szCs w:val="24"/>
        </w:rPr>
        <w:t xml:space="preserve"> toxicity, and others. The obtained results were evaluated and compared with the reference values of </w:t>
      </w:r>
      <w:proofErr w:type="spellStart"/>
      <w:r w:rsidRPr="002367BD">
        <w:rPr>
          <w:rFonts w:ascii="Times New Roman" w:hAnsi="Times New Roman" w:cs="Times New Roman"/>
          <w:sz w:val="24"/>
          <w:szCs w:val="24"/>
        </w:rPr>
        <w:t>pkCSM</w:t>
      </w:r>
      <w:proofErr w:type="spellEnd"/>
      <w:r w:rsidRPr="002367BD">
        <w:rPr>
          <w:rFonts w:ascii="Times New Roman" w:hAnsi="Times New Roman" w:cs="Times New Roman"/>
          <w:sz w:val="24"/>
          <w:szCs w:val="24"/>
        </w:rPr>
        <w:t xml:space="preserve"> pharmacokinetics prediction </w:t>
      </w:r>
      <w:r w:rsidR="00BE4A68" w:rsidRPr="002367BD">
        <w:rPr>
          <w:rFonts w:ascii="Times New Roman" w:hAnsi="Times New Roman" w:cs="Times New Roman"/>
          <w:sz w:val="24"/>
          <w:szCs w:val="24"/>
        </w:rPr>
        <w:t>properties</w:t>
      </w:r>
      <w:r w:rsidR="00BE4A68">
        <w:rPr>
          <w:rFonts w:ascii="Times New Roman" w:hAnsi="Times New Roman" w:cs="Times New Roman"/>
          <w:sz w:val="24"/>
          <w:szCs w:val="24"/>
        </w:rPr>
        <w:t xml:space="preserve"> [3]</w:t>
      </w:r>
      <w:r w:rsidRPr="002367BD">
        <w:rPr>
          <w:rFonts w:ascii="Times New Roman" w:hAnsi="Times New Roman" w:cs="Times New Roman"/>
          <w:sz w:val="24"/>
          <w:szCs w:val="24"/>
        </w:rPr>
        <w:t>.</w:t>
      </w:r>
    </w:p>
    <w:p w:rsidR="004B17E9" w:rsidRDefault="004B17E9" w:rsidP="004B17E9">
      <w:pPr>
        <w:spacing w:after="0" w:line="360" w:lineRule="auto"/>
        <w:jc w:val="both"/>
        <w:rPr>
          <w:rFonts w:ascii="Times New Roman" w:hAnsi="Times New Roman" w:cs="Times New Roman"/>
          <w:sz w:val="24"/>
          <w:szCs w:val="24"/>
        </w:rPr>
      </w:pPr>
    </w:p>
    <w:p w:rsidR="004B17E9" w:rsidRDefault="004B17E9" w:rsidP="004B17E9">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PASS Analysis</w:t>
      </w:r>
    </w:p>
    <w:p w:rsidR="004B17E9" w:rsidRDefault="004B17E9" w:rsidP="004B17E9">
      <w:pPr>
        <w:spacing w:after="0" w:line="360" w:lineRule="auto"/>
        <w:jc w:val="both"/>
        <w:rPr>
          <w:rFonts w:ascii="Times New Roman" w:hAnsi="Times New Roman" w:cs="Times New Roman"/>
          <w:sz w:val="24"/>
          <w:szCs w:val="24"/>
        </w:rPr>
      </w:pPr>
    </w:p>
    <w:p w:rsidR="004B17E9" w:rsidRPr="004B17E9" w:rsidRDefault="004B17E9" w:rsidP="004B17E9">
      <w:pPr>
        <w:spacing w:after="0" w:line="360" w:lineRule="auto"/>
        <w:ind w:firstLine="720"/>
        <w:jc w:val="both"/>
        <w:rPr>
          <w:rFonts w:ascii="Times New Roman" w:hAnsi="Times New Roman" w:cs="Times New Roman"/>
          <w:sz w:val="24"/>
          <w:szCs w:val="24"/>
        </w:rPr>
      </w:pPr>
      <w:r w:rsidRPr="004B17E9">
        <w:rPr>
          <w:rFonts w:ascii="Times New Roman" w:hAnsi="Times New Roman" w:cs="Times New Roman"/>
          <w:sz w:val="24"/>
          <w:szCs w:val="24"/>
        </w:rPr>
        <w:t xml:space="preserve">The Biological Activity Spectrum of a chemical compound refers to the diverse range of biological activities that reflect the outcomes of the compound's interaction with various biological entities. Biological activity is qualitatively defined as either "yes" or "none," indicating that the biological activity spectrum represents the "intrinsic" property of a substance dependent solely on its structure and physical-chemical characteristics. While this may be a generalization, it enables the amalgamation of information from various sources into the same training set. This is essential as no single publication comprehensively covers all the diverse facets of the biological action of a </w:t>
      </w:r>
      <w:r w:rsidR="00BE4A68" w:rsidRPr="004B17E9">
        <w:rPr>
          <w:rFonts w:ascii="Times New Roman" w:hAnsi="Times New Roman" w:cs="Times New Roman"/>
          <w:sz w:val="24"/>
          <w:szCs w:val="24"/>
        </w:rPr>
        <w:t>compound</w:t>
      </w:r>
      <w:r w:rsidR="00BE4A68">
        <w:rPr>
          <w:rFonts w:ascii="Times New Roman" w:hAnsi="Times New Roman" w:cs="Times New Roman"/>
          <w:sz w:val="24"/>
          <w:szCs w:val="24"/>
        </w:rPr>
        <w:t xml:space="preserve"> [4]</w:t>
      </w:r>
      <w:r w:rsidRPr="004B17E9">
        <w:rPr>
          <w:rFonts w:ascii="Times New Roman" w:hAnsi="Times New Roman" w:cs="Times New Roman"/>
          <w:sz w:val="24"/>
          <w:szCs w:val="24"/>
        </w:rPr>
        <w:t>.</w:t>
      </w:r>
    </w:p>
    <w:p w:rsidR="004B17E9" w:rsidRPr="004B17E9" w:rsidRDefault="004B17E9" w:rsidP="004B17E9">
      <w:pPr>
        <w:spacing w:after="0" w:line="360" w:lineRule="auto"/>
        <w:ind w:firstLine="720"/>
        <w:jc w:val="both"/>
        <w:rPr>
          <w:rFonts w:ascii="Times New Roman" w:hAnsi="Times New Roman" w:cs="Times New Roman"/>
          <w:sz w:val="24"/>
          <w:szCs w:val="24"/>
        </w:rPr>
      </w:pPr>
    </w:p>
    <w:p w:rsidR="002367BD" w:rsidRPr="002367BD" w:rsidRDefault="002367BD" w:rsidP="002367BD">
      <w:pPr>
        <w:spacing w:after="0" w:line="360" w:lineRule="auto"/>
        <w:ind w:firstLine="720"/>
        <w:jc w:val="both"/>
        <w:rPr>
          <w:rFonts w:ascii="Times New Roman" w:hAnsi="Times New Roman" w:cs="Times New Roman"/>
          <w:sz w:val="24"/>
          <w:szCs w:val="24"/>
        </w:rPr>
      </w:pPr>
    </w:p>
    <w:p w:rsidR="002367BD" w:rsidRPr="002367BD" w:rsidRDefault="002367BD" w:rsidP="002367BD">
      <w:pPr>
        <w:spacing w:after="0" w:line="360" w:lineRule="auto"/>
        <w:ind w:firstLine="720"/>
        <w:jc w:val="both"/>
        <w:rPr>
          <w:rFonts w:ascii="Times New Roman" w:hAnsi="Times New Roman" w:cs="Times New Roman"/>
          <w:sz w:val="24"/>
          <w:szCs w:val="24"/>
        </w:rPr>
      </w:pPr>
    </w:p>
    <w:p w:rsidR="002367BD" w:rsidRDefault="00BE4A68" w:rsidP="00BE4A68">
      <w:pPr>
        <w:spacing w:after="0" w:line="360" w:lineRule="auto"/>
        <w:ind w:firstLine="720"/>
        <w:jc w:val="center"/>
        <w:rPr>
          <w:rFonts w:ascii="Times New Roman" w:hAnsi="Times New Roman" w:cs="Times New Roman"/>
          <w:b/>
          <w:bCs/>
          <w:sz w:val="24"/>
          <w:szCs w:val="24"/>
        </w:rPr>
      </w:pPr>
      <w:r w:rsidRPr="00BE4A68">
        <w:rPr>
          <w:rFonts w:ascii="Times New Roman" w:hAnsi="Times New Roman" w:cs="Times New Roman"/>
          <w:b/>
          <w:bCs/>
          <w:sz w:val="24"/>
          <w:szCs w:val="24"/>
        </w:rPr>
        <w:t>References</w:t>
      </w:r>
    </w:p>
    <w:p w:rsidR="00BE4A68" w:rsidRPr="00BE4A68" w:rsidRDefault="00BE4A68" w:rsidP="00BE4A68">
      <w:pPr>
        <w:pStyle w:val="ListParagraph"/>
        <w:numPr>
          <w:ilvl w:val="0"/>
          <w:numId w:val="1"/>
        </w:numPr>
        <w:spacing w:after="0" w:line="360" w:lineRule="auto"/>
        <w:rPr>
          <w:rFonts w:ascii="Times New Roman" w:hAnsi="Times New Roman" w:cs="Times New Roman"/>
          <w:b/>
          <w:bCs/>
          <w:sz w:val="24"/>
          <w:szCs w:val="24"/>
        </w:rPr>
      </w:pPr>
      <w:r w:rsidRPr="00F875E5">
        <w:rPr>
          <w:rFonts w:ascii="Times New Roman" w:hAnsi="Times New Roman" w:cs="Times New Roman"/>
          <w:iCs/>
          <w:noProof/>
          <w:sz w:val="24"/>
          <w:szCs w:val="24"/>
        </w:rPr>
        <w:t>Çavuş, M. S.; Yakan, H.; Başkan</w:t>
      </w:r>
      <w:r>
        <w:rPr>
          <w:rFonts w:ascii="Times New Roman" w:hAnsi="Times New Roman" w:cs="Times New Roman"/>
          <w:iCs/>
          <w:noProof/>
          <w:sz w:val="24"/>
          <w:szCs w:val="24"/>
        </w:rPr>
        <w:t xml:space="preserve">, C.; Muğlu, H.; Babacan, A. A </w:t>
      </w:r>
      <w:r w:rsidRPr="007F33AE">
        <w:rPr>
          <w:rFonts w:ascii="Times New Roman" w:hAnsi="Times New Roman" w:cs="Times New Roman"/>
          <w:iCs/>
          <w:noProof/>
          <w:sz w:val="24"/>
          <w:szCs w:val="24"/>
        </w:rPr>
        <w:t>(2024)</w:t>
      </w:r>
      <w:r w:rsidRPr="00F875E5">
        <w:rPr>
          <w:rFonts w:ascii="Times New Roman" w:hAnsi="Times New Roman" w:cs="Times New Roman"/>
          <w:iCs/>
          <w:noProof/>
          <w:sz w:val="24"/>
          <w:szCs w:val="24"/>
        </w:rPr>
        <w:t xml:space="preserve"> Schiff bases based on thio/carbohydrazide: Synthesis, spectroscopic characterization, DFT, antimicrobial, DNA interactions and cytotoxicity studies. </w:t>
      </w:r>
      <w:r w:rsidRPr="00F875E5">
        <w:rPr>
          <w:rFonts w:ascii="Times New Roman" w:hAnsi="Times New Roman" w:cs="Times New Roman"/>
          <w:i/>
          <w:iCs/>
          <w:noProof/>
          <w:sz w:val="24"/>
          <w:szCs w:val="24"/>
        </w:rPr>
        <w:t xml:space="preserve">Journal of Molecular Structure </w:t>
      </w:r>
      <w:r w:rsidRPr="00F875E5">
        <w:rPr>
          <w:rFonts w:ascii="Times New Roman" w:hAnsi="Times New Roman" w:cs="Times New Roman"/>
          <w:iCs/>
          <w:noProof/>
          <w:sz w:val="24"/>
          <w:szCs w:val="24"/>
        </w:rPr>
        <w:t xml:space="preserve"> 137655</w:t>
      </w:r>
    </w:p>
    <w:p w:rsidR="00BE4A68" w:rsidRPr="00B572A6" w:rsidRDefault="00BE4A68" w:rsidP="00BE4A68">
      <w:pPr>
        <w:pStyle w:val="ListParagraph"/>
        <w:numPr>
          <w:ilvl w:val="0"/>
          <w:numId w:val="1"/>
        </w:numPr>
        <w:spacing w:after="0" w:line="360" w:lineRule="auto"/>
        <w:jc w:val="both"/>
        <w:rPr>
          <w:rFonts w:ascii="Times New Roman" w:hAnsi="Times New Roman" w:cs="Times New Roman"/>
          <w:iCs/>
          <w:noProof/>
          <w:sz w:val="24"/>
          <w:szCs w:val="24"/>
        </w:rPr>
      </w:pPr>
      <w:r w:rsidRPr="00B572A6">
        <w:rPr>
          <w:rFonts w:ascii="Times New Roman" w:hAnsi="Times New Roman" w:cs="Times New Roman"/>
          <w:iCs/>
          <w:noProof/>
          <w:sz w:val="24"/>
          <w:szCs w:val="24"/>
        </w:rPr>
        <w:t xml:space="preserve">Martínez, M. Á.; Carranza, M. P.; Massaguer, A.; Santos, L.; Organero, J. A.; Aliende, C.; de Llorens, R.; Ng-Choi, I.; Feliu, L.; Planas, M (2017) Synthesis and biological evaluation of Ru (II) and Pt (II) complexes bearing carboxyl groups as potential anticancer targeted drugs. </w:t>
      </w:r>
      <w:r w:rsidRPr="00B572A6">
        <w:rPr>
          <w:rFonts w:ascii="Times New Roman" w:hAnsi="Times New Roman" w:cs="Times New Roman"/>
          <w:i/>
          <w:iCs/>
          <w:noProof/>
          <w:sz w:val="24"/>
          <w:szCs w:val="24"/>
        </w:rPr>
        <w:t>Inorganic Chemistry</w:t>
      </w:r>
      <w:r w:rsidRPr="00B572A6">
        <w:rPr>
          <w:rFonts w:ascii="Times New Roman" w:hAnsi="Times New Roman" w:cs="Times New Roman"/>
          <w:iCs/>
          <w:noProof/>
          <w:sz w:val="24"/>
          <w:szCs w:val="24"/>
        </w:rPr>
        <w:t xml:space="preserve">, </w:t>
      </w:r>
      <w:r w:rsidRPr="00B572A6">
        <w:rPr>
          <w:rFonts w:ascii="Times New Roman" w:hAnsi="Times New Roman" w:cs="Times New Roman"/>
          <w:i/>
          <w:iCs/>
          <w:noProof/>
          <w:sz w:val="24"/>
          <w:szCs w:val="24"/>
        </w:rPr>
        <w:t>56</w:t>
      </w:r>
      <w:r w:rsidRPr="00B572A6">
        <w:rPr>
          <w:rFonts w:ascii="Times New Roman" w:hAnsi="Times New Roman" w:cs="Times New Roman"/>
          <w:iCs/>
          <w:noProof/>
          <w:sz w:val="24"/>
          <w:szCs w:val="24"/>
        </w:rPr>
        <w:t xml:space="preserve"> (22), 13679-13696.</w:t>
      </w:r>
    </w:p>
    <w:p w:rsidR="00BE4A68" w:rsidRDefault="00BE4A68" w:rsidP="00BE4A68">
      <w:pPr>
        <w:pStyle w:val="ListParagraph"/>
        <w:numPr>
          <w:ilvl w:val="0"/>
          <w:numId w:val="1"/>
        </w:numPr>
        <w:spacing w:after="0" w:line="360" w:lineRule="auto"/>
        <w:jc w:val="both"/>
        <w:rPr>
          <w:rFonts w:ascii="Times New Roman" w:hAnsi="Times New Roman" w:cs="Times New Roman"/>
          <w:iCs/>
          <w:noProof/>
          <w:sz w:val="24"/>
          <w:szCs w:val="24"/>
        </w:rPr>
      </w:pPr>
      <w:r>
        <w:rPr>
          <w:rFonts w:ascii="Times New Roman" w:hAnsi="Times New Roman" w:cs="Times New Roman"/>
          <w:iCs/>
          <w:noProof/>
          <w:sz w:val="24"/>
          <w:szCs w:val="24"/>
        </w:rPr>
        <w:t>Ramasamy, S.; Rajan, A. T (</w:t>
      </w:r>
      <w:r w:rsidRPr="007F33AE">
        <w:rPr>
          <w:rFonts w:ascii="Times New Roman" w:hAnsi="Times New Roman" w:cs="Times New Roman"/>
          <w:bCs/>
          <w:iCs/>
          <w:noProof/>
          <w:sz w:val="24"/>
          <w:szCs w:val="24"/>
        </w:rPr>
        <w:t>2022</w:t>
      </w:r>
      <w:r>
        <w:rPr>
          <w:rFonts w:ascii="Times New Roman" w:hAnsi="Times New Roman" w:cs="Times New Roman"/>
          <w:b/>
          <w:iCs/>
          <w:noProof/>
          <w:sz w:val="24"/>
          <w:szCs w:val="24"/>
        </w:rPr>
        <w:t xml:space="preserve">) </w:t>
      </w:r>
      <w:r w:rsidRPr="00F875E5">
        <w:rPr>
          <w:rFonts w:ascii="Times New Roman" w:hAnsi="Times New Roman" w:cs="Times New Roman"/>
          <w:iCs/>
          <w:noProof/>
          <w:sz w:val="24"/>
          <w:szCs w:val="24"/>
        </w:rPr>
        <w:t xml:space="preserve">Unraveling the Pharmaceutical Benefits of Freshly Prepared Amino Acid-Based Schiff Bases Via DFT, In Silico Molecular Docking and ADMET. </w:t>
      </w:r>
      <w:r w:rsidRPr="00F875E5">
        <w:rPr>
          <w:rFonts w:ascii="Times New Roman" w:hAnsi="Times New Roman" w:cs="Times New Roman"/>
          <w:i/>
          <w:iCs/>
          <w:noProof/>
          <w:sz w:val="24"/>
          <w:szCs w:val="24"/>
        </w:rPr>
        <w:t>Journal of Fluorescence</w:t>
      </w:r>
      <w:r w:rsidRPr="00F875E5">
        <w:rPr>
          <w:rFonts w:ascii="Times New Roman" w:hAnsi="Times New Roman" w:cs="Times New Roman"/>
          <w:b/>
          <w:iCs/>
          <w:noProof/>
          <w:sz w:val="24"/>
          <w:szCs w:val="24"/>
        </w:rPr>
        <w:t>,</w:t>
      </w:r>
      <w:r w:rsidRPr="00F875E5">
        <w:rPr>
          <w:rFonts w:ascii="Times New Roman" w:hAnsi="Times New Roman" w:cs="Times New Roman"/>
          <w:iCs/>
          <w:noProof/>
          <w:sz w:val="24"/>
          <w:szCs w:val="24"/>
        </w:rPr>
        <w:t xml:space="preserve"> </w:t>
      </w:r>
      <w:r w:rsidRPr="00F875E5">
        <w:rPr>
          <w:rFonts w:ascii="Times New Roman" w:hAnsi="Times New Roman" w:cs="Times New Roman"/>
          <w:i/>
          <w:iCs/>
          <w:noProof/>
          <w:sz w:val="24"/>
          <w:szCs w:val="24"/>
        </w:rPr>
        <w:t>32</w:t>
      </w:r>
      <w:r w:rsidRPr="00F875E5">
        <w:rPr>
          <w:rFonts w:ascii="Times New Roman" w:hAnsi="Times New Roman" w:cs="Times New Roman"/>
          <w:iCs/>
          <w:noProof/>
          <w:sz w:val="24"/>
          <w:szCs w:val="24"/>
        </w:rPr>
        <w:t xml:space="preserve"> (5), 1873-1888.</w:t>
      </w:r>
    </w:p>
    <w:p w:rsidR="00BE4A68" w:rsidRPr="00B572A6" w:rsidRDefault="00BE4A68" w:rsidP="00BE4A68">
      <w:pPr>
        <w:pStyle w:val="ListParagraph"/>
        <w:numPr>
          <w:ilvl w:val="0"/>
          <w:numId w:val="1"/>
        </w:numPr>
        <w:spacing w:after="0" w:line="360" w:lineRule="auto"/>
        <w:jc w:val="both"/>
        <w:rPr>
          <w:rFonts w:ascii="Times New Roman" w:hAnsi="Times New Roman" w:cs="Times New Roman"/>
          <w:iCs/>
          <w:noProof/>
          <w:sz w:val="24"/>
          <w:szCs w:val="24"/>
        </w:rPr>
      </w:pPr>
      <w:r w:rsidRPr="00B572A6">
        <w:rPr>
          <w:rFonts w:ascii="Times New Roman" w:hAnsi="Times New Roman" w:cs="Times New Roman"/>
          <w:iCs/>
          <w:noProof/>
          <w:sz w:val="24"/>
          <w:szCs w:val="24"/>
        </w:rPr>
        <w:t xml:space="preserve">Arunadevi, A.; Paulpandiyan, R.; Raman, N (2017) DNA interaction, molecular docking and biological profile of tetradentate histidine based metallointercalators. </w:t>
      </w:r>
      <w:r w:rsidRPr="00B572A6">
        <w:rPr>
          <w:rFonts w:ascii="Times New Roman" w:hAnsi="Times New Roman" w:cs="Times New Roman"/>
          <w:i/>
          <w:iCs/>
          <w:noProof/>
          <w:sz w:val="24"/>
          <w:szCs w:val="24"/>
        </w:rPr>
        <w:t>Journal of Molecular Liquids</w:t>
      </w:r>
      <w:r w:rsidRPr="00B572A6">
        <w:rPr>
          <w:rFonts w:ascii="Times New Roman" w:hAnsi="Times New Roman" w:cs="Times New Roman"/>
          <w:iCs/>
          <w:noProof/>
          <w:sz w:val="24"/>
          <w:szCs w:val="24"/>
        </w:rPr>
        <w:t xml:space="preserve">, </w:t>
      </w:r>
      <w:r w:rsidRPr="00B572A6">
        <w:rPr>
          <w:rFonts w:ascii="Times New Roman" w:hAnsi="Times New Roman" w:cs="Times New Roman"/>
          <w:i/>
          <w:iCs/>
          <w:noProof/>
          <w:sz w:val="24"/>
          <w:szCs w:val="24"/>
        </w:rPr>
        <w:t>241</w:t>
      </w:r>
      <w:r w:rsidRPr="00B572A6">
        <w:rPr>
          <w:rFonts w:ascii="Times New Roman" w:hAnsi="Times New Roman" w:cs="Times New Roman"/>
          <w:iCs/>
          <w:noProof/>
          <w:sz w:val="24"/>
          <w:szCs w:val="24"/>
        </w:rPr>
        <w:t>, 801-810.</w:t>
      </w:r>
    </w:p>
    <w:p w:rsidR="00BE4A68" w:rsidRPr="00BE4A68" w:rsidRDefault="00BE4A68" w:rsidP="00BE4A68">
      <w:pPr>
        <w:pStyle w:val="ListParagraph"/>
        <w:spacing w:after="0" w:line="360" w:lineRule="auto"/>
        <w:rPr>
          <w:rFonts w:ascii="Times New Roman" w:hAnsi="Times New Roman" w:cs="Times New Roman"/>
          <w:b/>
          <w:bCs/>
          <w:sz w:val="24"/>
          <w:szCs w:val="24"/>
        </w:rPr>
      </w:pPr>
    </w:p>
    <w:sectPr w:rsidR="00BE4A68" w:rsidRPr="00BE4A68" w:rsidSect="00707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Latha">
    <w:panose1 w:val="020B0604020202020204"/>
    <w:charset w:val="00"/>
    <w:family w:val="swiss"/>
    <w:pitch w:val="variable"/>
    <w:sig w:usb0="00100003" w:usb1="00000000" w:usb2="00000000" w:usb3="00000000" w:csb0="00000001" w:csb1="00000000"/>
  </w:font>
  <w:font w:name="Cambria Math">
    <w:panose1 w:val="02040503050406030204"/>
    <w:charset w:val="00"/>
    <w:family w:val="roman"/>
    <w:pitch w:val="variable"/>
    <w:sig w:usb0="A00002EF" w:usb1="420020E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38584E"/>
    <w:multiLevelType w:val="hybridMultilevel"/>
    <w:tmpl w:val="8FF64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0A055F3"/>
    <w:multiLevelType w:val="hybridMultilevel"/>
    <w:tmpl w:val="E74E4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CC1651"/>
    <w:rsid w:val="002367BD"/>
    <w:rsid w:val="002763A2"/>
    <w:rsid w:val="004B17E9"/>
    <w:rsid w:val="0063420F"/>
    <w:rsid w:val="00707302"/>
    <w:rsid w:val="00B37AE4"/>
    <w:rsid w:val="00BE4A68"/>
    <w:rsid w:val="00CC1651"/>
  </w:rsids>
  <m:mathPr>
    <m:mathFont m:val="Cambria Math"/>
    <m:brkBin m:val="before"/>
    <m:brkBinSub m:val="--"/>
    <m:smallFrac m:val="off"/>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651"/>
    <w:pPr>
      <w:spacing w:after="160" w:line="259" w:lineRule="auto"/>
    </w:pPr>
    <w:rPr>
      <w:rFonts w:cs="Lath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4A68"/>
    <w:pPr>
      <w:ind w:left="720"/>
      <w:contextualSpacing/>
    </w:pPr>
  </w:style>
</w:styles>
</file>

<file path=word/webSettings.xml><?xml version="1.0" encoding="utf-8"?>
<w:webSettings xmlns:r="http://schemas.openxmlformats.org/officeDocument/2006/relationships" xmlns:w="http://schemas.openxmlformats.org/wordprocessingml/2006/main">
  <w:divs>
    <w:div w:id="992223700">
      <w:bodyDiv w:val="1"/>
      <w:marLeft w:val="0"/>
      <w:marRight w:val="0"/>
      <w:marTop w:val="0"/>
      <w:marBottom w:val="0"/>
      <w:divBdr>
        <w:top w:val="none" w:sz="0" w:space="0" w:color="auto"/>
        <w:left w:val="none" w:sz="0" w:space="0" w:color="auto"/>
        <w:bottom w:val="none" w:sz="0" w:space="0" w:color="auto"/>
        <w:right w:val="none" w:sz="0" w:space="0" w:color="auto"/>
      </w:divBdr>
      <w:divsChild>
        <w:div w:id="1242913619">
          <w:marLeft w:val="0"/>
          <w:marRight w:val="0"/>
          <w:marTop w:val="0"/>
          <w:marBottom w:val="0"/>
          <w:divBdr>
            <w:top w:val="single" w:sz="2" w:space="0" w:color="D9D9E3"/>
            <w:left w:val="single" w:sz="2" w:space="0" w:color="D9D9E3"/>
            <w:bottom w:val="single" w:sz="2" w:space="0" w:color="D9D9E3"/>
            <w:right w:val="single" w:sz="2" w:space="0" w:color="D9D9E3"/>
          </w:divBdr>
          <w:divsChild>
            <w:div w:id="859514447">
              <w:marLeft w:val="0"/>
              <w:marRight w:val="0"/>
              <w:marTop w:val="0"/>
              <w:marBottom w:val="0"/>
              <w:divBdr>
                <w:top w:val="single" w:sz="2" w:space="0" w:color="D9D9E3"/>
                <w:left w:val="single" w:sz="2" w:space="0" w:color="D9D9E3"/>
                <w:bottom w:val="single" w:sz="2" w:space="0" w:color="D9D9E3"/>
                <w:right w:val="single" w:sz="2" w:space="0" w:color="D9D9E3"/>
              </w:divBdr>
              <w:divsChild>
                <w:div w:id="1834682783">
                  <w:marLeft w:val="0"/>
                  <w:marRight w:val="0"/>
                  <w:marTop w:val="0"/>
                  <w:marBottom w:val="0"/>
                  <w:divBdr>
                    <w:top w:val="single" w:sz="2" w:space="0" w:color="D9D9E3"/>
                    <w:left w:val="single" w:sz="2" w:space="0" w:color="D9D9E3"/>
                    <w:bottom w:val="single" w:sz="2" w:space="0" w:color="D9D9E3"/>
                    <w:right w:val="single" w:sz="2" w:space="0" w:color="D9D9E3"/>
                  </w:divBdr>
                  <w:divsChild>
                    <w:div w:id="1573345729">
                      <w:marLeft w:val="0"/>
                      <w:marRight w:val="0"/>
                      <w:marTop w:val="0"/>
                      <w:marBottom w:val="0"/>
                      <w:divBdr>
                        <w:top w:val="single" w:sz="2" w:space="0" w:color="D9D9E3"/>
                        <w:left w:val="single" w:sz="2" w:space="0" w:color="D9D9E3"/>
                        <w:bottom w:val="single" w:sz="2" w:space="0" w:color="D9D9E3"/>
                        <w:right w:val="single" w:sz="2" w:space="0" w:color="D9D9E3"/>
                      </w:divBdr>
                      <w:divsChild>
                        <w:div w:id="2122407655">
                          <w:marLeft w:val="0"/>
                          <w:marRight w:val="0"/>
                          <w:marTop w:val="0"/>
                          <w:marBottom w:val="0"/>
                          <w:divBdr>
                            <w:top w:val="single" w:sz="2" w:space="0" w:color="D9D9E3"/>
                            <w:left w:val="single" w:sz="2" w:space="0" w:color="D9D9E3"/>
                            <w:bottom w:val="single" w:sz="2" w:space="0" w:color="D9D9E3"/>
                            <w:right w:val="single" w:sz="2" w:space="0" w:color="D9D9E3"/>
                          </w:divBdr>
                          <w:divsChild>
                            <w:div w:id="17363144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450314">
                                  <w:marLeft w:val="0"/>
                                  <w:marRight w:val="0"/>
                                  <w:marTop w:val="0"/>
                                  <w:marBottom w:val="0"/>
                                  <w:divBdr>
                                    <w:top w:val="single" w:sz="2" w:space="0" w:color="D9D9E3"/>
                                    <w:left w:val="single" w:sz="2" w:space="0" w:color="D9D9E3"/>
                                    <w:bottom w:val="single" w:sz="2" w:space="0" w:color="D9D9E3"/>
                                    <w:right w:val="single" w:sz="2" w:space="0" w:color="D9D9E3"/>
                                  </w:divBdr>
                                  <w:divsChild>
                                    <w:div w:id="2132551997">
                                      <w:marLeft w:val="0"/>
                                      <w:marRight w:val="0"/>
                                      <w:marTop w:val="0"/>
                                      <w:marBottom w:val="0"/>
                                      <w:divBdr>
                                        <w:top w:val="single" w:sz="2" w:space="0" w:color="D9D9E3"/>
                                        <w:left w:val="single" w:sz="2" w:space="0" w:color="D9D9E3"/>
                                        <w:bottom w:val="single" w:sz="2" w:space="0" w:color="D9D9E3"/>
                                        <w:right w:val="single" w:sz="2" w:space="0" w:color="D9D9E3"/>
                                      </w:divBdr>
                                      <w:divsChild>
                                        <w:div w:id="720717091">
                                          <w:marLeft w:val="0"/>
                                          <w:marRight w:val="0"/>
                                          <w:marTop w:val="0"/>
                                          <w:marBottom w:val="0"/>
                                          <w:divBdr>
                                            <w:top w:val="single" w:sz="2" w:space="0" w:color="D9D9E3"/>
                                            <w:left w:val="single" w:sz="2" w:space="0" w:color="D9D9E3"/>
                                            <w:bottom w:val="single" w:sz="2" w:space="0" w:color="D9D9E3"/>
                                            <w:right w:val="single" w:sz="2" w:space="0" w:color="D9D9E3"/>
                                          </w:divBdr>
                                          <w:divsChild>
                                            <w:div w:id="1589117129">
                                              <w:marLeft w:val="0"/>
                                              <w:marRight w:val="0"/>
                                              <w:marTop w:val="0"/>
                                              <w:marBottom w:val="0"/>
                                              <w:divBdr>
                                                <w:top w:val="single" w:sz="2" w:space="0" w:color="D9D9E3"/>
                                                <w:left w:val="single" w:sz="2" w:space="0" w:color="D9D9E3"/>
                                                <w:bottom w:val="single" w:sz="2" w:space="0" w:color="D9D9E3"/>
                                                <w:right w:val="single" w:sz="2" w:space="0" w:color="D9D9E3"/>
                                              </w:divBdr>
                                              <w:divsChild>
                                                <w:div w:id="2058314171">
                                                  <w:marLeft w:val="0"/>
                                                  <w:marRight w:val="0"/>
                                                  <w:marTop w:val="0"/>
                                                  <w:marBottom w:val="0"/>
                                                  <w:divBdr>
                                                    <w:top w:val="single" w:sz="2" w:space="0" w:color="D9D9E3"/>
                                                    <w:left w:val="single" w:sz="2" w:space="0" w:color="D9D9E3"/>
                                                    <w:bottom w:val="single" w:sz="2" w:space="0" w:color="D9D9E3"/>
                                                    <w:right w:val="single" w:sz="2" w:space="0" w:color="D9D9E3"/>
                                                  </w:divBdr>
                                                  <w:divsChild>
                                                    <w:div w:id="3401583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283536601">
          <w:marLeft w:val="0"/>
          <w:marRight w:val="0"/>
          <w:marTop w:val="0"/>
          <w:marBottom w:val="0"/>
          <w:divBdr>
            <w:top w:val="none" w:sz="0" w:space="0" w:color="auto"/>
            <w:left w:val="none" w:sz="0" w:space="0" w:color="auto"/>
            <w:bottom w:val="none" w:sz="0" w:space="0" w:color="auto"/>
            <w:right w:val="none" w:sz="0" w:space="0" w:color="auto"/>
          </w:divBdr>
        </w:div>
      </w:divsChild>
    </w:div>
    <w:div w:id="1197038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534</Words>
  <Characters>3044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Welcome</cp:lastModifiedBy>
  <cp:revision>3</cp:revision>
  <dcterms:created xsi:type="dcterms:W3CDTF">2024-01-30T10:47:00Z</dcterms:created>
  <dcterms:modified xsi:type="dcterms:W3CDTF">2024-01-30T16:25:00Z</dcterms:modified>
</cp:coreProperties>
</file>