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hd w:val="clear" w:color="auto" w:fill="FFFFFF"/>
        <w:spacing w:before="0" w:beforeAutospacing="0" w:after="0" w:afterAutospacing="0" w:line="480" w:lineRule="auto"/>
        <w:jc w:val="center"/>
        <w:rPr>
          <w:rFonts w:ascii="Calibri" w:hAnsi="Calibri" w:cs="Calibri"/>
          <w:color w:val="000000"/>
          <w:sz w:val="21"/>
          <w:szCs w:val="21"/>
        </w:rPr>
      </w:pPr>
      <w:r>
        <w:rPr>
          <w:rStyle w:val="11"/>
          <w:rFonts w:ascii="Times New Roman" w:hAnsi="Times New Roman" w:cs="Times New Roman"/>
          <w:b/>
          <w:bCs/>
          <w:color w:val="000000"/>
          <w:sz w:val="44"/>
          <w:szCs w:val="44"/>
        </w:rPr>
        <w:t>Supporting information</w:t>
      </w:r>
    </w:p>
    <w:p>
      <w:pPr>
        <w:jc w:val="center"/>
        <w:rPr>
          <w:rFonts w:ascii="Times New Roman" w:hAnsi="Times New Roman" w:eastAsia="宋体" w:cs="Times New Roman"/>
          <w:b/>
          <w:bCs/>
          <w:sz w:val="28"/>
          <w:szCs w:val="28"/>
          <w:lang w:bidi="ar"/>
        </w:rPr>
      </w:pPr>
      <w:bookmarkStart w:id="0" w:name="_Hlk155991838"/>
    </w:p>
    <w:p>
      <w:pPr>
        <w:jc w:val="center"/>
        <w:rPr>
          <w:rFonts w:ascii="Calibri" w:hAnsi="Calibri" w:cs="Calibri"/>
          <w:color w:val="000000"/>
          <w:szCs w:val="21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  <w:lang w:bidi="ar"/>
        </w:rPr>
        <w:t>Irradiated Microparticles for Treatment of Prostate cancer by Reprograming Tumor Microenvironment and Inducing Multi-modal Death of Tumor</w:t>
      </w:r>
      <w:bookmarkEnd w:id="0"/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155991869"/>
      <w:r>
        <w:rPr>
          <w:rFonts w:ascii="Times New Roman" w:hAnsi="Times New Roman" w:eastAsia="宋体" w:cs="Times New Roman"/>
          <w:sz w:val="24"/>
          <w:szCs w:val="24"/>
          <w:lang w:bidi="ar"/>
        </w:rPr>
        <w:t>Zihan Deng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a,1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, Binghui Li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b,c,1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, Muyang Yang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d,1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, Lisen Lu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d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, Jonathan F. Lovell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e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, Xiantao Zeng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b,c,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*, Weidong Hu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a,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*, Honglin Jin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d,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*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a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Department of Thoracic Surgery, ZhongNan Hospital of Wuhan University, Wuhan, Hubei,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b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Center for Evidence-Based and Translational Medicine, Zhongnan Hospital of Wuhan University, Wuhan,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c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Department of Urology, Zhongnan Hospital of Wuhan University, Wuhan,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d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College of Biomedicine and Health and College of Life Science and Technology, Huazhong Agricultural University, Wuhan, 430070, China.</w:t>
      </w:r>
    </w:p>
    <w:p>
      <w:pPr>
        <w:pStyle w:val="20"/>
        <w:widowControl/>
        <w:rPr>
          <w:color w:val="auto"/>
          <w:szCs w:val="24"/>
        </w:rPr>
      </w:pPr>
      <w:r>
        <w:rPr>
          <w:color w:val="auto"/>
          <w:vertAlign w:val="superscript"/>
        </w:rPr>
        <w:t>e</w:t>
      </w:r>
      <w:r>
        <w:rPr>
          <w:color w:val="auto"/>
          <w:szCs w:val="24"/>
        </w:rPr>
        <w:t xml:space="preserve">Department of Biomedical Engineering, University at Buffalo, State University of New York, </w:t>
      </w:r>
      <w:bookmarkStart w:id="2" w:name="OLE_LINK8"/>
      <w:r>
        <w:rPr>
          <w:color w:val="auto"/>
          <w:szCs w:val="24"/>
        </w:rPr>
        <w:t>Buffalo, NY 14260, USA</w:t>
      </w:r>
      <w:bookmarkEnd w:id="2"/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1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These authors contributed equally to this work.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lang w:bidi="ar"/>
        </w:rPr>
        <w:t>*Corresponding authors.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E-mail addresses: </w:t>
      </w:r>
      <w:r>
        <w:fldChar w:fldCharType="begin"/>
      </w:r>
      <w:r>
        <w:instrText xml:space="preserve"> HYPERLINK "mailto:huwd@whu.edu.cn"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</w:rPr>
        <w:t>huwd@whu.edu.cn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(W. Hu), </w:t>
      </w:r>
      <w:r>
        <w:fldChar w:fldCharType="begin"/>
      </w:r>
      <w:r>
        <w:instrText xml:space="preserve"> HYPERLINK "mailto:jin@hust.edu.cn"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</w:rPr>
        <w:t>jin@hust.edu.cn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(H. Jin), </w:t>
      </w:r>
      <w:r>
        <w:fldChar w:fldCharType="begin"/>
      </w:r>
      <w:r>
        <w:instrText xml:space="preserve"> HYPERLINK "mailto:zengxiantao1128@whu.edu.cn"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</w:rPr>
        <w:t>zengxiantao1128@whu.edu.cn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(X.Zeng)</w:t>
      </w:r>
    </w:p>
    <w:bookmarkEnd w:id="1"/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1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>
      <w:pPr>
        <w:widowControl/>
        <w:spacing w:line="360" w:lineRule="auto"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drawing>
          <wp:inline distT="0" distB="0" distL="0" distR="0">
            <wp:extent cx="4796155" cy="2123440"/>
            <wp:effectExtent l="0" t="0" r="4445" b="0"/>
            <wp:docPr id="1481186008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186008" name="图片 1" descr="图表, 直方图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088" cy="2128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S1. 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 xml:space="preserve">HPLC chromatogram of 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RSL3 and RSL3 in 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>RMPs.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hint="eastAsia" w:ascii="Times New Roman" w:hAnsi="Times New Roman" w:cs="Times New Roman"/>
          <w:b/>
          <w:bCs/>
          <w:i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drawing>
          <wp:inline distT="0" distB="0" distL="0" distR="0">
            <wp:extent cx="5274310" cy="2496820"/>
            <wp:effectExtent l="0" t="0" r="2540" b="0"/>
            <wp:docPr id="284834568" name="图片 2" descr="图表, 条形图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834568" name="图片 2" descr="图表, 条形图, 直方图&#10;&#10;描述已自动生成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S2. DCs and macrophages ingest 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>RMPs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and RC@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 xml:space="preserve">RMPs in a dose manner. </w:t>
      </w:r>
      <w:r>
        <w:rPr>
          <w:rFonts w:ascii="Times New Roman" w:hAnsi="Times New Roman" w:cs="Times New Roman"/>
          <w:iCs/>
          <w:color w:val="000000"/>
          <w:szCs w:val="21"/>
        </w:rPr>
        <w:t>(A)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iCs/>
          <w:color w:val="000000"/>
          <w:szCs w:val="21"/>
        </w:rPr>
        <w:t xml:space="preserve">DC2.4 and (B) RAW264.7 were incubated with DiO pre-dyed RMPs </w:t>
      </w:r>
      <w:r>
        <w:rPr>
          <w:rFonts w:ascii="Times New Roman" w:hAnsi="Times New Roman" w:eastAsia="宋体" w:cs="Times New Roman"/>
          <w:szCs w:val="21"/>
        </w:rPr>
        <w:t>and RC@</w:t>
      </w:r>
      <w:r>
        <w:rPr>
          <w:rFonts w:ascii="Times New Roman" w:hAnsi="Times New Roman" w:cs="Times New Roman"/>
          <w:iCs/>
          <w:color w:val="000000"/>
          <w:szCs w:val="21"/>
        </w:rPr>
        <w:t xml:space="preserve">RMPs for 24 hours and detected MFI in FL1 channel by flow cytometer. </w:t>
      </w:r>
      <w:r>
        <w:rPr>
          <w:rFonts w:ascii="Times New Roman" w:hAnsi="Times New Roman" w:eastAsia="宋体" w:cs="Times New Roman"/>
          <w:szCs w:val="21"/>
        </w:rPr>
        <w:t>P-values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 xml:space="preserve"> were calculated by one-way analysis of variance (ANOVA)</w:t>
      </w:r>
      <w:r>
        <w:rPr>
          <w:rFonts w:ascii="Times New Roman" w:hAnsi="Times New Roman" w:eastAsia="宋体" w:cs="Times New Roman"/>
          <w:szCs w:val="21"/>
        </w:rPr>
        <w:t xml:space="preserve">. </w:t>
      </w:r>
      <w:r>
        <w:rPr>
          <w:rFonts w:ascii="Times New Roman" w:hAnsi="Times New Roman" w:cs="Times New Roman"/>
          <w:color w:val="000000"/>
          <w:szCs w:val="21"/>
        </w:rPr>
        <w:t>*</w:t>
      </w:r>
      <w:r>
        <w:rPr>
          <w:rFonts w:ascii="Times New Roman" w:hAnsi="Times New Roman" w:cs="Times New Roman"/>
          <w:i/>
          <w:iCs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 xml:space="preserve"> &lt; 0.05, **</w:t>
      </w:r>
      <w:r>
        <w:rPr>
          <w:rFonts w:ascii="Times New Roman" w:hAnsi="Times New Roman" w:cs="Times New Roman"/>
          <w:i/>
          <w:iCs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 xml:space="preserve"> &lt; 0.01 and ****</w:t>
      </w:r>
      <w:r>
        <w:rPr>
          <w:rFonts w:ascii="Times New Roman" w:hAnsi="Times New Roman" w:cs="Times New Roman"/>
          <w:i/>
          <w:iCs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 xml:space="preserve"> &lt; 0.0001.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Cs w:val="21"/>
        </w:rPr>
      </w:pPr>
    </w:p>
    <w:p>
      <w:pPr>
        <w:widowControl/>
        <w:spacing w:line="360" w:lineRule="auto"/>
        <w:jc w:val="left"/>
        <w:rPr>
          <w:rFonts w:hint="eastAsia" w:ascii="Times New Roman" w:hAnsi="Times New Roman" w:eastAsia="宋体" w:cs="Times New Roman"/>
          <w:kern w:val="0"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drawing>
          <wp:inline distT="0" distB="0" distL="0" distR="0">
            <wp:extent cx="5274310" cy="2001520"/>
            <wp:effectExtent l="0" t="0" r="2540" b="0"/>
            <wp:docPr id="862444750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444750" name="图片 1" descr="图表, 折线图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S3. The toxicity of all the RMPs to DCs and macrophages. </w:t>
      </w:r>
      <w:r>
        <w:rPr>
          <w:rFonts w:ascii="Times New Roman" w:hAnsi="Times New Roman" w:cs="Times New Roman"/>
          <w:szCs w:val="21"/>
        </w:rPr>
        <w:t xml:space="preserve">RM-1 cells were incubated with </w:t>
      </w:r>
      <w:r>
        <w:rPr>
          <w:rFonts w:ascii="Times New Roman" w:hAnsi="Times New Roman" w:eastAsia="宋体" w:cs="Times New Roman"/>
          <w:szCs w:val="21"/>
        </w:rPr>
        <w:t>RMPs, RSL3@ RMPs, CT20p@RMPs and RC@</w:t>
      </w:r>
      <w:r>
        <w:rPr>
          <w:rFonts w:ascii="Times New Roman" w:hAnsi="Times New Roman" w:cs="Times New Roman"/>
          <w:iCs/>
          <w:color w:val="000000"/>
          <w:szCs w:val="21"/>
        </w:rPr>
        <w:t>RMPs</w:t>
      </w:r>
      <w:r>
        <w:rPr>
          <w:rFonts w:ascii="Times New Roman" w:hAnsi="Times New Roman" w:eastAsia="宋体" w:cs="Times New Roman"/>
          <w:szCs w:val="21"/>
        </w:rPr>
        <w:t xml:space="preserve"> for 24 hours. </w:t>
      </w:r>
      <w:r>
        <w:rPr>
          <w:rFonts w:ascii="Times New Roman" w:hAnsi="Times New Roman" w:cs="Times New Roman"/>
          <w:bCs/>
          <w:iCs/>
          <w:color w:val="000000"/>
          <w:szCs w:val="21"/>
        </w:rPr>
        <w:t xml:space="preserve">Relative cell growth of RM-1 cells </w:t>
      </w:r>
      <w:r>
        <w:rPr>
          <w:rFonts w:ascii="Times New Roman" w:hAnsi="Times New Roman" w:eastAsia="宋体" w:cs="Times New Roman"/>
          <w:szCs w:val="21"/>
        </w:rPr>
        <w:t>was measured by CCK-8 assay.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drawing>
          <wp:inline distT="0" distB="0" distL="0" distR="0">
            <wp:extent cx="2692400" cy="3804920"/>
            <wp:effectExtent l="0" t="0" r="0" b="508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380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4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eastAsia="宋体" w:cs="Times New Roman"/>
          <w:b/>
          <w:bCs/>
          <w:szCs w:val="21"/>
        </w:rPr>
        <w:t>RSL3 and CT20p loading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1"/>
        </w:rPr>
        <w:t>maintains RMPs’ ability to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 xml:space="preserve"> activate cGAS-STING pathway.</w:t>
      </w:r>
      <w:r>
        <w:rPr>
          <w:rFonts w:ascii="Times New Roman" w:hAnsi="Times New Roman" w:cs="Times New Roman"/>
          <w:bCs/>
          <w:iCs/>
          <w:color w:val="000000"/>
          <w:szCs w:val="21"/>
        </w:rPr>
        <w:t xml:space="preserve"> DC2.4 was incubated with </w:t>
      </w:r>
      <w:r>
        <w:rPr>
          <w:rFonts w:ascii="Times New Roman" w:hAnsi="Times New Roman" w:eastAsia="宋体" w:cs="Times New Roman"/>
          <w:bCs/>
          <w:szCs w:val="21"/>
        </w:rPr>
        <w:t>RMPs, RSL3@RMPs, CT20p@RMPs and RC@</w:t>
      </w:r>
      <w:r>
        <w:rPr>
          <w:rFonts w:ascii="Times New Roman" w:hAnsi="Times New Roman" w:cs="Times New Roman"/>
          <w:bCs/>
          <w:iCs/>
          <w:color w:val="000000"/>
          <w:szCs w:val="21"/>
        </w:rPr>
        <w:t>RMPs</w:t>
      </w:r>
      <w:r>
        <w:rPr>
          <w:rFonts w:ascii="Times New Roman" w:hAnsi="Times New Roman" w:cs="Times New Roman"/>
          <w:bCs/>
          <w:szCs w:val="21"/>
        </w:rPr>
        <w:t xml:space="preserve"> for 24 </w:t>
      </w:r>
      <w:r>
        <w:rPr>
          <w:rFonts w:hint="eastAsia" w:ascii="Times New Roman" w:hAnsi="Times New Roman" w:cs="Times New Roman"/>
          <w:bCs/>
          <w:szCs w:val="21"/>
        </w:rPr>
        <w:t>hours</w:t>
      </w:r>
      <w:r>
        <w:rPr>
          <w:rFonts w:ascii="Times New Roman" w:hAnsi="Times New Roman" w:cs="Times New Roman"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Western blotting analyzed the level of p-STING, p-NF</w:t>
      </w:r>
      <w:r>
        <w:rPr>
          <w:rFonts w:ascii="Times New Roman" w:hAnsi="Times New Roman" w:eastAsia="等线" w:cs="Times New Roman"/>
          <w:szCs w:val="21"/>
        </w:rPr>
        <w:t>κ</w:t>
      </w:r>
      <w:r>
        <w:rPr>
          <w:rFonts w:ascii="Times New Roman" w:hAnsi="Times New Roman" w:cs="Times New Roman"/>
          <w:szCs w:val="21"/>
        </w:rPr>
        <w:t>B, STING, and NF-</w:t>
      </w:r>
      <w:r>
        <w:rPr>
          <w:rFonts w:ascii="Times New Roman" w:hAnsi="Times New Roman" w:eastAsia="等线" w:cs="Times New Roman"/>
          <w:szCs w:val="21"/>
        </w:rPr>
        <w:t>κ</w:t>
      </w:r>
      <w:r>
        <w:rPr>
          <w:rFonts w:ascii="Times New Roman" w:hAnsi="Times New Roman" w:cs="Times New Roman"/>
          <w:szCs w:val="21"/>
        </w:rPr>
        <w:t>B in DC2.4 lysis. GAPDH and Laminin B1 were respectively applied as internal references of cytoplasm and nucleus protein.</w:t>
      </w:r>
    </w:p>
    <w:p>
      <w:pPr>
        <w:widowControl/>
        <w:spacing w:line="360" w:lineRule="auto"/>
        <w:jc w:val="left"/>
        <w:rPr>
          <w:rFonts w:hint="eastAsia" w:ascii="Times New Roman" w:hAnsi="Times New Roman" w:cs="Times New Roman"/>
          <w:b/>
          <w:bCs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drawing>
          <wp:inline distT="0" distB="0" distL="0" distR="0">
            <wp:extent cx="2774315" cy="2980055"/>
            <wp:effectExtent l="0" t="0" r="6985" b="0"/>
            <wp:docPr id="11800300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030027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6342" cy="29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5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RSL3 and CT20p loading does not influence RMPs to inhibit M2 macrophage polarization. </w:t>
      </w:r>
      <w:r>
        <w:rPr>
          <w:rFonts w:ascii="Times New Roman" w:hAnsi="Times New Roman" w:cs="Times New Roman"/>
          <w:bCs/>
          <w:iCs/>
          <w:color w:val="000000"/>
          <w:szCs w:val="21"/>
        </w:rPr>
        <w:t>RAW264.7</w:t>
      </w:r>
      <w:r>
        <w:rPr>
          <w:rFonts w:ascii="Times New Roman" w:hAnsi="Times New Roman" w:cs="Times New Roman"/>
          <w:szCs w:val="21"/>
        </w:rPr>
        <w:t xml:space="preserve"> was incubated with </w:t>
      </w:r>
      <w:r>
        <w:rPr>
          <w:rFonts w:ascii="Times New Roman" w:hAnsi="Times New Roman" w:eastAsia="宋体" w:cs="Times New Roman"/>
          <w:szCs w:val="21"/>
        </w:rPr>
        <w:t>RMPs, RSL3@ RMPs, CT20p@RMPs and RC@</w:t>
      </w:r>
      <w:r>
        <w:rPr>
          <w:rFonts w:ascii="Times New Roman" w:hAnsi="Times New Roman" w:cs="Times New Roman"/>
          <w:iCs/>
          <w:color w:val="000000"/>
          <w:szCs w:val="21"/>
        </w:rPr>
        <w:t>RMPs</w:t>
      </w:r>
      <w:r>
        <w:rPr>
          <w:rFonts w:ascii="Times New Roman" w:hAnsi="Times New Roman" w:eastAsia="宋体" w:cs="Times New Roman"/>
          <w:szCs w:val="21"/>
        </w:rPr>
        <w:t xml:space="preserve"> for 24 hours. Flow cytometer analyzed the expression of CD206.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>
      <w:pPr>
        <w:widowControl/>
        <w:spacing w:line="360" w:lineRule="auto"/>
        <w:jc w:val="left"/>
        <w:rPr>
          <w:rFonts w:hint="eastAsia" w:ascii="Times New Roman" w:hAnsi="Times New Roman" w:cs="Times New Roman"/>
          <w:b/>
          <w:bCs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eastAsia="宋体" w:cs="Times New Roman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bookmarkStart w:id="3" w:name="_GoBack"/>
      <w:bookmarkEnd w:id="3"/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drawing>
          <wp:inline distT="0" distB="0" distL="0" distR="0">
            <wp:extent cx="5103495" cy="7158355"/>
            <wp:effectExtent l="0" t="0" r="1905" b="4445"/>
            <wp:docPr id="576955629" name="图片 5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955629" name="图片 5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9488" cy="716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hint="eastAsia"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S6. </w:t>
      </w:r>
      <w:r>
        <w:rPr>
          <w:rFonts w:ascii="Times New Roman" w:hAnsi="Times New Roman" w:cs="Times New Roman"/>
          <w:b/>
          <w:bCs/>
          <w:color w:val="000000"/>
          <w:szCs w:val="21"/>
        </w:rPr>
        <w:t>Distribution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of </w:t>
      </w:r>
      <w:r>
        <w:rPr>
          <w:rFonts w:ascii="Times New Roman" w:hAnsi="Times New Roman" w:eastAsia="宋体" w:cs="Times New Roman"/>
          <w:b/>
          <w:bCs/>
          <w:szCs w:val="21"/>
        </w:rPr>
        <w:t>RMPs and RC@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>RMPs in vivo.</w:t>
      </w:r>
      <w:r>
        <w:rPr>
          <w:rFonts w:ascii="Times New Roman" w:hAnsi="Times New Roman" w:cs="Times New Roman"/>
          <w:bCs/>
          <w:iCs/>
          <w:color w:val="000000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100 </w:t>
      </w:r>
      <w:r>
        <w:rPr>
          <w:rFonts w:ascii="Times New Roman" w:hAnsi="Times New Roman" w:cs="Times New Roman"/>
          <w:bCs/>
          <w:iCs/>
          <w:color w:val="000000"/>
          <w:szCs w:val="21"/>
        </w:rPr>
        <w:t xml:space="preserve">μg PKH26 pre-dyed </w:t>
      </w:r>
      <w:r>
        <w:rPr>
          <w:rFonts w:ascii="Times New Roman" w:hAnsi="Times New Roman" w:cs="Times New Roman"/>
          <w:iCs/>
          <w:color w:val="000000"/>
          <w:szCs w:val="21"/>
        </w:rPr>
        <w:t>RMPs</w:t>
      </w:r>
      <w:r>
        <w:rPr>
          <w:rFonts w:ascii="Times New Roman" w:hAnsi="Times New Roman" w:eastAsia="宋体" w:cs="Times New Roman"/>
          <w:szCs w:val="21"/>
        </w:rPr>
        <w:t xml:space="preserve"> and RC@</w:t>
      </w:r>
      <w:r>
        <w:rPr>
          <w:rFonts w:ascii="Times New Roman" w:hAnsi="Times New Roman" w:cs="Times New Roman"/>
          <w:iCs/>
          <w:color w:val="000000"/>
          <w:szCs w:val="21"/>
        </w:rPr>
        <w:t xml:space="preserve">RMPs were </w:t>
      </w:r>
      <w:r>
        <w:rPr>
          <w:rFonts w:ascii="Times New Roman" w:hAnsi="Times New Roman" w:cs="Times New Roman"/>
          <w:szCs w:val="21"/>
        </w:rPr>
        <w:t>intratumorally injected</w:t>
      </w:r>
      <w:r>
        <w:rPr>
          <w:rFonts w:ascii="Times New Roman" w:hAnsi="Times New Roman" w:eastAsia="宋体" w:cs="Times New Roman"/>
          <w:szCs w:val="21"/>
        </w:rPr>
        <w:t xml:space="preserve"> and the mice were sacrificed 24 hour after treatment. (A) </w:t>
      </w:r>
      <w:r>
        <w:rPr>
          <w:rFonts w:ascii="Times New Roman" w:hAnsi="Times New Roman" w:cs="Times New Roman"/>
          <w:bCs/>
          <w:iCs/>
          <w:color w:val="000000"/>
          <w:szCs w:val="21"/>
        </w:rPr>
        <w:t xml:space="preserve">PKH26 imaging of </w:t>
      </w:r>
      <w:r>
        <w:rPr>
          <w:rFonts w:ascii="Times New Roman" w:hAnsi="Times New Roman" w:eastAsia="宋体" w:cs="Times New Roman"/>
          <w:szCs w:val="21"/>
        </w:rPr>
        <w:t>main organs and tumor by IVIS system. (B) Representative immunofluorescence images showing colocalization</w:t>
      </w:r>
      <w:r>
        <w:rPr>
          <w:rFonts w:ascii="Times New Roman" w:hAnsi="Times New Roman" w:cs="Times New Roman"/>
          <w:iCs/>
          <w:color w:val="000000"/>
          <w:szCs w:val="21"/>
        </w:rPr>
        <w:t xml:space="preserve"> of RMPs</w:t>
      </w:r>
      <w:r>
        <w:rPr>
          <w:rFonts w:ascii="Times New Roman" w:hAnsi="Times New Roman" w:eastAsia="宋体" w:cs="Times New Roman"/>
          <w:szCs w:val="21"/>
        </w:rPr>
        <w:t xml:space="preserve"> and Ly6G</w:t>
      </w:r>
      <w:r>
        <w:rPr>
          <w:rFonts w:ascii="Times New Roman" w:hAnsi="Times New Roman" w:eastAsia="宋体" w:cs="Times New Roman"/>
          <w:szCs w:val="21"/>
          <w:vertAlign w:val="superscript"/>
        </w:rPr>
        <w:t>+</w:t>
      </w:r>
      <w:r>
        <w:rPr>
          <w:rFonts w:ascii="Times New Roman" w:hAnsi="Times New Roman" w:eastAsia="宋体" w:cs="Times New Roman"/>
          <w:szCs w:val="21"/>
        </w:rPr>
        <w:t xml:space="preserve"> neutrophils in tumor tissue 24 hour after treatment.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73675" cy="7314565"/>
            <wp:effectExtent l="0" t="0" r="3175" b="635"/>
            <wp:docPr id="1734741453" name="图片 6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741453" name="图片 6" descr="图示, 工程绘图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161" cy="731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S7. The </w:t>
      </w:r>
      <w:r>
        <w:rPr>
          <w:rFonts w:ascii="Times New Roman" w:hAnsi="Times New Roman" w:cs="Times New Roman"/>
          <w:b/>
          <w:bCs/>
          <w:color w:val="000000"/>
          <w:szCs w:val="21"/>
        </w:rPr>
        <w:t>gating of flow cytometer for different immune cells in Figure 5D-L.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drawing>
          <wp:inline distT="0" distB="0" distL="0" distR="0">
            <wp:extent cx="5274310" cy="6394450"/>
            <wp:effectExtent l="0" t="0" r="2540" b="6350"/>
            <wp:docPr id="580938661" name="图片 7" descr="图片包含 表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938661" name="图片 7" descr="图片包含 表面图&#10;&#10;描述已自动生成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9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S8. The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spectrum of cytokines is changed by </w:t>
      </w:r>
      <w:r>
        <w:rPr>
          <w:rFonts w:ascii="Times New Roman" w:hAnsi="Times New Roman" w:eastAsia="宋体" w:cs="Times New Roman"/>
          <w:b/>
          <w:bCs/>
          <w:szCs w:val="21"/>
        </w:rPr>
        <w:t>RC@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>RMPs and anti-PD-1 mAb combination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. </w:t>
      </w:r>
      <w:r>
        <w:rPr>
          <w:rFonts w:ascii="Times New Roman" w:hAnsi="Times New Roman" w:cs="Times New Roman"/>
          <w:color w:val="000000"/>
          <w:szCs w:val="21"/>
        </w:rPr>
        <w:t xml:space="preserve">The levels of related cytokines in homogenate of RM-1 tumor in mice treated according to Figure 5A were measured by </w:t>
      </w:r>
      <w:r>
        <w:rPr>
          <w:rFonts w:ascii="Times New Roman" w:hAnsi="Times New Roman" w:cs="Times New Roman"/>
          <w:szCs w:val="21"/>
        </w:rPr>
        <w:t>Cytokine Release Syndrome Panel</w:t>
      </w:r>
      <w:r>
        <w:rPr>
          <w:rFonts w:ascii="Times New Roman" w:hAnsi="Times New Roman" w:cs="Times New Roman"/>
          <w:color w:val="000000"/>
          <w:szCs w:val="21"/>
        </w:rPr>
        <w:t xml:space="preserve">. </w:t>
      </w:r>
      <w:r>
        <w:rPr>
          <w:rFonts w:ascii="Times New Roman" w:hAnsi="Times New Roman" w:eastAsia="宋体" w:cs="Times New Roman"/>
          <w:szCs w:val="21"/>
        </w:rPr>
        <w:t>P-values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 xml:space="preserve"> of other experiments were calculated by one-way analysis of variance (ANOVA)</w:t>
      </w:r>
      <w:r>
        <w:rPr>
          <w:rFonts w:ascii="Times New Roman" w:hAnsi="Times New Roman" w:eastAsia="宋体" w:cs="Times New Roman"/>
          <w:szCs w:val="21"/>
        </w:rPr>
        <w:t xml:space="preserve">. </w:t>
      </w:r>
      <w:r>
        <w:rPr>
          <w:rFonts w:ascii="Times New Roman" w:hAnsi="Times New Roman" w:cs="Times New Roman"/>
          <w:color w:val="000000"/>
          <w:szCs w:val="21"/>
        </w:rPr>
        <w:t>*</w:t>
      </w:r>
      <w:r>
        <w:rPr>
          <w:rFonts w:ascii="Times New Roman" w:hAnsi="Times New Roman" w:cs="Times New Roman"/>
          <w:i/>
          <w:iCs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 xml:space="preserve"> &lt; 0.05,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**</w:t>
      </w:r>
      <w:r>
        <w:rPr>
          <w:rFonts w:ascii="Times New Roman" w:hAnsi="Times New Roman" w:cs="Times New Roman"/>
          <w:i/>
          <w:iCs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 xml:space="preserve"> &lt; 0.01, ***</w:t>
      </w:r>
      <w:r>
        <w:rPr>
          <w:rFonts w:ascii="Times New Roman" w:hAnsi="Times New Roman" w:cs="Times New Roman"/>
          <w:i/>
          <w:iCs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 xml:space="preserve"> &lt; 0.001 and ****</w:t>
      </w:r>
      <w:r>
        <w:rPr>
          <w:rFonts w:ascii="Times New Roman" w:hAnsi="Times New Roman" w:cs="Times New Roman"/>
          <w:i/>
          <w:iCs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 xml:space="preserve"> &lt; 0.0001, ns stands for on significance.</w:t>
      </w:r>
    </w:p>
    <w:p>
      <w:pPr>
        <w:widowControl/>
        <w:spacing w:line="360" w:lineRule="auto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pacing w:line="360" w:lineRule="auto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pacing w:line="360" w:lineRule="auto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cs="Times New Roman"/>
          <w:color w:val="000000"/>
          <w:szCs w:val="21"/>
        </w:rPr>
        <w:drawing>
          <wp:inline distT="0" distB="0" distL="0" distR="0">
            <wp:extent cx="5274310" cy="6515735"/>
            <wp:effectExtent l="0" t="0" r="2540" b="0"/>
            <wp:docPr id="2025350272" name="图片 8" descr="图表, 树状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350272" name="图片 8" descr="图表, 树状图&#10;&#10;描述已自动生成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1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S9. Increasing infiltration of T cells after </w:t>
      </w:r>
      <w:r>
        <w:rPr>
          <w:rFonts w:ascii="Times New Roman" w:hAnsi="Times New Roman" w:eastAsia="宋体" w:cs="Times New Roman"/>
          <w:b/>
          <w:bCs/>
          <w:szCs w:val="21"/>
        </w:rPr>
        <w:t>RC@</w:t>
      </w:r>
      <w:r>
        <w:rPr>
          <w:rFonts w:ascii="Times New Roman" w:hAnsi="Times New Roman" w:cs="Times New Roman"/>
          <w:b/>
          <w:bCs/>
          <w:iCs/>
          <w:color w:val="000000"/>
          <w:szCs w:val="21"/>
        </w:rPr>
        <w:t>RMPs</w:t>
      </w:r>
      <w:r>
        <w:rPr>
          <w:rFonts w:ascii="Times New Roman" w:hAnsi="Times New Roman" w:cs="Times New Roman"/>
          <w:b/>
          <w:bCs/>
          <w:szCs w:val="21"/>
        </w:rPr>
        <w:t xml:space="preserve"> treatment for RM-1 tumor. </w:t>
      </w:r>
      <w:r>
        <w:rPr>
          <w:rFonts w:ascii="Times New Roman" w:hAnsi="Times New Roman" w:cs="Times New Roman"/>
          <w:szCs w:val="21"/>
        </w:rPr>
        <w:t>RM-1 tumor burden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mice were treated and sacrificed according to Figure 5A.</w:t>
      </w:r>
      <w:r>
        <w:rPr>
          <w:rFonts w:ascii="Times New Roman" w:hAnsi="Times New Roman" w:eastAsia="宋体" w:cs="Times New Roman"/>
          <w:szCs w:val="21"/>
        </w:rPr>
        <w:t xml:space="preserve"> Representative immunofluorescence images showing the number of CD3</w:t>
      </w:r>
      <w:r>
        <w:rPr>
          <w:rFonts w:ascii="Times New Roman" w:hAnsi="Times New Roman" w:eastAsia="宋体" w:cs="Times New Roman"/>
          <w:szCs w:val="21"/>
          <w:vertAlign w:val="superscript"/>
        </w:rPr>
        <w:t>+</w:t>
      </w:r>
      <w:r>
        <w:rPr>
          <w:rFonts w:ascii="Times New Roman" w:hAnsi="Times New Roman" w:eastAsia="宋体" w:cs="Times New Roman"/>
          <w:szCs w:val="21"/>
        </w:rPr>
        <w:t xml:space="preserve"> T cells (A) and Ly6G</w:t>
      </w:r>
      <w:r>
        <w:rPr>
          <w:rFonts w:ascii="Times New Roman" w:hAnsi="Times New Roman" w:eastAsia="宋体" w:cs="Times New Roman"/>
          <w:szCs w:val="21"/>
          <w:vertAlign w:val="superscript"/>
        </w:rPr>
        <w:t>+</w:t>
      </w:r>
      <w:r>
        <w:rPr>
          <w:rFonts w:ascii="Times New Roman" w:hAnsi="Times New Roman" w:eastAsia="宋体" w:cs="Times New Roman"/>
          <w:szCs w:val="21"/>
        </w:rPr>
        <w:t xml:space="preserve"> neutrophils (B) in tumor tissue.</w:t>
      </w:r>
    </w:p>
    <w:p>
      <w:pPr>
        <w:widowControl/>
        <w:spacing w:line="360" w:lineRule="auto"/>
        <w:rPr>
          <w:rFonts w:ascii="Times New Roman" w:hAnsi="Times New Roman" w:eastAsia="宋体" w:cs="Times New Roman"/>
          <w:szCs w:val="21"/>
        </w:rPr>
      </w:pPr>
    </w:p>
    <w:p>
      <w:pPr>
        <w:widowControl/>
        <w:spacing w:line="360" w:lineRule="auto"/>
        <w:rPr>
          <w:rFonts w:ascii="Times New Roman" w:hAnsi="Times New Roman" w:eastAsia="宋体" w:cs="Times New Roman"/>
          <w:szCs w:val="21"/>
        </w:rPr>
      </w:pPr>
    </w:p>
    <w:p>
      <w:pPr>
        <w:widowControl/>
        <w:spacing w:line="360" w:lineRule="auto"/>
        <w:rPr>
          <w:rFonts w:ascii="Times New Roman" w:hAnsi="Times New Roman" w:eastAsia="宋体" w:cs="Times New Roman"/>
          <w:szCs w:val="21"/>
        </w:rPr>
      </w:pPr>
    </w:p>
    <w:p>
      <w:pPr>
        <w:widowControl/>
        <w:spacing w:line="360" w:lineRule="auto"/>
        <w:rPr>
          <w:rFonts w:ascii="Times New Roman" w:hAnsi="Times New Roman" w:eastAsia="宋体" w:cs="Times New Roman"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drawing>
          <wp:inline distT="0" distB="0" distL="0" distR="0">
            <wp:extent cx="4191000" cy="4970780"/>
            <wp:effectExtent l="0" t="0" r="0" b="1270"/>
            <wp:docPr id="1963969293" name="图片 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969293" name="图片 9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497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S10. Confirmation of immune cell subset depletion. </w:t>
      </w:r>
      <w:r>
        <w:rPr>
          <w:rFonts w:ascii="Times New Roman" w:hAnsi="Times New Roman" w:cs="Times New Roman"/>
          <w:szCs w:val="21"/>
        </w:rPr>
        <w:t>The percentages of CD4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 xml:space="preserve"> T cells, CD8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 xml:space="preserve"> T cells, neutrophils and macrophages in peripheral blood were detected by flow cytometer 24 hour after treatment of corresponding agents for immunocyte depletion.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drawing>
          <wp:inline distT="0" distB="0" distL="0" distR="0">
            <wp:extent cx="5274310" cy="4676140"/>
            <wp:effectExtent l="0" t="0" r="2540" b="0"/>
            <wp:docPr id="1508792272" name="图片 10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792272" name="图片 10" descr="图片包含 游戏机&#10;&#10;描述已自动生成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S11. All the treatments for RM-1 tumor were safe.</w:t>
      </w:r>
      <w:r>
        <w:rPr>
          <w:rFonts w:ascii="Times New Roman" w:hAnsi="Times New Roman" w:cs="Times New Roman"/>
          <w:szCs w:val="21"/>
        </w:rPr>
        <w:t xml:space="preserve"> (A) The </w:t>
      </w:r>
      <w:r>
        <w:rPr>
          <w:rFonts w:ascii="Times New Roman" w:hAnsi="Times New Roman" w:cs="Times New Roman"/>
          <w:iCs/>
          <w:color w:val="000000"/>
          <w:szCs w:val="21"/>
        </w:rPr>
        <w:t xml:space="preserve">level of alanine transaminase (ALT), aspartate transaminase (AST), blood urea nitrogen (BUN) and creatinine (CREA) in serum for evaluation of hepatic and renal function. (B) The </w:t>
      </w:r>
      <w:r>
        <w:rPr>
          <w:rFonts w:ascii="Times New Roman" w:hAnsi="Times New Roman" w:cs="Times New Roman"/>
          <w:bCs/>
          <w:iCs/>
          <w:color w:val="000000"/>
          <w:szCs w:val="21"/>
        </w:rPr>
        <w:t>histopathological examination of heart, liver, spleen, lung and kidney.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Cs w:val="21"/>
        </w:rPr>
      </w:pPr>
    </w:p>
    <w:p>
      <w:pPr>
        <w:pStyle w:val="18"/>
        <w:spacing w:line="360" w:lineRule="auto"/>
        <w:ind w:left="720" w:hanging="720"/>
        <w:rPr>
          <w:rFonts w:ascii="Times New Roman" w:hAnsi="Times New Roman" w:cs="Times New Roman"/>
          <w:sz w:val="21"/>
          <w:szCs w:val="21"/>
        </w:rPr>
      </w:pPr>
    </w:p>
    <w:p>
      <w:pPr>
        <w:widowControl/>
        <w:spacing w:line="360" w:lineRule="auto"/>
        <w:jc w:val="left"/>
        <w:rPr>
          <w:rFonts w:hint="eastAsia" w:ascii="Times New Roman" w:hAnsi="Times New Roman" w:eastAsia="宋体" w:cs="Times New Roman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yZGNhYjc0YTFkNmE5NWVmMDRmYjIzYzVlMTAxOTg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-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vtafea5x90repet9zl5dt9a0ef2szvepdee&quot;&gt;My EndNote Library&lt;record-ids&gt;&lt;item&gt;1&lt;/item&gt;&lt;item&gt;2&lt;/item&gt;&lt;/record-ids&gt;&lt;/item&gt;&lt;/Libraries&gt;"/>
  </w:docVars>
  <w:rsids>
    <w:rsidRoot w:val="00DE498B"/>
    <w:rsid w:val="000127D6"/>
    <w:rsid w:val="00031246"/>
    <w:rsid w:val="00052969"/>
    <w:rsid w:val="000679DD"/>
    <w:rsid w:val="000907AD"/>
    <w:rsid w:val="001448EA"/>
    <w:rsid w:val="00147D65"/>
    <w:rsid w:val="00165F51"/>
    <w:rsid w:val="001802CD"/>
    <w:rsid w:val="00181E7F"/>
    <w:rsid w:val="001A3FD4"/>
    <w:rsid w:val="001D3973"/>
    <w:rsid w:val="00202B5A"/>
    <w:rsid w:val="00205311"/>
    <w:rsid w:val="002217F5"/>
    <w:rsid w:val="00243620"/>
    <w:rsid w:val="00263E7D"/>
    <w:rsid w:val="002828AC"/>
    <w:rsid w:val="002A51DA"/>
    <w:rsid w:val="002C2BF1"/>
    <w:rsid w:val="002F672A"/>
    <w:rsid w:val="00316AF4"/>
    <w:rsid w:val="00326364"/>
    <w:rsid w:val="003513CE"/>
    <w:rsid w:val="003A6C9F"/>
    <w:rsid w:val="003C2633"/>
    <w:rsid w:val="003F0DDC"/>
    <w:rsid w:val="004146F2"/>
    <w:rsid w:val="00433869"/>
    <w:rsid w:val="00441438"/>
    <w:rsid w:val="004533A7"/>
    <w:rsid w:val="00464DF2"/>
    <w:rsid w:val="004868B7"/>
    <w:rsid w:val="004F3DC7"/>
    <w:rsid w:val="00513104"/>
    <w:rsid w:val="00547371"/>
    <w:rsid w:val="005967CB"/>
    <w:rsid w:val="005D4CED"/>
    <w:rsid w:val="005E2DB0"/>
    <w:rsid w:val="00650882"/>
    <w:rsid w:val="00664A52"/>
    <w:rsid w:val="00664BA9"/>
    <w:rsid w:val="00665225"/>
    <w:rsid w:val="006830AC"/>
    <w:rsid w:val="006A057D"/>
    <w:rsid w:val="006B366F"/>
    <w:rsid w:val="00705022"/>
    <w:rsid w:val="00740517"/>
    <w:rsid w:val="007A4A8D"/>
    <w:rsid w:val="007B5CDE"/>
    <w:rsid w:val="007C2845"/>
    <w:rsid w:val="007F00C0"/>
    <w:rsid w:val="0080433C"/>
    <w:rsid w:val="00836C53"/>
    <w:rsid w:val="00851613"/>
    <w:rsid w:val="008529E1"/>
    <w:rsid w:val="00854909"/>
    <w:rsid w:val="00867D63"/>
    <w:rsid w:val="00873648"/>
    <w:rsid w:val="008A07DD"/>
    <w:rsid w:val="008C5150"/>
    <w:rsid w:val="008F28E7"/>
    <w:rsid w:val="00924B60"/>
    <w:rsid w:val="0097547E"/>
    <w:rsid w:val="009A42B6"/>
    <w:rsid w:val="009A4532"/>
    <w:rsid w:val="009B7A79"/>
    <w:rsid w:val="009F7C44"/>
    <w:rsid w:val="00A24D22"/>
    <w:rsid w:val="00A325F3"/>
    <w:rsid w:val="00A36E24"/>
    <w:rsid w:val="00A42CC5"/>
    <w:rsid w:val="00AB008F"/>
    <w:rsid w:val="00AB4BE4"/>
    <w:rsid w:val="00AD482F"/>
    <w:rsid w:val="00B14525"/>
    <w:rsid w:val="00B315DC"/>
    <w:rsid w:val="00B32EAF"/>
    <w:rsid w:val="00B57FE4"/>
    <w:rsid w:val="00B60FC2"/>
    <w:rsid w:val="00B631EB"/>
    <w:rsid w:val="00B95396"/>
    <w:rsid w:val="00BB4FDD"/>
    <w:rsid w:val="00BC2A31"/>
    <w:rsid w:val="00BC628B"/>
    <w:rsid w:val="00BE16B3"/>
    <w:rsid w:val="00BF0CE9"/>
    <w:rsid w:val="00C0504F"/>
    <w:rsid w:val="00C41523"/>
    <w:rsid w:val="00C852BF"/>
    <w:rsid w:val="00C97BA3"/>
    <w:rsid w:val="00CC08B2"/>
    <w:rsid w:val="00CC12E3"/>
    <w:rsid w:val="00CD5948"/>
    <w:rsid w:val="00CF4E85"/>
    <w:rsid w:val="00CF72CC"/>
    <w:rsid w:val="00D31BB2"/>
    <w:rsid w:val="00D34ED2"/>
    <w:rsid w:val="00D82BC7"/>
    <w:rsid w:val="00DA0575"/>
    <w:rsid w:val="00DA4030"/>
    <w:rsid w:val="00DB1767"/>
    <w:rsid w:val="00DC7271"/>
    <w:rsid w:val="00DE498B"/>
    <w:rsid w:val="00E11AC2"/>
    <w:rsid w:val="00E32C0C"/>
    <w:rsid w:val="00E3572A"/>
    <w:rsid w:val="00E626EB"/>
    <w:rsid w:val="00E64605"/>
    <w:rsid w:val="00E64749"/>
    <w:rsid w:val="00E70E55"/>
    <w:rsid w:val="00E90B41"/>
    <w:rsid w:val="00EA0FAF"/>
    <w:rsid w:val="00ED0125"/>
    <w:rsid w:val="00F017A6"/>
    <w:rsid w:val="00F0753F"/>
    <w:rsid w:val="00F126FF"/>
    <w:rsid w:val="00F33256"/>
    <w:rsid w:val="00FA196F"/>
    <w:rsid w:val="00FE07C5"/>
    <w:rsid w:val="20301387"/>
    <w:rsid w:val="398D2B35"/>
    <w:rsid w:val="4A1E43F9"/>
    <w:rsid w:val="6B281EF7"/>
    <w:rsid w:val="702E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semiHidden/>
    <w:unhideWhenUsed/>
    <w:qFormat/>
    <w:uiPriority w:val="99"/>
    <w:rPr>
      <w:color w:val="7E1FAD"/>
      <w:u w:val="single"/>
    </w:rPr>
  </w:style>
  <w:style w:type="character" w:styleId="7">
    <w:name w:val="Emphasis"/>
    <w:basedOn w:val="5"/>
    <w:autoRedefine/>
    <w:qFormat/>
    <w:uiPriority w:val="20"/>
    <w:rPr>
      <w:i/>
      <w:iCs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9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autoRedefine/>
    <w:qFormat/>
    <w:uiPriority w:val="99"/>
    <w:rPr>
      <w:sz w:val="18"/>
      <w:szCs w:val="18"/>
    </w:rPr>
  </w:style>
  <w:style w:type="character" w:customStyle="1" w:styleId="11">
    <w:name w:val="qowt-font2-timesnewroman"/>
    <w:basedOn w:val="5"/>
    <w:autoRedefine/>
    <w:qFormat/>
    <w:uiPriority w:val="0"/>
  </w:style>
  <w:style w:type="paragraph" w:customStyle="1" w:styleId="12">
    <w:name w:val="x-scop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qowt-stl-default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gd7av8we3j"/>
    <w:basedOn w:val="5"/>
    <w:autoRedefine/>
    <w:qFormat/>
    <w:uiPriority w:val="0"/>
  </w:style>
  <w:style w:type="paragraph" w:customStyle="1" w:styleId="16">
    <w:name w:val="EndNote Bibliography Title"/>
    <w:basedOn w:val="1"/>
    <w:link w:val="17"/>
    <w:autoRedefine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7">
    <w:name w:val="EndNote Bibliography Title 字符"/>
    <w:basedOn w:val="5"/>
    <w:link w:val="16"/>
    <w:autoRedefine/>
    <w:qFormat/>
    <w:uiPriority w:val="0"/>
    <w:rPr>
      <w:rFonts w:ascii="等线" w:hAnsi="等线" w:eastAsia="等线"/>
      <w:kern w:val="2"/>
      <w:szCs w:val="22"/>
    </w:rPr>
  </w:style>
  <w:style w:type="paragraph" w:customStyle="1" w:styleId="18">
    <w:name w:val="EndNote Bibliography"/>
    <w:basedOn w:val="1"/>
    <w:link w:val="19"/>
    <w:autoRedefine/>
    <w:qFormat/>
    <w:uiPriority w:val="0"/>
    <w:pPr>
      <w:jc w:val="left"/>
    </w:pPr>
    <w:rPr>
      <w:rFonts w:ascii="等线" w:hAnsi="等线" w:eastAsia="等线"/>
      <w:sz w:val="20"/>
    </w:rPr>
  </w:style>
  <w:style w:type="character" w:customStyle="1" w:styleId="19">
    <w:name w:val="EndNote Bibliography 字符"/>
    <w:basedOn w:val="5"/>
    <w:link w:val="18"/>
    <w:autoRedefine/>
    <w:qFormat/>
    <w:uiPriority w:val="0"/>
    <w:rPr>
      <w:rFonts w:ascii="等线" w:hAnsi="等线" w:eastAsia="等线"/>
      <w:kern w:val="2"/>
      <w:szCs w:val="22"/>
    </w:rPr>
  </w:style>
  <w:style w:type="paragraph" w:customStyle="1" w:styleId="20">
    <w:name w:val="BI_Email_Address"/>
    <w:basedOn w:val="1"/>
    <w:next w:val="1"/>
    <w:autoRedefine/>
    <w:qFormat/>
    <w:uiPriority w:val="0"/>
    <w:pPr>
      <w:spacing w:line="480" w:lineRule="auto"/>
    </w:pPr>
    <w:rPr>
      <w:rFonts w:ascii="Times New Roman" w:hAnsi="Times New Roman" w:eastAsia="宋体" w:cs="Times New Roman"/>
      <w:color w:val="0000FF"/>
      <w:sz w:val="24"/>
      <w:szCs w:val="21"/>
    </w:rPr>
  </w:style>
  <w:style w:type="character" w:customStyle="1" w:styleId="21">
    <w:name w:val="fontstyle01"/>
    <w:basedOn w:val="5"/>
    <w:autoRedefine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</w:rPr>
  </w:style>
  <w:style w:type="character" w:customStyle="1" w:styleId="22">
    <w:name w:val="fontstyle11"/>
    <w:basedOn w:val="5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612</Words>
  <Characters>3495</Characters>
  <Lines>29</Lines>
  <Paragraphs>8</Paragraphs>
  <TotalTime>0</TotalTime>
  <ScaleCrop>false</ScaleCrop>
  <LinksUpToDate>false</LinksUpToDate>
  <CharactersWithSpaces>4099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2024-01-12T14:41:00Z</dcterms:created>
  <dc:creator>muyangyang@whu.edu.cn</dc:creator>
  <cp:lastModifiedBy>杨觅</cp:lastModifiedBy>
  <dcterms:modified xsi:type="dcterms:W3CDTF">2024-01-25T07:44:35Z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AB4F44FBE98D4F3EBFD54D1025C7F847_12</vt:lpwstr>
  </property>
</Properties>
</file>