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宋体"/>
        </w:rPr>
      </w:pPr>
      <w:bookmarkStart w:id="1" w:name="_GoBack"/>
      <w:bookmarkEnd w:id="1"/>
      <w:r>
        <w:rPr>
          <w:rFonts w:hint="eastAsia" w:ascii="Times New Roman" w:hAnsi="Times New Roman" w:eastAsia="宋体" w:cs="Times New Roman"/>
          <w:b/>
          <w:bCs/>
        </w:rPr>
        <w:t>Supplementary material：</w:t>
      </w:r>
    </w:p>
    <w:p>
      <w:pPr>
        <w:pStyle w:val="3"/>
        <w:rPr>
          <w:rFonts w:eastAsia="宋体" w:cs="Times New Roman"/>
        </w:rPr>
      </w:pPr>
      <w:r>
        <w:rPr>
          <w:rFonts w:hint="eastAsia" w:eastAsia="宋体" w:cs="Times New Roman"/>
        </w:rPr>
        <w:drawing>
          <wp:inline distT="0" distB="0" distL="114300" distR="114300">
            <wp:extent cx="5057775" cy="5503545"/>
            <wp:effectExtent l="0" t="0" r="952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924" cy="550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rPr>
          <w:rFonts w:eastAsia="宋体"/>
          <w:bCs/>
          <w:lang w:bidi="ar"/>
        </w:rPr>
      </w:pPr>
      <w:r>
        <w:rPr>
          <w:b/>
          <w:bCs/>
        </w:rPr>
        <w:t>Fig S</w:t>
      </w:r>
      <w:r>
        <w:rPr>
          <w:rFonts w:hint="eastAsia" w:eastAsia="宋体"/>
          <w:b/>
          <w:bCs/>
        </w:rPr>
        <w:t>1</w:t>
      </w:r>
      <w:r>
        <w:rPr>
          <w:rFonts w:eastAsia="宋体"/>
          <w:b/>
          <w:lang w:eastAsia="de-DE" w:bidi="ar"/>
        </w:rPr>
        <w:t xml:space="preserve"> </w:t>
      </w:r>
      <w:r>
        <w:rPr>
          <w:rFonts w:hint="eastAsia" w:eastAsia="宋体"/>
          <w:b/>
          <w:lang w:bidi="ar"/>
        </w:rPr>
        <w:t>(a)</w:t>
      </w:r>
      <w:r>
        <w:rPr>
          <w:rFonts w:hint="eastAsia" w:eastAsia="宋体"/>
          <w:bCs/>
          <w:lang w:eastAsia="de-DE" w:bidi="ar"/>
        </w:rPr>
        <w:t xml:space="preserve">Distribution and expression profiles of </w:t>
      </w:r>
      <w:r>
        <w:rPr>
          <w:rFonts w:hint="eastAsia" w:eastAsia="宋体"/>
          <w:bCs/>
          <w:i/>
          <w:iCs/>
          <w:lang w:bidi="ar"/>
        </w:rPr>
        <w:t>MMP</w:t>
      </w:r>
      <w:r>
        <w:rPr>
          <w:rFonts w:hint="eastAsia" w:eastAsia="宋体"/>
          <w:bCs/>
          <w:lang w:eastAsia="de-DE" w:bidi="ar"/>
        </w:rPr>
        <w:t xml:space="preserve"> across individual cell types in the normal and </w:t>
      </w:r>
      <w:r>
        <w:rPr>
          <w:rFonts w:hint="eastAsia" w:eastAsia="宋体"/>
          <w:bCs/>
          <w:lang w:bidi="ar"/>
        </w:rPr>
        <w:t>CC</w:t>
      </w:r>
      <w:r>
        <w:rPr>
          <w:rFonts w:hint="eastAsia" w:eastAsia="宋体"/>
          <w:bCs/>
          <w:lang w:eastAsia="de-DE" w:bidi="ar"/>
        </w:rPr>
        <w:t xml:space="preserve">. </w:t>
      </w:r>
      <w:r>
        <w:rPr>
          <w:rFonts w:hint="eastAsia" w:eastAsia="宋体"/>
          <w:bCs/>
          <w:lang w:bidi="ar"/>
        </w:rPr>
        <w:t>tsne</w:t>
      </w:r>
      <w:r>
        <w:rPr>
          <w:rFonts w:hint="eastAsia" w:eastAsia="宋体"/>
          <w:bCs/>
          <w:lang w:eastAsia="de-DE" w:bidi="ar"/>
        </w:rPr>
        <w:t xml:space="preserve"> of seven cell types</w:t>
      </w:r>
      <w:r>
        <w:rPr>
          <w:rFonts w:hint="eastAsia" w:eastAsia="宋体"/>
          <w:bCs/>
          <w:lang w:bidi="ar"/>
        </w:rPr>
        <w:t>.</w:t>
      </w:r>
      <w:r>
        <w:rPr>
          <w:rFonts w:hint="eastAsia" w:eastAsia="宋体"/>
          <w:b/>
          <w:lang w:bidi="ar"/>
        </w:rPr>
        <w:t xml:space="preserve"> (b)</w:t>
      </w:r>
      <w:r>
        <w:t>This graph shows identified cell types and annotated using classical marker genes</w:t>
      </w:r>
      <w:r>
        <w:rPr>
          <w:rFonts w:hint="eastAsia" w:eastAsia="宋体"/>
        </w:rPr>
        <w:t xml:space="preserve">, </w:t>
      </w:r>
      <w:r>
        <w:rPr>
          <w:rFonts w:hint="eastAsia" w:eastAsia="宋体"/>
          <w:bCs/>
          <w:lang w:bidi="ar"/>
        </w:rPr>
        <w:t>the size of the dots indicates the average multiple of difference；</w:t>
      </w:r>
      <w:r>
        <w:rPr>
          <w:rFonts w:hint="eastAsia" w:eastAsia="宋体"/>
        </w:rPr>
        <w:t>And the color of the dots indicates high expression (red) or low expression (purple).</w:t>
      </w:r>
      <w:r>
        <w:rPr>
          <w:rFonts w:hint="eastAsia" w:eastAsia="宋体"/>
          <w:b/>
          <w:lang w:bidi="ar"/>
        </w:rPr>
        <w:t xml:space="preserve"> (c)</w:t>
      </w:r>
      <w:r>
        <w:rPr>
          <w:rFonts w:hint="eastAsia" w:eastAsia="宋体"/>
          <w:bCs/>
          <w:lang w:bidi="ar"/>
        </w:rPr>
        <w:t xml:space="preserve">Expression levels of representative well-known markers across the cell types in CC. Color key from gray to purple indicates relative expression levels from low to high. </w:t>
      </w:r>
      <w:r>
        <w:rPr>
          <w:rFonts w:hint="eastAsia" w:eastAsia="宋体"/>
          <w:b/>
          <w:lang w:bidi="ar"/>
        </w:rPr>
        <w:t>(d)</w:t>
      </w:r>
      <w:r>
        <w:rPr>
          <w:rFonts w:hint="eastAsia" w:eastAsia="宋体"/>
          <w:bCs/>
          <w:lang w:bidi="ar"/>
        </w:rPr>
        <w:t xml:space="preserve">Differential expression of </w:t>
      </w:r>
      <w:r>
        <w:rPr>
          <w:rFonts w:hint="eastAsia" w:eastAsia="宋体"/>
          <w:bCs/>
          <w:i/>
          <w:iCs/>
          <w:lang w:bidi="ar"/>
        </w:rPr>
        <w:t>MMPs</w:t>
      </w:r>
      <w:r>
        <w:rPr>
          <w:rFonts w:hint="eastAsia" w:eastAsia="宋体"/>
          <w:bCs/>
          <w:lang w:bidi="ar"/>
        </w:rPr>
        <w:t xml:space="preserve"> in different cell types of CC patients compared with control samples; The size of the dots indicates the average multiple of difference, and the color of the dots indicates up-regulated (red) or down-regulated (purple). </w:t>
      </w:r>
      <w:r>
        <w:rPr>
          <w:rFonts w:hint="eastAsia" w:eastAsia="宋体"/>
          <w:b/>
          <w:lang w:bidi="ar"/>
        </w:rPr>
        <w:t>(e)</w:t>
      </w:r>
      <w:r>
        <w:rPr>
          <w:rFonts w:hint="eastAsia" w:eastAsia="宋体"/>
          <w:bCs/>
          <w:lang w:bidi="ar"/>
        </w:rPr>
        <w:t>The proportion of each cell subtype after cell enrichment in normal cells and cervical cancer cell samples.</w:t>
      </w:r>
      <w:r>
        <w:rPr>
          <w:rFonts w:hint="eastAsia" w:eastAsia="宋体"/>
          <w:b/>
          <w:lang w:bidi="ar"/>
        </w:rPr>
        <w:t xml:space="preserve">  (f)</w:t>
      </w:r>
      <w:r>
        <w:rPr>
          <w:rFonts w:hint="eastAsia" w:eastAsia="宋体"/>
          <w:bCs/>
          <w:lang w:bidi="ar"/>
        </w:rPr>
        <w:t xml:space="preserve">Correlation scatter plots show the average gene expression of </w:t>
      </w:r>
      <w:r>
        <w:rPr>
          <w:rFonts w:hint="eastAsia" w:eastAsia="宋体"/>
          <w:bCs/>
          <w:i/>
          <w:iCs/>
          <w:lang w:bidi="ar"/>
        </w:rPr>
        <w:t>MMPs</w:t>
      </w:r>
      <w:r>
        <w:rPr>
          <w:rFonts w:hint="eastAsia" w:eastAsia="宋体"/>
          <w:bCs/>
          <w:lang w:bidi="ar"/>
        </w:rPr>
        <w:t xml:space="preserve"> in all cell clusters. </w:t>
      </w:r>
      <w:r>
        <w:rPr>
          <w:rFonts w:hint="eastAsia" w:eastAsia="宋体"/>
          <w:b/>
          <w:lang w:bidi="ar"/>
        </w:rPr>
        <w:t>(g)</w:t>
      </w:r>
      <w:r>
        <w:rPr>
          <w:rFonts w:hint="eastAsia" w:eastAsia="宋体"/>
          <w:bCs/>
          <w:lang w:eastAsia="de-DE" w:bidi="ar"/>
        </w:rPr>
        <w:t xml:space="preserve">Heatmap of </w:t>
      </w:r>
      <w:r>
        <w:rPr>
          <w:rFonts w:hint="eastAsia" w:eastAsia="宋体"/>
          <w:bCs/>
          <w:i/>
          <w:iCs/>
          <w:lang w:bidi="ar"/>
        </w:rPr>
        <w:t>MMP</w:t>
      </w:r>
      <w:r>
        <w:rPr>
          <w:rFonts w:hint="eastAsia" w:eastAsia="宋体"/>
          <w:bCs/>
          <w:lang w:eastAsia="de-DE" w:bidi="ar"/>
        </w:rPr>
        <w:t xml:space="preserve"> genes for </w:t>
      </w:r>
      <w:r>
        <w:rPr>
          <w:rFonts w:hint="eastAsia" w:eastAsia="宋体"/>
          <w:bCs/>
          <w:lang w:bidi="ar"/>
        </w:rPr>
        <w:t>six</w:t>
      </w:r>
      <w:r>
        <w:rPr>
          <w:rFonts w:hint="eastAsia" w:eastAsia="宋体"/>
          <w:bCs/>
          <w:lang w:eastAsia="de-DE" w:bidi="ar"/>
        </w:rPr>
        <w:t xml:space="preserve"> cell types.</w:t>
      </w:r>
      <w:r>
        <w:rPr>
          <w:rFonts w:hint="eastAsia" w:eastAsia="宋体"/>
          <w:b/>
          <w:lang w:eastAsia="de-DE" w:bidi="ar"/>
        </w:rPr>
        <w:t xml:space="preserve"> </w:t>
      </w:r>
      <w:r>
        <w:rPr>
          <w:rFonts w:hint="eastAsia" w:eastAsia="宋体"/>
          <w:b/>
          <w:lang w:bidi="ar"/>
        </w:rPr>
        <w:t>(h-k</w:t>
      </w:r>
      <w:r>
        <w:rPr>
          <w:rFonts w:hint="eastAsia" w:eastAsia="宋体"/>
          <w:b/>
          <w:lang w:eastAsia="de-DE" w:bidi="ar"/>
        </w:rPr>
        <w:t>)</w:t>
      </w:r>
      <w:r>
        <w:rPr>
          <w:rFonts w:hint="eastAsia" w:eastAsia="宋体"/>
          <w:bCs/>
          <w:lang w:eastAsia="de-DE" w:bidi="ar"/>
        </w:rPr>
        <w:t xml:space="preserve">Spearman correlation between </w:t>
      </w:r>
      <w:r>
        <w:rPr>
          <w:rFonts w:hint="eastAsia" w:eastAsia="宋体"/>
          <w:bCs/>
          <w:i/>
          <w:iCs/>
          <w:lang w:bidi="ar"/>
        </w:rPr>
        <w:t>MMP-7</w:t>
      </w:r>
      <w:r>
        <w:rPr>
          <w:rFonts w:hint="eastAsia" w:eastAsia="宋体"/>
          <w:bCs/>
          <w:lang w:eastAsia="de-DE" w:bidi="ar"/>
        </w:rPr>
        <w:t xml:space="preserve"> and </w:t>
      </w:r>
      <w:r>
        <w:rPr>
          <w:rFonts w:hint="eastAsia" w:eastAsia="宋体"/>
          <w:bCs/>
          <w:lang w:bidi="ar"/>
        </w:rPr>
        <w:t xml:space="preserve">EMT. </w:t>
      </w:r>
      <w:r>
        <w:rPr>
          <w:rFonts w:hint="eastAsia" w:eastAsia="宋体"/>
          <w:bCs/>
          <w:lang w:eastAsia="de-DE" w:bidi="ar"/>
        </w:rPr>
        <w:t xml:space="preserve">Spearman correlation between </w:t>
      </w:r>
      <w:r>
        <w:rPr>
          <w:rFonts w:hint="eastAsia" w:eastAsia="宋体"/>
          <w:bCs/>
          <w:i/>
          <w:iCs/>
          <w:lang w:bidi="ar"/>
        </w:rPr>
        <w:t>MMP-1</w:t>
      </w:r>
      <w:r>
        <w:rPr>
          <w:rFonts w:hint="eastAsia" w:eastAsia="宋体"/>
          <w:bCs/>
          <w:i/>
          <w:iCs/>
          <w:lang w:eastAsia="de-DE" w:bidi="ar"/>
        </w:rPr>
        <w:t xml:space="preserve"> </w:t>
      </w:r>
      <w:r>
        <w:rPr>
          <w:rFonts w:hint="eastAsia" w:eastAsia="宋体"/>
          <w:bCs/>
          <w:lang w:eastAsia="de-DE" w:bidi="ar"/>
        </w:rPr>
        <w:t>(</w:t>
      </w:r>
      <w:r>
        <w:rPr>
          <w:rFonts w:hint="eastAsia" w:eastAsia="宋体"/>
          <w:bCs/>
          <w:i/>
          <w:iCs/>
          <w:lang w:bidi="ar"/>
        </w:rPr>
        <w:t>MMP-1</w:t>
      </w:r>
      <w:r>
        <w:rPr>
          <w:rFonts w:hint="eastAsia" w:eastAsia="宋体"/>
          <w:bCs/>
          <w:i/>
          <w:iCs/>
          <w:lang w:eastAsia="de-DE" w:bidi="ar"/>
        </w:rPr>
        <w:t>3</w:t>
      </w:r>
      <w:r>
        <w:rPr>
          <w:rFonts w:hint="eastAsia" w:eastAsia="宋体"/>
          <w:bCs/>
          <w:lang w:eastAsia="de-DE" w:bidi="ar"/>
        </w:rPr>
        <w:t>) and</w:t>
      </w:r>
      <w:r>
        <w:rPr>
          <w:rFonts w:hint="eastAsia" w:eastAsia="宋体"/>
          <w:bCs/>
          <w:lang w:bidi="ar"/>
        </w:rPr>
        <w:t xml:space="preserve"> </w:t>
      </w:r>
      <w:r>
        <w:rPr>
          <w:rFonts w:hint="eastAsia" w:eastAsia="宋体"/>
          <w:bCs/>
          <w:i/>
          <w:iCs/>
          <w:lang w:eastAsia="de-DE" w:bidi="ar"/>
        </w:rPr>
        <w:t>W</w:t>
      </w:r>
      <w:r>
        <w:rPr>
          <w:rFonts w:hint="eastAsia" w:eastAsia="宋体"/>
          <w:bCs/>
          <w:i/>
          <w:iCs/>
          <w:lang w:bidi="ar"/>
        </w:rPr>
        <w:t>nt</w:t>
      </w:r>
      <w:r>
        <w:rPr>
          <w:rFonts w:hint="eastAsia" w:eastAsia="宋体"/>
          <w:bCs/>
          <w:lang w:eastAsia="de-DE" w:bidi="ar"/>
        </w:rPr>
        <w:t xml:space="preserve"> pathway in regulation of cell proliferation. Spearman correlation between </w:t>
      </w:r>
      <w:r>
        <w:rPr>
          <w:rFonts w:hint="eastAsia" w:eastAsia="宋体"/>
          <w:bCs/>
          <w:i/>
          <w:iCs/>
          <w:lang w:bidi="ar"/>
        </w:rPr>
        <w:t>MMP-1</w:t>
      </w:r>
      <w:r>
        <w:rPr>
          <w:rFonts w:hint="eastAsia" w:eastAsia="宋体"/>
          <w:bCs/>
          <w:i/>
          <w:iCs/>
          <w:lang w:eastAsia="de-DE" w:bidi="ar"/>
        </w:rPr>
        <w:t>3</w:t>
      </w:r>
      <w:r>
        <w:rPr>
          <w:rFonts w:hint="eastAsia" w:eastAsia="宋体"/>
          <w:bCs/>
          <w:lang w:bidi="ar"/>
        </w:rPr>
        <w:t xml:space="preserve"> </w:t>
      </w:r>
      <w:r>
        <w:rPr>
          <w:rFonts w:hint="eastAsia" w:eastAsia="宋体"/>
          <w:bCs/>
          <w:lang w:eastAsia="de-DE" w:bidi="ar"/>
        </w:rPr>
        <w:t>and defense response to virus by host</w:t>
      </w:r>
      <w:r>
        <w:rPr>
          <w:rFonts w:hint="eastAsia" w:eastAsia="宋体"/>
          <w:bCs/>
          <w:lang w:bidi="ar"/>
        </w:rPr>
        <w:t>.</w:t>
      </w:r>
    </w:p>
    <w:p>
      <w:pPr>
        <w:pStyle w:val="3"/>
      </w:pPr>
      <w:r>
        <w:rPr>
          <w:rFonts w:hint="eastAsia"/>
        </w:rPr>
        <w:drawing>
          <wp:inline distT="0" distB="0" distL="114300" distR="114300">
            <wp:extent cx="4978400" cy="527113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8707" cy="527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rPr>
          <w:lang w:bidi="ar"/>
        </w:rPr>
      </w:pPr>
      <w:r>
        <w:rPr>
          <w:b/>
          <w:bCs/>
        </w:rPr>
        <w:t>Fig S</w:t>
      </w:r>
      <w:r>
        <w:rPr>
          <w:rFonts w:hint="eastAsia" w:eastAsia="宋体"/>
          <w:b/>
          <w:bCs/>
        </w:rPr>
        <w:t>2</w:t>
      </w:r>
      <w:r>
        <w:rPr>
          <w:b/>
          <w:bCs/>
          <w:lang w:bidi="ar"/>
        </w:rPr>
        <w:t xml:space="preserve"> (</w:t>
      </w:r>
      <w:r>
        <w:rPr>
          <w:rFonts w:hint="eastAsia" w:eastAsia="宋体"/>
          <w:b/>
          <w:bCs/>
          <w:lang w:bidi="ar"/>
        </w:rPr>
        <w:t>a</w:t>
      </w:r>
      <w:r>
        <w:rPr>
          <w:b/>
          <w:bCs/>
          <w:lang w:bidi="ar"/>
        </w:rPr>
        <w:t>)</w:t>
      </w:r>
      <w:r>
        <w:rPr>
          <w:lang w:bidi="ar"/>
        </w:rPr>
        <w:t xml:space="preserve">Kaplan-Meier curves for high and low MMPscore patient groups in </w:t>
      </w:r>
      <w:r>
        <w:rPr>
          <w:rFonts w:hint="eastAsia" w:eastAsia="宋体"/>
          <w:i/>
          <w:iCs/>
          <w:lang w:bidi="ar"/>
        </w:rPr>
        <w:t>MMP-2</w:t>
      </w:r>
      <w:r>
        <w:rPr>
          <w:lang w:bidi="ar"/>
        </w:rPr>
        <w:t xml:space="preserve"> cohort. Log-rank test,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 = 0.011. </w:t>
      </w:r>
      <w:r>
        <w:rPr>
          <w:b/>
          <w:lang w:bidi="ar"/>
        </w:rPr>
        <w:t>(</w:t>
      </w:r>
      <w:r>
        <w:rPr>
          <w:rFonts w:hint="eastAsia" w:eastAsia="宋体"/>
          <w:b/>
          <w:lang w:bidi="ar"/>
        </w:rPr>
        <w:t>b</w:t>
      </w:r>
      <w:r>
        <w:rPr>
          <w:b/>
          <w:lang w:bidi="ar"/>
        </w:rPr>
        <w:t>)</w:t>
      </w:r>
      <w:r>
        <w:rPr>
          <w:lang w:bidi="ar"/>
        </w:rPr>
        <w:t xml:space="preserve">Kaplan-Meier curves for high and low MMPscore patient groups in </w:t>
      </w:r>
      <w:r>
        <w:rPr>
          <w:rFonts w:hint="eastAsia" w:eastAsia="宋体"/>
          <w:i/>
          <w:iCs/>
          <w:lang w:bidi="ar"/>
        </w:rPr>
        <w:t>MMP-3</w:t>
      </w:r>
      <w:r>
        <w:rPr>
          <w:lang w:bidi="ar"/>
        </w:rPr>
        <w:t xml:space="preserve"> cohort. Log-rank test,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 = 0.019.</w:t>
      </w:r>
      <w:r>
        <w:rPr>
          <w:b/>
          <w:lang w:bidi="ar"/>
        </w:rPr>
        <w:t xml:space="preserve"> (</w:t>
      </w:r>
      <w:r>
        <w:rPr>
          <w:rFonts w:hint="eastAsia" w:eastAsia="宋体"/>
          <w:b/>
          <w:lang w:bidi="ar"/>
        </w:rPr>
        <w:t>c</w:t>
      </w:r>
      <w:r>
        <w:rPr>
          <w:b/>
          <w:lang w:bidi="ar"/>
        </w:rPr>
        <w:t>)</w:t>
      </w:r>
      <w:r>
        <w:rPr>
          <w:lang w:bidi="ar"/>
        </w:rPr>
        <w:t xml:space="preserve">Kaplan-Meier curves for high and low MMPscore patient groups in </w:t>
      </w:r>
      <w:r>
        <w:rPr>
          <w:rFonts w:hint="eastAsia" w:eastAsia="宋体"/>
          <w:i/>
          <w:iCs/>
          <w:lang w:bidi="ar"/>
        </w:rPr>
        <w:t>MMP-7</w:t>
      </w:r>
      <w:r>
        <w:rPr>
          <w:lang w:bidi="ar"/>
        </w:rPr>
        <w:t xml:space="preserve"> cohort. Log-rank test,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 = 0.007.</w:t>
      </w:r>
      <w:r>
        <w:rPr>
          <w:b/>
          <w:lang w:bidi="ar"/>
        </w:rPr>
        <w:t xml:space="preserve"> (</w:t>
      </w:r>
      <w:r>
        <w:rPr>
          <w:rFonts w:hint="eastAsia" w:eastAsia="宋体"/>
          <w:b/>
          <w:lang w:bidi="ar"/>
        </w:rPr>
        <w:t>d</w:t>
      </w:r>
      <w:r>
        <w:rPr>
          <w:b/>
          <w:lang w:bidi="ar"/>
        </w:rPr>
        <w:t>)</w:t>
      </w:r>
      <w:r>
        <w:rPr>
          <w:lang w:bidi="ar"/>
        </w:rPr>
        <w:t xml:space="preserve">Kaplan-Meier curves for high and low MMPscore patient groups in </w:t>
      </w:r>
      <w:r>
        <w:rPr>
          <w:rFonts w:hint="eastAsia" w:eastAsia="宋体"/>
          <w:i/>
          <w:iCs/>
          <w:lang w:bidi="ar"/>
        </w:rPr>
        <w:t>MMP-8</w:t>
      </w:r>
      <w:r>
        <w:rPr>
          <w:lang w:bidi="ar"/>
        </w:rPr>
        <w:t xml:space="preserve"> cohort. Log-rank test,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 </w:t>
      </w:r>
      <w:r>
        <w:rPr>
          <w:rFonts w:eastAsia="宋体"/>
          <w:lang w:val="de" w:bidi="ar"/>
        </w:rPr>
        <w:t>＜</w:t>
      </w:r>
      <w:r>
        <w:rPr>
          <w:lang w:bidi="ar"/>
        </w:rPr>
        <w:t xml:space="preserve">0.001. </w:t>
      </w:r>
      <w:r>
        <w:rPr>
          <w:b/>
          <w:lang w:bidi="ar"/>
        </w:rPr>
        <w:t>(</w:t>
      </w:r>
      <w:r>
        <w:rPr>
          <w:rFonts w:hint="eastAsia" w:eastAsia="宋体"/>
          <w:b/>
          <w:lang w:bidi="ar"/>
        </w:rPr>
        <w:t>e</w:t>
      </w:r>
      <w:r>
        <w:rPr>
          <w:b/>
          <w:lang w:bidi="ar"/>
        </w:rPr>
        <w:t>)</w:t>
      </w:r>
      <w:r>
        <w:rPr>
          <w:lang w:bidi="ar"/>
        </w:rPr>
        <w:t xml:space="preserve">The expression of 10 </w:t>
      </w:r>
      <w:r>
        <w:rPr>
          <w:i/>
          <w:iCs/>
          <w:lang w:bidi="ar"/>
        </w:rPr>
        <w:t>MMPs</w:t>
      </w:r>
      <w:r>
        <w:rPr>
          <w:lang w:bidi="ar"/>
        </w:rPr>
        <w:t xml:space="preserve"> between normal patients and tumor patients. Tumor, red; Normal, blue. The upper and lower ends of the boxes represented interquartile range of values. The lines in the boxes represented median value, and dots showed outliers. The asterisks represented the statistical </w:t>
      </w:r>
      <w:r>
        <w:rPr>
          <w:i/>
          <w:iCs/>
          <w:lang w:bidi="ar"/>
        </w:rPr>
        <w:t xml:space="preserve">p </w:t>
      </w:r>
      <w:r>
        <w:rPr>
          <w:lang w:bidi="ar"/>
        </w:rPr>
        <w:t>value (*</w:t>
      </w:r>
      <w:r>
        <w:rPr>
          <w:i/>
          <w:iCs/>
          <w:lang w:bidi="ar"/>
        </w:rPr>
        <w:t>p</w:t>
      </w:r>
      <w:r>
        <w:rPr>
          <w:lang w:bidi="ar"/>
        </w:rPr>
        <w:t>&lt; 0.05; **</w:t>
      </w:r>
      <w:r>
        <w:rPr>
          <w:i/>
          <w:iCs/>
          <w:lang w:bidi="ar"/>
        </w:rPr>
        <w:t>p</w:t>
      </w:r>
      <w:r>
        <w:rPr>
          <w:lang w:bidi="ar"/>
        </w:rPr>
        <w:t xml:space="preserve"> &lt; 0.01; ***</w:t>
      </w:r>
      <w:r>
        <w:rPr>
          <w:i/>
          <w:iCs/>
          <w:lang w:bidi="ar"/>
        </w:rPr>
        <w:t>p</w:t>
      </w:r>
      <w:r>
        <w:rPr>
          <w:lang w:bidi="ar"/>
        </w:rPr>
        <w:t xml:space="preserve"> &lt; 0.001).</w:t>
      </w:r>
      <w:r>
        <w:rPr>
          <w:b/>
          <w:lang w:bidi="ar"/>
        </w:rPr>
        <w:t xml:space="preserve"> (</w:t>
      </w:r>
      <w:r>
        <w:rPr>
          <w:rFonts w:hint="eastAsia" w:eastAsia="宋体"/>
          <w:b/>
          <w:lang w:bidi="ar"/>
        </w:rPr>
        <w:t>f</w:t>
      </w:r>
      <w:r>
        <w:rPr>
          <w:b/>
          <w:lang w:bidi="ar"/>
        </w:rPr>
        <w:t>-</w:t>
      </w:r>
      <w:r>
        <w:rPr>
          <w:rFonts w:hint="eastAsia" w:eastAsia="宋体"/>
          <w:b/>
          <w:lang w:bidi="ar"/>
        </w:rPr>
        <w:t>h</w:t>
      </w:r>
      <w:r>
        <w:rPr>
          <w:b/>
          <w:lang w:bidi="ar"/>
        </w:rPr>
        <w:t>)</w:t>
      </w:r>
      <w:r>
        <w:rPr>
          <w:lang w:bidi="ar"/>
        </w:rPr>
        <w:t xml:space="preserve"> Consensus matrices of the significant </w:t>
      </w:r>
      <w:r>
        <w:rPr>
          <w:i/>
          <w:iCs/>
          <w:lang w:bidi="ar"/>
        </w:rPr>
        <w:t>MMPs</w:t>
      </w:r>
      <w:r>
        <w:rPr>
          <w:lang w:bidi="ar"/>
        </w:rPr>
        <w:t xml:space="preserve"> for k = (3-</w:t>
      </w:r>
      <w:r>
        <w:rPr>
          <w:rFonts w:hint="eastAsia" w:eastAsia="宋体"/>
          <w:lang w:bidi="ar"/>
        </w:rPr>
        <w:t>5</w:t>
      </w:r>
      <w:r>
        <w:rPr>
          <w:lang w:bidi="ar"/>
        </w:rPr>
        <w:t>).</w:t>
      </w:r>
      <w:r>
        <w:rPr>
          <w:rFonts w:hint="eastAsia" w:eastAsia="宋体"/>
          <w:lang w:bidi="ar"/>
        </w:rPr>
        <w:t xml:space="preserve"> </w:t>
      </w:r>
      <w:r>
        <w:rPr>
          <w:b/>
          <w:lang w:bidi="ar"/>
        </w:rPr>
        <w:t>(</w:t>
      </w:r>
      <w:r>
        <w:rPr>
          <w:rFonts w:hint="eastAsia" w:eastAsia="宋体"/>
          <w:b/>
          <w:lang w:bidi="ar"/>
        </w:rPr>
        <w:t>i</w:t>
      </w:r>
      <w:r>
        <w:rPr>
          <w:b/>
          <w:lang w:bidi="ar"/>
        </w:rPr>
        <w:t>-</w:t>
      </w:r>
      <w:r>
        <w:rPr>
          <w:rFonts w:hint="eastAsia" w:eastAsia="宋体"/>
          <w:b/>
          <w:lang w:bidi="ar"/>
        </w:rPr>
        <w:t>p</w:t>
      </w:r>
      <w:r>
        <w:rPr>
          <w:b/>
          <w:lang w:bidi="ar"/>
        </w:rPr>
        <w:t>)</w:t>
      </w:r>
      <w:r>
        <w:rPr>
          <w:rFonts w:hint="eastAsia" w:eastAsia="宋体"/>
          <w:b/>
          <w:lang w:bidi="ar"/>
        </w:rPr>
        <w:t xml:space="preserve"> </w:t>
      </w:r>
      <w:r>
        <w:rPr>
          <w:lang w:bidi="ar"/>
        </w:rPr>
        <w:t xml:space="preserve">The correlation between the high and low expression of </w:t>
      </w:r>
      <w:r>
        <w:rPr>
          <w:i/>
          <w:iCs/>
          <w:lang w:bidi="ar"/>
        </w:rPr>
        <w:t>MMP</w:t>
      </w:r>
      <w:r>
        <w:rPr>
          <w:lang w:bidi="ar"/>
        </w:rPr>
        <w:t xml:space="preserve"> and the semi-inhibited concentration sensitivity of various drugs. Drugs: AKT.inhibitor.</w:t>
      </w:r>
      <w:r>
        <w:rPr>
          <w:rFonts w:eastAsia="宋体"/>
          <w:lang w:bidi="ar"/>
        </w:rPr>
        <w:t>Ⅷ</w:t>
      </w:r>
      <w:r>
        <w:rPr>
          <w:lang w:bidi="ar"/>
        </w:rPr>
        <w:t>,</w:t>
      </w:r>
      <w:r>
        <w:rPr>
          <w:rFonts w:hint="eastAsia" w:eastAsia="宋体"/>
          <w:lang w:bidi="ar"/>
        </w:rPr>
        <w:t xml:space="preserve"> </w:t>
      </w:r>
      <w:r>
        <w:rPr>
          <w:lang w:bidi="ar"/>
        </w:rPr>
        <w:t>AS601245</w:t>
      </w:r>
      <w:r>
        <w:rPr>
          <w:rFonts w:hint="eastAsia" w:eastAsia="宋体"/>
          <w:lang w:bidi="ar"/>
        </w:rPr>
        <w:t xml:space="preserve">, </w:t>
      </w:r>
      <w:r>
        <w:rPr>
          <w:lang w:bidi="ar"/>
        </w:rPr>
        <w:t>ATRA</w:t>
      </w:r>
      <w:r>
        <w:rPr>
          <w:rFonts w:eastAsia="宋体"/>
          <w:lang w:val="de" w:bidi="ar"/>
        </w:rPr>
        <w:t>，</w:t>
      </w:r>
      <w:r>
        <w:rPr>
          <w:lang w:bidi="ar"/>
        </w:rPr>
        <w:t>AMG.706</w:t>
      </w:r>
      <w:r>
        <w:rPr>
          <w:rFonts w:hint="eastAsia" w:eastAsia="宋体"/>
          <w:lang w:bidi="ar"/>
        </w:rPr>
        <w:t xml:space="preserve">, </w:t>
      </w:r>
      <w:r>
        <w:rPr>
          <w:lang w:bidi="ar"/>
        </w:rPr>
        <w:t>Nilotinib</w:t>
      </w:r>
      <w:r>
        <w:rPr>
          <w:rFonts w:hint="eastAsia" w:eastAsia="宋体"/>
          <w:lang w:bidi="ar"/>
        </w:rPr>
        <w:t>, WO2009093972, AZD.0530, A.770041</w:t>
      </w:r>
      <w:r>
        <w:rPr>
          <w:lang w:bidi="ar"/>
        </w:rPr>
        <w:t xml:space="preserve">. </w:t>
      </w:r>
    </w:p>
    <w:p>
      <w:pPr>
        <w:pStyle w:val="10"/>
        <w:rPr>
          <w:lang w:bidi="ar"/>
        </w:rPr>
      </w:pPr>
    </w:p>
    <w:p>
      <w:pPr>
        <w:pStyle w:val="10"/>
        <w:rPr>
          <w:rFonts w:eastAsia="宋体"/>
          <w:b/>
          <w:lang w:bidi="ar"/>
        </w:rPr>
      </w:pPr>
      <w:r>
        <w:rPr>
          <w:rFonts w:hint="eastAsia" w:eastAsia="宋体"/>
          <w:b/>
          <w:lang w:bidi="ar"/>
        </w:rPr>
        <w:drawing>
          <wp:inline distT="0" distB="0" distL="114300" distR="114300">
            <wp:extent cx="5109845" cy="556323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0443" cy="556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 S</w:t>
      </w:r>
      <w:r>
        <w:rPr>
          <w:rFonts w:hint="eastAsia"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lang w:bidi="ar"/>
        </w:rPr>
        <w:t>(</w:t>
      </w:r>
      <w:r>
        <w:rPr>
          <w:rFonts w:ascii="Times New Roman" w:hAnsi="Times New Roman" w:eastAsia="宋体" w:cs="Times New Roman"/>
          <w:b/>
          <w:lang w:bidi="ar"/>
        </w:rPr>
        <w:t>a</w:t>
      </w:r>
      <w:r>
        <w:rPr>
          <w:rFonts w:ascii="Times New Roman" w:hAnsi="Times New Roman" w:cs="Times New Roman"/>
          <w:b/>
          <w:lang w:bidi="ar"/>
        </w:rPr>
        <w:t>-</w:t>
      </w:r>
      <w:r>
        <w:rPr>
          <w:rFonts w:ascii="Times New Roman" w:hAnsi="Times New Roman" w:eastAsia="宋体" w:cs="Times New Roman"/>
          <w:b/>
          <w:lang w:bidi="ar"/>
        </w:rPr>
        <w:t>b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ascii="Times New Roman" w:hAnsi="Times New Roman" w:cs="Times New Roman"/>
          <w:lang w:bidi="ar"/>
        </w:rPr>
        <w:t xml:space="preserve"> Unsupervised clustering of </w:t>
      </w:r>
      <w:r>
        <w:rPr>
          <w:rFonts w:ascii="Times New Roman" w:hAnsi="Times New Roman" w:cs="Times New Roman"/>
          <w:i/>
          <w:iCs/>
          <w:lang w:bidi="ar"/>
        </w:rPr>
        <w:t>MMP</w:t>
      </w:r>
      <w:r>
        <w:rPr>
          <w:rFonts w:ascii="Times New Roman" w:hAnsi="Times New Roman" w:cs="Times New Roman"/>
          <w:lang w:bidi="ar"/>
        </w:rPr>
        <w:t xml:space="preserve"> phenotype-related genes. Consensus CDF and Delta area were shown that k=2 is the optimal solution. </w:t>
      </w:r>
      <w:r>
        <w:rPr>
          <w:rFonts w:ascii="Times New Roman" w:hAnsi="Times New Roman" w:cs="Times New Roman"/>
          <w:b/>
          <w:lang w:bidi="ar"/>
        </w:rPr>
        <w:t>(</w:t>
      </w:r>
      <w:r>
        <w:rPr>
          <w:rFonts w:ascii="Times New Roman" w:hAnsi="Times New Roman" w:eastAsia="宋体" w:cs="Times New Roman"/>
          <w:b/>
          <w:lang w:bidi="ar"/>
        </w:rPr>
        <w:t>c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  <w:lang w:bidi="ar"/>
        </w:rPr>
        <w:t>Differences in MMPscore among two MMPclusters. The Kruskal-Wallis test was used to compare the statistical difference between two MMPclusters (</w:t>
      </w:r>
      <w:r>
        <w:rPr>
          <w:rFonts w:ascii="Times New Roman" w:hAnsi="Times New Roman" w:cs="Times New Roman"/>
          <w:i/>
          <w:iCs/>
          <w:lang w:bidi="ar"/>
        </w:rPr>
        <w:t>p</w:t>
      </w:r>
      <w:r>
        <w:rPr>
          <w:rFonts w:ascii="Times New Roman" w:hAnsi="Times New Roman" w:cs="Times New Roman"/>
          <w:lang w:bidi="ar"/>
        </w:rPr>
        <w:t xml:space="preserve"> &lt; 0.001). </w:t>
      </w:r>
      <w:r>
        <w:rPr>
          <w:rFonts w:ascii="Times New Roman" w:hAnsi="Times New Roman" w:cs="Times New Roman"/>
          <w:b/>
          <w:lang w:bidi="ar"/>
        </w:rPr>
        <w:t>(</w:t>
      </w:r>
      <w:r>
        <w:rPr>
          <w:rFonts w:ascii="Times New Roman" w:hAnsi="Times New Roman" w:eastAsia="宋体" w:cs="Times New Roman"/>
          <w:b/>
          <w:lang w:bidi="ar"/>
        </w:rPr>
        <w:t>d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</w:rPr>
        <w:t xml:space="preserve">Area under the ROC curve (AUC) of </w:t>
      </w:r>
      <w:r>
        <w:rPr>
          <w:rFonts w:ascii="Times New Roman" w:hAnsi="Times New Roman" w:cs="Times New Roman"/>
          <w:i/>
          <w:iCs/>
        </w:rPr>
        <w:t>MMP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lang w:bidi="ar"/>
        </w:rPr>
        <w:t xml:space="preserve"> </w:t>
      </w:r>
      <w:r>
        <w:rPr>
          <w:rFonts w:ascii="Times New Roman" w:hAnsi="Times New Roman" w:cs="Times New Roman"/>
          <w:b/>
          <w:lang w:bidi="ar"/>
        </w:rPr>
        <w:t>(</w:t>
      </w:r>
      <w:r>
        <w:rPr>
          <w:rFonts w:ascii="Times New Roman" w:hAnsi="Times New Roman" w:eastAsia="宋体" w:cs="Times New Roman"/>
          <w:b/>
          <w:lang w:bidi="ar"/>
        </w:rPr>
        <w:t>e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  <w:lang w:bidi="ar"/>
        </w:rPr>
        <w:t xml:space="preserve">Correlation between MMPscore and Mast cells activated in </w:t>
      </w:r>
      <w:r>
        <w:rPr>
          <w:rFonts w:ascii="Times New Roman" w:hAnsi="Times New Roman" w:eastAsia="宋体" w:cs="Times New Roman"/>
          <w:lang w:bidi="ar"/>
        </w:rPr>
        <w:t>CC</w:t>
      </w:r>
      <w:r>
        <w:rPr>
          <w:rFonts w:ascii="Times New Roman" w:hAnsi="Times New Roman" w:cs="Times New Roman"/>
          <w:lang w:bidi="ar"/>
        </w:rPr>
        <w:t xml:space="preserve">. </w:t>
      </w:r>
      <w:r>
        <w:rPr>
          <w:rFonts w:ascii="Times New Roman" w:hAnsi="Times New Roman" w:cs="Times New Roman"/>
          <w:i/>
          <w:iCs/>
          <w:lang w:bidi="ar"/>
        </w:rPr>
        <w:t>p</w:t>
      </w:r>
      <w:r>
        <w:rPr>
          <w:rFonts w:ascii="Times New Roman" w:hAnsi="Times New Roman" w:cs="Times New Roman"/>
          <w:lang w:bidi="ar"/>
        </w:rPr>
        <w:t xml:space="preserve"> &lt; 0.001. </w:t>
      </w:r>
      <w:r>
        <w:rPr>
          <w:rFonts w:ascii="Times New Roman" w:hAnsi="Times New Roman" w:cs="Times New Roman"/>
          <w:b/>
          <w:lang w:bidi="ar"/>
        </w:rPr>
        <w:t>(</w:t>
      </w:r>
      <w:r>
        <w:rPr>
          <w:rFonts w:ascii="Times New Roman" w:hAnsi="Times New Roman" w:eastAsia="宋体" w:cs="Times New Roman"/>
          <w:b/>
          <w:lang w:bidi="ar"/>
        </w:rPr>
        <w:t>f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  <w:lang w:bidi="ar"/>
        </w:rPr>
        <w:t xml:space="preserve">Correlation between MMPscore and Dendritic cells activated in </w:t>
      </w:r>
      <w:r>
        <w:rPr>
          <w:rFonts w:ascii="Times New Roman" w:hAnsi="Times New Roman" w:eastAsia="宋体" w:cs="Times New Roman"/>
          <w:lang w:bidi="ar"/>
        </w:rPr>
        <w:t>CC</w:t>
      </w:r>
      <w:r>
        <w:rPr>
          <w:rFonts w:ascii="Times New Roman" w:hAnsi="Times New Roman" w:cs="Times New Roman"/>
          <w:lang w:bidi="ar"/>
        </w:rPr>
        <w:t xml:space="preserve">. </w:t>
      </w:r>
      <w:r>
        <w:rPr>
          <w:rFonts w:ascii="Times New Roman" w:hAnsi="Times New Roman" w:cs="Times New Roman"/>
          <w:i/>
          <w:iCs/>
          <w:lang w:bidi="ar"/>
        </w:rPr>
        <w:t>p</w:t>
      </w:r>
      <w:r>
        <w:rPr>
          <w:rFonts w:ascii="Times New Roman" w:hAnsi="Times New Roman" w:cs="Times New Roman"/>
          <w:lang w:bidi="ar"/>
        </w:rPr>
        <w:t xml:space="preserve"> = 0.0022. </w:t>
      </w:r>
      <w:r>
        <w:rPr>
          <w:rFonts w:ascii="Times New Roman" w:hAnsi="Times New Roman" w:cs="Times New Roman"/>
          <w:b/>
          <w:lang w:bidi="ar"/>
        </w:rPr>
        <w:t>(</w:t>
      </w:r>
      <w:r>
        <w:rPr>
          <w:rFonts w:ascii="Times New Roman" w:hAnsi="Times New Roman" w:eastAsia="宋体" w:cs="Times New Roman"/>
          <w:b/>
          <w:lang w:bidi="ar"/>
        </w:rPr>
        <w:t>g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  <w:lang w:bidi="ar"/>
        </w:rPr>
        <w:t xml:space="preserve">Correlation between MMPscore and Monocytes in </w:t>
      </w:r>
      <w:r>
        <w:rPr>
          <w:rFonts w:ascii="Times New Roman" w:hAnsi="Times New Roman" w:eastAsia="宋体" w:cs="Times New Roman"/>
          <w:lang w:bidi="ar"/>
        </w:rPr>
        <w:t>CC</w:t>
      </w:r>
      <w:r>
        <w:rPr>
          <w:rFonts w:ascii="Times New Roman" w:hAnsi="Times New Roman" w:cs="Times New Roman"/>
          <w:lang w:bidi="ar"/>
        </w:rPr>
        <w:t xml:space="preserve">. </w:t>
      </w:r>
      <w:r>
        <w:rPr>
          <w:rFonts w:ascii="Times New Roman" w:hAnsi="Times New Roman" w:cs="Times New Roman"/>
          <w:i/>
          <w:iCs/>
          <w:lang w:bidi="ar"/>
        </w:rPr>
        <w:t>p</w:t>
      </w:r>
      <w:r>
        <w:rPr>
          <w:rFonts w:ascii="Times New Roman" w:hAnsi="Times New Roman" w:cs="Times New Roman"/>
          <w:lang w:bidi="ar"/>
        </w:rPr>
        <w:t xml:space="preserve"> = 0.016.</w:t>
      </w:r>
      <w:r>
        <w:rPr>
          <w:rFonts w:ascii="Times New Roman" w:hAnsi="Times New Roman" w:cs="Times New Roman"/>
          <w:b/>
          <w:lang w:bidi="ar"/>
        </w:rPr>
        <w:t xml:space="preserve"> (</w:t>
      </w:r>
      <w:r>
        <w:rPr>
          <w:rFonts w:ascii="Times New Roman" w:hAnsi="Times New Roman" w:eastAsia="宋体" w:cs="Times New Roman"/>
          <w:b/>
          <w:lang w:bidi="ar"/>
        </w:rPr>
        <w:t>h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  <w:lang w:bidi="ar"/>
        </w:rPr>
        <w:t xml:space="preserve">Correlation between MMPscore and Neutrophils in </w:t>
      </w:r>
      <w:r>
        <w:rPr>
          <w:rFonts w:ascii="Times New Roman" w:hAnsi="Times New Roman" w:eastAsia="宋体" w:cs="Times New Roman"/>
          <w:lang w:bidi="ar"/>
        </w:rPr>
        <w:t>CC</w:t>
      </w:r>
      <w:r>
        <w:rPr>
          <w:rFonts w:ascii="Times New Roman" w:hAnsi="Times New Roman" w:cs="Times New Roman"/>
          <w:lang w:bidi="ar"/>
        </w:rPr>
        <w:t xml:space="preserve">. </w:t>
      </w:r>
      <w:r>
        <w:rPr>
          <w:rFonts w:ascii="Times New Roman" w:hAnsi="Times New Roman" w:cs="Times New Roman"/>
          <w:i/>
          <w:iCs/>
          <w:lang w:bidi="ar"/>
        </w:rPr>
        <w:t>p</w:t>
      </w:r>
      <w:r>
        <w:rPr>
          <w:rFonts w:ascii="Times New Roman" w:hAnsi="Times New Roman" w:cs="Times New Roman"/>
          <w:lang w:bidi="ar"/>
        </w:rPr>
        <w:t xml:space="preserve"> = 0.00057.</w:t>
      </w:r>
      <w:r>
        <w:rPr>
          <w:rFonts w:ascii="Times New Roman" w:hAnsi="Times New Roman" w:cs="Times New Roman"/>
          <w:b/>
          <w:lang w:bidi="ar"/>
        </w:rPr>
        <w:t xml:space="preserve"> (</w:t>
      </w:r>
      <w:r>
        <w:rPr>
          <w:rFonts w:ascii="Times New Roman" w:hAnsi="Times New Roman" w:eastAsia="宋体" w:cs="Times New Roman"/>
          <w:b/>
          <w:lang w:bidi="ar"/>
        </w:rPr>
        <w:t>i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  <w:lang w:bidi="ar"/>
        </w:rPr>
        <w:t xml:space="preserve">Correlation between MMPscore and NK cells resting in </w:t>
      </w:r>
      <w:r>
        <w:rPr>
          <w:rFonts w:ascii="Times New Roman" w:hAnsi="Times New Roman" w:eastAsia="宋体" w:cs="Times New Roman"/>
          <w:lang w:bidi="ar"/>
        </w:rPr>
        <w:t>CC</w:t>
      </w:r>
      <w:r>
        <w:rPr>
          <w:rFonts w:ascii="Times New Roman" w:hAnsi="Times New Roman" w:cs="Times New Roman"/>
          <w:lang w:bidi="ar"/>
        </w:rPr>
        <w:t xml:space="preserve">. </w:t>
      </w:r>
      <w:r>
        <w:rPr>
          <w:rFonts w:ascii="Times New Roman" w:hAnsi="Times New Roman" w:cs="Times New Roman"/>
          <w:i/>
          <w:iCs/>
          <w:lang w:bidi="ar"/>
        </w:rPr>
        <w:t>p</w:t>
      </w:r>
      <w:r>
        <w:rPr>
          <w:rFonts w:ascii="Times New Roman" w:hAnsi="Times New Roman" w:cs="Times New Roman"/>
          <w:lang w:bidi="ar"/>
        </w:rPr>
        <w:t xml:space="preserve"> = 0.0059.</w:t>
      </w:r>
      <w:r>
        <w:rPr>
          <w:rFonts w:ascii="Times New Roman" w:hAnsi="Times New Roman" w:cs="Times New Roman"/>
          <w:b/>
          <w:lang w:bidi="ar"/>
        </w:rPr>
        <w:t xml:space="preserve"> (</w:t>
      </w:r>
      <w:r>
        <w:rPr>
          <w:rFonts w:ascii="Times New Roman" w:hAnsi="Times New Roman" w:eastAsia="宋体" w:cs="Times New Roman"/>
          <w:b/>
          <w:lang w:bidi="ar"/>
        </w:rPr>
        <w:t>j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  <w:lang w:bidi="ar"/>
        </w:rPr>
        <w:t xml:space="preserve">Correlation between MMPscore and Plasma cells in </w:t>
      </w:r>
      <w:r>
        <w:rPr>
          <w:rFonts w:ascii="Times New Roman" w:hAnsi="Times New Roman" w:eastAsia="宋体" w:cs="Times New Roman"/>
          <w:lang w:bidi="ar"/>
        </w:rPr>
        <w:t>CC</w:t>
      </w:r>
      <w:r>
        <w:rPr>
          <w:rFonts w:ascii="Times New Roman" w:hAnsi="Times New Roman" w:cs="Times New Roman"/>
          <w:lang w:bidi="ar"/>
        </w:rPr>
        <w:t xml:space="preserve">. </w:t>
      </w:r>
      <w:r>
        <w:rPr>
          <w:rFonts w:ascii="Times New Roman" w:hAnsi="Times New Roman" w:cs="Times New Roman"/>
          <w:i/>
          <w:iCs/>
          <w:lang w:bidi="ar"/>
        </w:rPr>
        <w:t>p</w:t>
      </w:r>
      <w:r>
        <w:rPr>
          <w:rFonts w:ascii="Times New Roman" w:hAnsi="Times New Roman" w:cs="Times New Roman"/>
          <w:lang w:bidi="ar"/>
        </w:rPr>
        <w:t xml:space="preserve"> = 0.043. </w:t>
      </w:r>
      <w:r>
        <w:rPr>
          <w:rFonts w:ascii="Times New Roman" w:hAnsi="Times New Roman" w:cs="Times New Roman"/>
          <w:b/>
          <w:lang w:bidi="ar"/>
        </w:rPr>
        <w:t>(</w:t>
      </w:r>
      <w:r>
        <w:rPr>
          <w:rFonts w:ascii="Times New Roman" w:hAnsi="Times New Roman" w:eastAsia="宋体" w:cs="Times New Roman"/>
          <w:b/>
          <w:lang w:bidi="ar"/>
        </w:rPr>
        <w:t>k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  <w:lang w:bidi="ar"/>
        </w:rPr>
        <w:t xml:space="preserve">Correlation between MMPscore and T cells </w:t>
      </w:r>
      <w:r>
        <w:rPr>
          <w:rFonts w:ascii="Times New Roman" w:hAnsi="Times New Roman" w:eastAsia="宋体" w:cs="Times New Roman"/>
          <w:lang w:bidi="ar"/>
        </w:rPr>
        <w:t>CD8</w:t>
      </w:r>
      <w:r>
        <w:rPr>
          <w:rFonts w:ascii="Times New Roman" w:hAnsi="Times New Roman" w:cs="Times New Roman"/>
          <w:lang w:bidi="ar"/>
        </w:rPr>
        <w:t xml:space="preserve"> in </w:t>
      </w:r>
      <w:r>
        <w:rPr>
          <w:rFonts w:ascii="Times New Roman" w:hAnsi="Times New Roman" w:eastAsia="宋体" w:cs="Times New Roman"/>
          <w:lang w:bidi="ar"/>
        </w:rPr>
        <w:t>CC</w:t>
      </w:r>
      <w:r>
        <w:rPr>
          <w:rFonts w:ascii="Times New Roman" w:hAnsi="Times New Roman" w:cs="Times New Roman"/>
          <w:lang w:bidi="ar"/>
        </w:rPr>
        <w:t xml:space="preserve">. </w:t>
      </w:r>
      <w:r>
        <w:rPr>
          <w:rFonts w:ascii="Times New Roman" w:hAnsi="Times New Roman" w:cs="Times New Roman"/>
          <w:i/>
          <w:iCs/>
          <w:lang w:bidi="ar"/>
        </w:rPr>
        <w:t>p</w:t>
      </w:r>
      <w:r>
        <w:rPr>
          <w:rFonts w:ascii="Times New Roman" w:hAnsi="Times New Roman" w:cs="Times New Roman"/>
          <w:lang w:bidi="ar"/>
        </w:rPr>
        <w:t xml:space="preserve"> = 0.00</w:t>
      </w:r>
      <w:r>
        <w:rPr>
          <w:rFonts w:ascii="Times New Roman" w:hAnsi="Times New Roman" w:eastAsia="宋体" w:cs="Times New Roman"/>
          <w:lang w:bidi="ar"/>
        </w:rPr>
        <w:t>4</w:t>
      </w:r>
      <w:r>
        <w:rPr>
          <w:rFonts w:ascii="Times New Roman" w:hAnsi="Times New Roman" w:cs="Times New Roman"/>
          <w:lang w:bidi="ar"/>
        </w:rPr>
        <w:t>.</w:t>
      </w:r>
      <w:r>
        <w:rPr>
          <w:rFonts w:ascii="Times New Roman" w:hAnsi="Times New Roman" w:cs="Times New Roman"/>
          <w:b/>
          <w:lang w:bidi="ar"/>
        </w:rPr>
        <w:t xml:space="preserve"> (</w:t>
      </w:r>
      <w:r>
        <w:rPr>
          <w:rFonts w:ascii="Times New Roman" w:hAnsi="Times New Roman" w:eastAsia="宋体" w:cs="Times New Roman"/>
          <w:b/>
          <w:lang w:bidi="ar"/>
        </w:rPr>
        <w:t>l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  <w:lang w:bidi="ar"/>
        </w:rPr>
        <w:t xml:space="preserve">Correlation between MMPscore and Macrophages M0 in </w:t>
      </w:r>
      <w:r>
        <w:rPr>
          <w:rFonts w:ascii="Times New Roman" w:hAnsi="Times New Roman" w:eastAsia="宋体" w:cs="Times New Roman"/>
          <w:lang w:bidi="ar"/>
        </w:rPr>
        <w:t>CC</w:t>
      </w:r>
      <w:r>
        <w:rPr>
          <w:rFonts w:ascii="Times New Roman" w:hAnsi="Times New Roman" w:cs="Times New Roman"/>
          <w:lang w:bidi="ar"/>
        </w:rPr>
        <w:t xml:space="preserve">. </w:t>
      </w:r>
      <w:r>
        <w:rPr>
          <w:rFonts w:ascii="Times New Roman" w:hAnsi="Times New Roman" w:cs="Times New Roman"/>
          <w:i/>
          <w:iCs/>
          <w:lang w:bidi="ar"/>
        </w:rPr>
        <w:t>p</w:t>
      </w:r>
      <w:r>
        <w:rPr>
          <w:rFonts w:ascii="Times New Roman" w:hAnsi="Times New Roman" w:cs="Times New Roman"/>
          <w:lang w:bidi="ar"/>
        </w:rPr>
        <w:t xml:space="preserve"> &lt; 0.001. </w:t>
      </w:r>
      <w:r>
        <w:rPr>
          <w:rFonts w:ascii="Times New Roman" w:hAnsi="Times New Roman" w:cs="Times New Roman"/>
          <w:b/>
          <w:lang w:bidi="ar"/>
        </w:rPr>
        <w:t>(</w:t>
      </w:r>
      <w:r>
        <w:rPr>
          <w:rFonts w:ascii="Times New Roman" w:hAnsi="Times New Roman" w:eastAsia="宋体" w:cs="Times New Roman"/>
          <w:b/>
          <w:lang w:bidi="ar"/>
        </w:rPr>
        <w:t>m</w:t>
      </w:r>
      <w:r>
        <w:rPr>
          <w:rFonts w:ascii="Times New Roman" w:hAnsi="Times New Roman" w:cs="Times New Roman"/>
          <w:b/>
          <w:lang w:bidi="ar"/>
        </w:rPr>
        <w:t>)</w:t>
      </w:r>
      <w:r>
        <w:rPr>
          <w:rFonts w:hint="eastAsia" w:ascii="Times New Roman" w:hAnsi="Times New Roman" w:cs="Times New Roman"/>
          <w:b/>
          <w:lang w:bidi="ar"/>
        </w:rPr>
        <w:t xml:space="preserve"> </w:t>
      </w:r>
      <w:r>
        <w:rPr>
          <w:rFonts w:ascii="Times New Roman" w:hAnsi="Times New Roman" w:cs="Times New Roman"/>
          <w:lang w:bidi="ar"/>
        </w:rPr>
        <w:t xml:space="preserve">Correlation between MMPscore and T cells follicular helper in </w:t>
      </w:r>
      <w:r>
        <w:rPr>
          <w:rFonts w:ascii="Times New Roman" w:hAnsi="Times New Roman" w:eastAsia="宋体" w:cs="Times New Roman"/>
          <w:lang w:bidi="ar"/>
        </w:rPr>
        <w:t>CC</w:t>
      </w:r>
      <w:r>
        <w:rPr>
          <w:rFonts w:ascii="Times New Roman" w:hAnsi="Times New Roman" w:cs="Times New Roman"/>
          <w:lang w:bidi="ar"/>
        </w:rPr>
        <w:t xml:space="preserve">. </w:t>
      </w:r>
      <w:r>
        <w:rPr>
          <w:rFonts w:ascii="Times New Roman" w:hAnsi="Times New Roman" w:cs="Times New Roman"/>
          <w:i/>
          <w:iCs/>
          <w:lang w:bidi="ar"/>
        </w:rPr>
        <w:t>p</w:t>
      </w:r>
      <w:r>
        <w:rPr>
          <w:rFonts w:ascii="Times New Roman" w:hAnsi="Times New Roman" w:cs="Times New Roman"/>
          <w:lang w:bidi="ar"/>
        </w:rPr>
        <w:t xml:space="preserve"> = 0.0098.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eastAsia="宋体" w:cs="Times New Roman"/>
          <w:b/>
          <w:bCs/>
        </w:rPr>
        <w:t>n-p</w:t>
      </w:r>
      <w:r>
        <w:rPr>
          <w:rFonts w:ascii="Times New Roman" w:hAnsi="Times New Roman" w:cs="Times New Roman"/>
          <w:b/>
          <w:bCs/>
        </w:rPr>
        <w:t xml:space="preserve">) </w:t>
      </w:r>
      <w:r>
        <w:rPr>
          <w:rFonts w:ascii="Times New Roman" w:hAnsi="Times New Roman" w:cs="Times New Roman"/>
        </w:rPr>
        <w:t>Correlation between MMPscore and TNFSF9, IL33</w:t>
      </w:r>
      <w:r>
        <w:rPr>
          <w:rFonts w:ascii="Times New Roman" w:hAnsi="Times New Roman" w:eastAsia="宋体" w:cs="Times New Roman"/>
        </w:rPr>
        <w:t xml:space="preserve"> and </w:t>
      </w:r>
      <w:r>
        <w:rPr>
          <w:rFonts w:ascii="Times New Roman" w:hAnsi="Times New Roman" w:cs="Times New Roman"/>
        </w:rPr>
        <w:t xml:space="preserve">HLA-C in </w:t>
      </w:r>
      <w:r>
        <w:rPr>
          <w:rFonts w:ascii="Times New Roman" w:hAnsi="Times New Roman" w:eastAsia="宋体" w:cs="Times New Roman"/>
        </w:rPr>
        <w:t>CC</w:t>
      </w:r>
      <w:r>
        <w:rPr>
          <w:rFonts w:ascii="Times New Roman" w:hAnsi="Times New Roman" w:cs="Times New Roman"/>
        </w:rPr>
        <w:t>. *</w:t>
      </w:r>
      <w:r>
        <w:rPr>
          <w:rFonts w:ascii="Times New Roman" w:hAnsi="Times New Roman" w:cs="Times New Roman"/>
          <w:i/>
          <w:iCs/>
        </w:rPr>
        <w:t xml:space="preserve">p </w:t>
      </w:r>
      <w:r>
        <w:rPr>
          <w:rFonts w:ascii="Times New Roman" w:hAnsi="Times New Roman" w:cs="Times New Roman"/>
        </w:rPr>
        <w:t>&lt; 0.05, 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&lt;0.01, and***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&lt;0.001. </w:t>
      </w:r>
    </w:p>
    <w:p>
      <w:pPr>
        <w:pStyle w:val="3"/>
        <w:spacing w:line="480" w:lineRule="auto"/>
        <w:rPr>
          <w:rFonts w:eastAsia="宋体"/>
          <w:b/>
          <w:lang w:bidi="ar"/>
        </w:rPr>
      </w:pPr>
      <w:r>
        <w:rPr>
          <w:rFonts w:hint="eastAsia" w:eastAsia="宋体"/>
          <w:b/>
          <w:lang w:bidi="ar"/>
        </w:rPr>
        <w:drawing>
          <wp:inline distT="0" distB="0" distL="114300" distR="114300">
            <wp:extent cx="4975225" cy="64427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754" cy="644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rPr>
          <w:lang w:bidi="ar"/>
        </w:rPr>
      </w:pPr>
      <w:r>
        <w:rPr>
          <w:b/>
          <w:bCs/>
        </w:rPr>
        <w:t>Fig S</w:t>
      </w:r>
      <w:r>
        <w:rPr>
          <w:rFonts w:hint="eastAsia" w:eastAsia="宋体"/>
          <w:b/>
          <w:bCs/>
        </w:rPr>
        <w:t>4</w:t>
      </w:r>
      <w:r>
        <w:rPr>
          <w:b/>
          <w:bCs/>
          <w:lang w:bidi="ar"/>
        </w:rPr>
        <w:t xml:space="preserve"> (</w:t>
      </w:r>
      <w:r>
        <w:rPr>
          <w:rFonts w:hint="eastAsia" w:eastAsia="宋体"/>
          <w:b/>
          <w:bCs/>
          <w:lang w:bidi="ar"/>
        </w:rPr>
        <w:t>a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>Differences in CD47 expression among low MMPscore and high MMPscore clinical response groups.</w:t>
      </w:r>
      <w:r>
        <w:rPr>
          <w:rFonts w:hint="eastAsia" w:eastAsia="宋体"/>
          <w:lang w:bidi="ar"/>
        </w:rPr>
        <w:t xml:space="preserve"> </w:t>
      </w:r>
      <w:r>
        <w:rPr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b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 xml:space="preserve">Kaplan-Meier curves for high and low MMPscore patient groups in the patients with G2. Log-rank test, </w:t>
      </w:r>
      <w:r>
        <w:rPr>
          <w:i/>
          <w:iCs/>
          <w:lang w:bidi="ar"/>
        </w:rPr>
        <w:t>p</w:t>
      </w:r>
      <w:r>
        <w:rPr>
          <w:lang w:bidi="ar"/>
        </w:rPr>
        <w:t>=0.035.</w:t>
      </w:r>
      <w:r>
        <w:rPr>
          <w:b/>
          <w:bCs/>
          <w:lang w:bidi="ar"/>
        </w:rPr>
        <w:t xml:space="preserve"> (</w:t>
      </w:r>
      <w:r>
        <w:rPr>
          <w:rFonts w:hint="eastAsia" w:eastAsia="宋体"/>
          <w:b/>
          <w:bCs/>
          <w:lang w:bidi="ar"/>
        </w:rPr>
        <w:t>c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 xml:space="preserve">Kaplan-Meier curves for high and low MMPscore patient groups in the patients with N0. Log-rank test,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=0.003. </w:t>
      </w:r>
      <w:r>
        <w:rPr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d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 xml:space="preserve">Kaplan-Meier curves for high and low MMPscore patient groups in the patients with N1. Log-rank test, </w:t>
      </w:r>
      <w:r>
        <w:rPr>
          <w:i/>
          <w:iCs/>
          <w:lang w:bidi="ar"/>
        </w:rPr>
        <w:t>p</w:t>
      </w:r>
      <w:r>
        <w:rPr>
          <w:lang w:bidi="ar"/>
        </w:rPr>
        <w:t>=0.004.</w:t>
      </w:r>
      <w:r>
        <w:rPr>
          <w:b/>
          <w:bCs/>
          <w:lang w:bidi="ar"/>
        </w:rPr>
        <w:t xml:space="preserve"> (</w:t>
      </w:r>
      <w:r>
        <w:rPr>
          <w:rFonts w:hint="eastAsia" w:eastAsia="宋体"/>
          <w:b/>
          <w:bCs/>
          <w:lang w:bidi="ar"/>
        </w:rPr>
        <w:t>e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 xml:space="preserve">Kaplan-Meier curves for high and low MMPscore patient groups in the patients with T1. Log-rank test,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=0.002. </w:t>
      </w:r>
      <w:r>
        <w:rPr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f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 xml:space="preserve">Kaplan-Meier curves for high and low MMPscore patient groups in the patients with age greater than 65. Log-rank test, </w:t>
      </w:r>
      <w:r>
        <w:rPr>
          <w:i/>
          <w:iCs/>
          <w:lang w:bidi="ar"/>
        </w:rPr>
        <w:t>p</w:t>
      </w:r>
      <w:r>
        <w:rPr>
          <w:lang w:bidi="ar"/>
        </w:rPr>
        <w:t xml:space="preserve">=0.010. </w:t>
      </w:r>
      <w:r>
        <w:rPr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g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 xml:space="preserve">Kaplan-Meier curves for high and low MMPscore patient groups in the patients with age less than 65. Log-rank test, </w:t>
      </w:r>
      <w:r>
        <w:rPr>
          <w:i/>
          <w:iCs/>
          <w:lang w:bidi="ar"/>
        </w:rPr>
        <w:t>p</w:t>
      </w:r>
      <w:r>
        <w:rPr>
          <w:rFonts w:eastAsia="宋体"/>
          <w:lang w:val="de" w:bidi="ar"/>
        </w:rPr>
        <w:t>＜</w:t>
      </w:r>
      <w:r>
        <w:rPr>
          <w:lang w:bidi="ar"/>
        </w:rPr>
        <w:t xml:space="preserve">0.001. </w:t>
      </w:r>
      <w:r>
        <w:rPr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h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>The proportion of patients with children in the low or high MMPscore group.</w:t>
      </w:r>
      <w:r>
        <w:rPr>
          <w:b/>
          <w:bCs/>
          <w:lang w:bidi="ar"/>
        </w:rPr>
        <w:t xml:space="preserve"> (</w:t>
      </w:r>
      <w:r>
        <w:rPr>
          <w:rFonts w:hint="eastAsia" w:eastAsia="宋体"/>
          <w:b/>
          <w:bCs/>
          <w:lang w:bidi="ar"/>
        </w:rPr>
        <w:t>i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 xml:space="preserve">The proportion of patients with smoked years in the low or high MMPscore group. </w:t>
      </w:r>
      <w:r>
        <w:rPr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j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 xml:space="preserve">The proportion of patients with weight (kilogram) in the low or high MMPscore group. </w:t>
      </w:r>
      <w:r>
        <w:rPr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k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 xml:space="preserve">The proportion of patients with age in the low or high MMPscore group. </w:t>
      </w:r>
      <w:r>
        <w:rPr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l</w:t>
      </w:r>
      <w:r>
        <w:rPr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lang w:bidi="ar"/>
        </w:rPr>
        <w:t>Differences in MMPscore among distinct smoke years clinical response groups.</w:t>
      </w:r>
    </w:p>
    <w:p>
      <w:pPr>
        <w:pStyle w:val="6"/>
        <w:spacing w:before="120" w:after="240"/>
        <w:jc w:val="both"/>
        <w:rPr>
          <w:rFonts w:ascii="Times New Roman" w:hAnsi="Times New Roman" w:eastAsia="Times New Roman" w:cs="Times New Roman"/>
          <w:b/>
          <w:color w:val="auto"/>
          <w:sz w:val="20"/>
          <w:szCs w:val="20"/>
          <w:lang w:eastAsia="zh-CN" w:bidi="ar"/>
        </w:rPr>
      </w:pPr>
      <w:r>
        <w:rPr>
          <w:rFonts w:ascii="Times New Roman" w:hAnsi="Times New Roman" w:eastAsia="Times New Roman" w:cs="Times New Roman"/>
          <w:b/>
          <w:color w:val="auto"/>
          <w:sz w:val="20"/>
          <w:szCs w:val="20"/>
          <w:lang w:eastAsia="zh-CN" w:bidi="ar"/>
        </w:rPr>
        <w:drawing>
          <wp:inline distT="0" distB="0" distL="114300" distR="114300">
            <wp:extent cx="5105400" cy="58553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628" cy="585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rPr>
          <w:rFonts w:eastAsia="宋体"/>
          <w:lang w:bidi="ar"/>
        </w:rPr>
      </w:pPr>
      <w:r>
        <w:rPr>
          <w:b/>
          <w:bCs/>
        </w:rPr>
        <w:t>Fig S</w:t>
      </w:r>
      <w:r>
        <w:rPr>
          <w:rFonts w:hint="eastAsia" w:eastAsia="宋体"/>
          <w:b/>
          <w:bCs/>
        </w:rPr>
        <w:t>5</w:t>
      </w:r>
      <w:r>
        <w:rPr>
          <w:rFonts w:hint="eastAsia"/>
          <w:b/>
          <w:bCs/>
        </w:rPr>
        <w:t xml:space="preserve">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a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NRP1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b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TNFRSF8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 xml:space="preserve">p </w:t>
      </w:r>
      <w:r>
        <w:rPr>
          <w:rFonts w:eastAsia="宋体"/>
          <w:lang w:bidi="ar"/>
        </w:rPr>
        <w:t>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c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TNFRSF9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**p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d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TNFRSF14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e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TNFSF14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f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TNFRSF18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</w:t>
      </w:r>
    </w:p>
    <w:p>
      <w:pPr>
        <w:pStyle w:val="10"/>
        <w:rPr>
          <w:rFonts w:eastAsia="宋体"/>
          <w:lang w:bidi="ar"/>
        </w:rPr>
      </w:pPr>
      <w:bookmarkStart w:id="0" w:name="_Hlk116209686"/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g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CD274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h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LGALS9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i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VTCN1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j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ADORA2A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k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CD40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l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CD200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m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CD276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n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CD70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o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CTLA4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  <w:r>
        <w:rPr>
          <w:rFonts w:eastAsia="宋体"/>
          <w:b/>
          <w:bCs/>
          <w:lang w:bidi="ar"/>
        </w:rPr>
        <w:t>(</w:t>
      </w:r>
      <w:r>
        <w:rPr>
          <w:rFonts w:hint="eastAsia" w:eastAsia="宋体"/>
          <w:b/>
          <w:bCs/>
          <w:lang w:bidi="ar"/>
        </w:rPr>
        <w:t>p</w:t>
      </w:r>
      <w:r>
        <w:rPr>
          <w:rFonts w:eastAsia="宋体"/>
          <w:b/>
          <w:bCs/>
          <w:lang w:bidi="ar"/>
        </w:rPr>
        <w:t>)</w:t>
      </w:r>
      <w:r>
        <w:rPr>
          <w:rFonts w:hint="eastAsia" w:eastAsia="宋体"/>
          <w:b/>
          <w:bCs/>
          <w:lang w:bidi="ar"/>
        </w:rPr>
        <w:t xml:space="preserve"> </w:t>
      </w:r>
      <w:r>
        <w:rPr>
          <w:rFonts w:eastAsia="宋体"/>
          <w:lang w:bidi="ar"/>
        </w:rPr>
        <w:t xml:space="preserve">Correlation between MMPscore and CD86 in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>. 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0.05, 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0.01, and ***</w:t>
      </w:r>
      <w:r>
        <w:rPr>
          <w:rFonts w:eastAsia="宋体"/>
          <w:i/>
          <w:iCs/>
          <w:lang w:bidi="ar"/>
        </w:rPr>
        <w:t>p</w:t>
      </w:r>
      <w:r>
        <w:rPr>
          <w:rFonts w:eastAsia="宋体"/>
          <w:lang w:bidi="ar"/>
        </w:rPr>
        <w:t xml:space="preserve"> &lt; 0.001. </w:t>
      </w:r>
    </w:p>
    <w:p>
      <w:pPr>
        <w:pStyle w:val="10"/>
        <w:rPr>
          <w:rFonts w:eastAsia="宋体"/>
          <w:lang w:bidi="ar"/>
        </w:rPr>
      </w:pPr>
    </w:p>
    <w:p>
      <w:pPr>
        <w:pStyle w:val="10"/>
        <w:rPr>
          <w:rFonts w:eastAsia="宋体"/>
          <w:lang w:bidi="ar"/>
        </w:rPr>
      </w:pPr>
    </w:p>
    <w:p>
      <w:pPr>
        <w:pStyle w:val="10"/>
        <w:rPr>
          <w:rFonts w:eastAsia="宋体"/>
          <w:lang w:bidi="ar"/>
        </w:rPr>
      </w:pPr>
    </w:p>
    <w:p>
      <w:pPr>
        <w:pStyle w:val="10"/>
        <w:rPr>
          <w:rFonts w:eastAsia="宋体"/>
          <w:lang w:bidi="ar"/>
        </w:rPr>
      </w:pPr>
    </w:p>
    <w:p>
      <w:pPr>
        <w:pStyle w:val="10"/>
        <w:rPr>
          <w:rFonts w:eastAsia="宋体"/>
          <w:lang w:bidi="ar"/>
        </w:rPr>
      </w:pPr>
    </w:p>
    <w:p>
      <w:pPr>
        <w:pStyle w:val="10"/>
        <w:rPr>
          <w:rFonts w:eastAsia="宋体"/>
          <w:lang w:bidi="ar"/>
        </w:rPr>
      </w:pPr>
    </w:p>
    <w:bookmarkEnd w:id="0"/>
    <w:p>
      <w:pPr>
        <w:pStyle w:val="3"/>
        <w:spacing w:before="120" w:after="240"/>
        <w:rPr>
          <w:rFonts w:ascii="Times New Roman" w:hAnsi="Times New Roman" w:cs="Times New Roman"/>
          <w:b/>
          <w:szCs w:val="20"/>
          <w:lang w:bidi="ar"/>
        </w:rPr>
      </w:pPr>
    </w:p>
    <w:tbl>
      <w:tblPr>
        <w:tblStyle w:val="13"/>
        <w:tblW w:w="948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817"/>
        <w:gridCol w:w="1309"/>
        <w:gridCol w:w="1134"/>
        <w:gridCol w:w="1134"/>
        <w:gridCol w:w="964"/>
        <w:gridCol w:w="964"/>
        <w:gridCol w:w="96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jc w:val="center"/>
              <w:rPr>
                <w:rFonts w:ascii="Times New Roman" w:hAnsi="Times New Roman" w:eastAsia="宋体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宋体"/>
                <w:b/>
                <w:bCs/>
                <w:sz w:val="16"/>
                <w:szCs w:val="16"/>
              </w:rPr>
              <w:t>P</w:t>
            </w:r>
            <w:r>
              <w:rPr>
                <w:rFonts w:hint="eastAsia" w:ascii="Times New Roman" w:hAnsi="Times New Roman" w:eastAsia="宋体"/>
                <w:b/>
                <w:bCs/>
                <w:sz w:val="16"/>
                <w:szCs w:val="16"/>
              </w:rPr>
              <w:t>atient</w:t>
            </w:r>
          </w:p>
        </w:tc>
        <w:tc>
          <w:tcPr>
            <w:tcW w:w="1309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jc w:val="center"/>
              <w:rPr>
                <w:rFonts w:ascii="Times New Roman" w:hAnsi="Times New Roman" w:eastAsia="宋体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6"/>
                <w:szCs w:val="16"/>
              </w:rPr>
              <w:t>Ca</w:t>
            </w:r>
            <w:r>
              <w:rPr>
                <w:rFonts w:ascii="Times New Roman" w:hAnsi="Times New Roman" w:eastAsia="宋体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jc w:val="center"/>
              <w:rPr>
                <w:rFonts w:ascii="Times New Roman" w:hAnsi="Times New Roman" w:eastAsia="宋体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6"/>
                <w:szCs w:val="16"/>
              </w:rPr>
              <w:t>Ca</w:t>
            </w:r>
            <w:r>
              <w:rPr>
                <w:rFonts w:ascii="Times New Roman" w:hAnsi="Times New Roman" w:eastAsia="宋体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jc w:val="center"/>
              <w:rPr>
                <w:rFonts w:ascii="Times New Roman" w:hAnsi="Times New Roman" w:eastAsia="宋体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6"/>
                <w:szCs w:val="16"/>
              </w:rPr>
              <w:t>Ca</w:t>
            </w:r>
            <w:r>
              <w:rPr>
                <w:rFonts w:ascii="Times New Roman" w:hAnsi="Times New Roman" w:eastAsia="宋体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jc w:val="center"/>
              <w:rPr>
                <w:rFonts w:ascii="Times New Roman" w:hAnsi="Times New Roman" w:eastAsia="宋体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6"/>
                <w:szCs w:val="16"/>
              </w:rPr>
              <w:t>N</w:t>
            </w:r>
            <w:r>
              <w:rPr>
                <w:rFonts w:ascii="Times New Roman" w:hAnsi="Times New Roman" w:eastAsia="宋体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jc w:val="center"/>
              <w:rPr>
                <w:rFonts w:ascii="Times New Roman" w:hAnsi="Times New Roman" w:eastAsia="宋体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6"/>
                <w:szCs w:val="16"/>
              </w:rPr>
              <w:t>N</w:t>
            </w:r>
            <w:r>
              <w:rPr>
                <w:rFonts w:ascii="Times New Roman" w:hAnsi="Times New Roman" w:eastAsia="宋体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>
            <w:pPr>
              <w:wordWrap/>
              <w:spacing w:line="360" w:lineRule="exact"/>
              <w:jc w:val="center"/>
              <w:rPr>
                <w:rFonts w:ascii="Times New Roman" w:hAnsi="Times New Roman" w:eastAsia="宋体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16"/>
                <w:szCs w:val="16"/>
              </w:rPr>
              <w:t>N</w:t>
            </w:r>
            <w:r>
              <w:rPr>
                <w:rFonts w:ascii="Times New Roman" w:hAnsi="Times New Roman" w:eastAsia="宋体"/>
                <w:b/>
                <w:bCs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b/>
                <w:bCs/>
                <w:sz w:val="16"/>
                <w:szCs w:val="16"/>
              </w:rPr>
              <w:t>C</w:t>
            </w: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haracteristic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4</w:t>
            </w:r>
            <w:r>
              <w:rPr>
                <w:rFonts w:ascii="Times New Roman" w:hAnsi="Times New Roman" w:eastAsia="Arial"/>
                <w:sz w:val="16"/>
                <w:szCs w:val="16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6</w:t>
            </w:r>
            <w:r>
              <w:rPr>
                <w:rFonts w:ascii="Times New Roman" w:hAnsi="Times New Roman" w:eastAsia="Arial"/>
                <w:sz w:val="16"/>
                <w:szCs w:val="16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7</w:t>
            </w:r>
            <w:r>
              <w:rPr>
                <w:rFonts w:ascii="Times New Roman" w:hAnsi="Times New Roman" w:eastAsia="Arial"/>
                <w:sz w:val="16"/>
                <w:szCs w:val="16"/>
              </w:rPr>
              <w:t>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5</w:t>
            </w:r>
            <w:r>
              <w:rPr>
                <w:rFonts w:ascii="Times New Roman" w:hAnsi="Times New Roman" w:eastAsia="Arial"/>
                <w:sz w:val="16"/>
                <w:szCs w:val="16"/>
              </w:rPr>
              <w:t>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5</w:t>
            </w:r>
            <w:r>
              <w:rPr>
                <w:rFonts w:ascii="Times New Roman" w:hAnsi="Times New Roman" w:eastAsia="Arial"/>
                <w:sz w:val="16"/>
                <w:szCs w:val="16"/>
              </w:rPr>
              <w:t>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4</w:t>
            </w:r>
            <w:r>
              <w:rPr>
                <w:rFonts w:ascii="Times New Roman" w:hAnsi="Times New Roman" w:eastAsia="Arial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Times of pregnancy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Parity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1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3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Tumor size (cm)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2</w:t>
            </w:r>
            <w:r>
              <w:rPr>
                <w:rFonts w:ascii="Times New Roman" w:hAnsi="Times New Roman" w:eastAsia="Arial"/>
                <w:sz w:val="16"/>
                <w:szCs w:val="16"/>
              </w:rPr>
              <w:t>*1.5*1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6</w:t>
            </w:r>
            <w:r>
              <w:rPr>
                <w:rFonts w:ascii="Times New Roman" w:hAnsi="Times New Roman" w:eastAsia="Arial"/>
                <w:sz w:val="16"/>
                <w:szCs w:val="16"/>
              </w:rPr>
              <w:t>.2*4.4*6.33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3</w:t>
            </w:r>
            <w:r>
              <w:rPr>
                <w:rFonts w:ascii="Times New Roman" w:hAnsi="Times New Roman" w:eastAsia="Arial"/>
                <w:sz w:val="16"/>
                <w:szCs w:val="16"/>
              </w:rPr>
              <w:t>.5*3*1.8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Histology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Adenocarcinoma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squamous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squamous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histological grading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middle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l</w:t>
            </w:r>
            <w:r>
              <w:rPr>
                <w:rFonts w:ascii="Times New Roman" w:hAnsi="Times New Roman" w:eastAsia="Arial"/>
                <w:sz w:val="16"/>
                <w:szCs w:val="16"/>
              </w:rPr>
              <w:t>ow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Silva typing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Silva C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HPV16/18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HPV18(+)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HPV16(+)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HPV16(+)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FIGO staging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Ⅲ</w:t>
            </w:r>
            <w:r>
              <w:rPr>
                <w:rFonts w:ascii="Times New Roman" w:hAnsi="Times New Roman" w:eastAsia="Arial"/>
                <w:sz w:val="16"/>
                <w:szCs w:val="16"/>
              </w:rPr>
              <w:t>C1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Ⅲ</w:t>
            </w:r>
            <w:r>
              <w:rPr>
                <w:rFonts w:ascii="Times New Roman" w:hAnsi="Times New Roman" w:eastAsia="Arial"/>
                <w:sz w:val="16"/>
                <w:szCs w:val="16"/>
              </w:rPr>
              <w:t xml:space="preserve"> B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Ⅰ</w:t>
            </w:r>
            <w:r>
              <w:rPr>
                <w:rFonts w:ascii="Times New Roman" w:hAnsi="Times New Roman" w:eastAsia="Arial"/>
                <w:sz w:val="16"/>
                <w:szCs w:val="16"/>
              </w:rPr>
              <w:t>B2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Lymph node metastasis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positive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positive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negative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hint="eastAsia" w:ascii="Times New Roman" w:hAnsi="Times New Roman" w:eastAsia="Arial"/>
                <w:sz w:val="16"/>
                <w:szCs w:val="16"/>
              </w:rPr>
              <w:t>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Arial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eastAsia="Arial"/>
                <w:b/>
                <w:bCs/>
                <w:sz w:val="16"/>
                <w:szCs w:val="16"/>
              </w:rPr>
              <w:t>treatment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surgery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chemotherapy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  <w:r>
              <w:rPr>
                <w:rFonts w:ascii="Times New Roman" w:hAnsi="Times New Roman" w:eastAsia="Arial"/>
                <w:sz w:val="16"/>
                <w:szCs w:val="16"/>
              </w:rPr>
              <w:t>surgery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Arial"/>
                <w:sz w:val="16"/>
                <w:szCs w:val="16"/>
              </w:rPr>
            </w:pPr>
          </w:p>
        </w:tc>
      </w:tr>
    </w:tbl>
    <w:p>
      <w:pPr>
        <w:pStyle w:val="10"/>
        <w:rPr>
          <w:rFonts w:eastAsia="宋体"/>
          <w:b/>
          <w:bCs/>
          <w:lang w:bidi="ar"/>
        </w:rPr>
      </w:pPr>
    </w:p>
    <w:p>
      <w:pPr>
        <w:pStyle w:val="10"/>
        <w:rPr>
          <w:rFonts w:eastAsia="宋体"/>
          <w:lang w:bidi="ar"/>
        </w:rPr>
      </w:pPr>
      <w:r>
        <w:rPr>
          <w:rFonts w:eastAsia="宋体"/>
          <w:b/>
          <w:bCs/>
          <w:lang w:bidi="ar"/>
        </w:rPr>
        <w:t>Table</w:t>
      </w:r>
      <w:r>
        <w:rPr>
          <w:b/>
          <w:bCs/>
        </w:rPr>
        <w:t xml:space="preserve"> S</w:t>
      </w:r>
      <w:r>
        <w:rPr>
          <w:rFonts w:hint="eastAsia" w:eastAsia="宋体"/>
          <w:b/>
          <w:bCs/>
        </w:rPr>
        <w:t>1</w:t>
      </w:r>
      <w:r>
        <w:rPr>
          <w:rFonts w:hint="eastAsia" w:eastAsia="宋体"/>
        </w:rPr>
        <w:t xml:space="preserve"> </w:t>
      </w:r>
      <w:r>
        <w:rPr>
          <w:rFonts w:eastAsia="宋体"/>
          <w:lang w:bidi="ar"/>
        </w:rPr>
        <w:t xml:space="preserve">Comparison of basic data from eligible selected </w:t>
      </w:r>
      <w:r>
        <w:rPr>
          <w:rFonts w:hint="eastAsia" w:eastAsia="宋体"/>
          <w:lang w:bidi="ar"/>
        </w:rPr>
        <w:t>CC</w:t>
      </w:r>
      <w:r>
        <w:rPr>
          <w:rFonts w:eastAsia="宋体"/>
          <w:lang w:bidi="ar"/>
        </w:rPr>
        <w:t xml:space="preserve"> patients and controls. Including age, times of pregnancy, parity, tumor size, histology, histological grading or silva typing, HPV16/18, FIGO staging lymph node metastasis and treatment.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yMTAwMmEwOTUzMTI4ZWQ1OTI4MTg2ODY0MzEzYTIifQ=="/>
  </w:docVars>
  <w:rsids>
    <w:rsidRoot w:val="0028389B"/>
    <w:rsid w:val="0028389B"/>
    <w:rsid w:val="00325A57"/>
    <w:rsid w:val="00411188"/>
    <w:rsid w:val="00473F68"/>
    <w:rsid w:val="004F0771"/>
    <w:rsid w:val="00703683"/>
    <w:rsid w:val="009A426F"/>
    <w:rsid w:val="00BF67B3"/>
    <w:rsid w:val="00F40846"/>
    <w:rsid w:val="00FF2C3F"/>
    <w:rsid w:val="016A2CE4"/>
    <w:rsid w:val="04483B6D"/>
    <w:rsid w:val="0FA24DCD"/>
    <w:rsid w:val="4E291A68"/>
    <w:rsid w:val="58BF133A"/>
    <w:rsid w:val="6D7A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Times New Roman" w:asciiTheme="minorHAnsi" w:hAnsiTheme="minorHAnsi" w:cstheme="minorBidi"/>
      <w:kern w:val="2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semiHidden/>
    <w:unhideWhenUsed/>
    <w:qFormat/>
    <w:uiPriority w:val="0"/>
    <w:rPr>
      <w:rFonts w:ascii="Arial" w:hAnsi="Arial" w:eastAsia="黑体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4"/>
      <w:szCs w:val="21"/>
      <w:lang w:eastAsia="en-US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ext"/>
    <w:basedOn w:val="1"/>
    <w:qFormat/>
    <w:uiPriority w:val="0"/>
    <w:pPr>
      <w:spacing w:line="480" w:lineRule="auto"/>
    </w:pPr>
    <w:rPr>
      <w:rFonts w:ascii="Times New Roman" w:hAnsi="Times New Roman" w:cs="Times New Roman"/>
      <w:szCs w:val="20"/>
    </w:rPr>
  </w:style>
  <w:style w:type="character" w:customStyle="1" w:styleId="11">
    <w:name w:val="页眉 字符"/>
    <w:basedOn w:val="9"/>
    <w:link w:val="5"/>
    <w:uiPriority w:val="0"/>
    <w:rPr>
      <w:rFonts w:eastAsia="Times New Roman"/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0"/>
    <w:rPr>
      <w:rFonts w:eastAsia="Times New Roman"/>
      <w:kern w:val="2"/>
      <w:sz w:val="18"/>
      <w:szCs w:val="18"/>
    </w:rPr>
  </w:style>
  <w:style w:type="table" w:customStyle="1" w:styleId="13">
    <w:name w:val="三线表"/>
    <w:basedOn w:val="7"/>
    <w:qFormat/>
    <w:uiPriority w:val="99"/>
    <w:rPr>
      <w:rFonts w:eastAsia="Arial"/>
    </w:rPr>
    <w:tblPr>
      <w:tblBorders>
        <w:top w:val="single" w:color="auto" w:sz="12" w:space="0"/>
        <w:bottom w:val="single" w:color="auto" w:sz="12" w:space="0"/>
      </w:tblBorders>
    </w:tblPr>
    <w:tblStylePr w:type="firstRow">
      <w:pPr>
        <w:wordWrap/>
        <w:spacing w:line="360" w:lineRule="exact"/>
        <w:jc w:val="center"/>
      </w:pPr>
      <w:rPr>
        <w:rFonts w:ascii="Times New Roman" w:hAnsi="Times New Roman" w:eastAsia="宋体"/>
        <w:sz w:val="21"/>
      </w:rPr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1032</Words>
  <Characters>5884</Characters>
  <Lines>49</Lines>
  <Paragraphs>13</Paragraphs>
  <TotalTime>12</TotalTime>
  <ScaleCrop>false</ScaleCrop>
  <LinksUpToDate>false</LinksUpToDate>
  <CharactersWithSpaces>6903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2023-12-19T15:36:00Z</dcterms:created>
  <dc:creator>Administrator</dc:creator>
  <cp:lastModifiedBy>王翮</cp:lastModifiedBy>
  <dcterms:modified xsi:type="dcterms:W3CDTF">2023-12-21T16:31:44Z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86FFDAE40FBB4D98AF4C92A3FA98BF4C_13</vt:lpwstr>
  </property>
</Properties>
</file>