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34C3F" w14:textId="77777777" w:rsidR="00487A36" w:rsidRDefault="00487A36" w:rsidP="00487A36"/>
    <w:p w14:paraId="3310FCE8" w14:textId="77777777" w:rsidR="00487A36" w:rsidRDefault="00487A36" w:rsidP="00487A36"/>
    <w:p w14:paraId="2DC318F7" w14:textId="77777777" w:rsidR="00487A36" w:rsidRDefault="00487A36" w:rsidP="00487A36"/>
    <w:p w14:paraId="30A1768D" w14:textId="77777777" w:rsidR="00487A36" w:rsidRDefault="00487A36" w:rsidP="00487A36"/>
    <w:p w14:paraId="3D4DC941" w14:textId="77777777" w:rsidR="00487A36" w:rsidRDefault="00487A36" w:rsidP="00487A36">
      <w:r w:rsidRPr="00EF7F27">
        <w:rPr>
          <w:noProof/>
        </w:rPr>
        <w:drawing>
          <wp:inline distT="0" distB="0" distL="0" distR="0" wp14:anchorId="07810EEF" wp14:editId="7D269713">
            <wp:extent cx="5756910" cy="4640580"/>
            <wp:effectExtent l="0" t="0" r="0" b="0"/>
            <wp:docPr id="14206915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9154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E87C5" w14:textId="77777777" w:rsidR="00487A36" w:rsidRDefault="00487A36" w:rsidP="00487A36"/>
    <w:p w14:paraId="501B8381" w14:textId="77777777" w:rsidR="00487A36" w:rsidRDefault="00487A36" w:rsidP="00487A36"/>
    <w:p w14:paraId="4A90DE47" w14:textId="77777777" w:rsidR="00487A36" w:rsidRDefault="00487A36" w:rsidP="00487A36"/>
    <w:p w14:paraId="32AC31A5" w14:textId="77777777" w:rsidR="00487A36" w:rsidRDefault="00487A36" w:rsidP="00487A36"/>
    <w:p w14:paraId="12F95758" w14:textId="77777777" w:rsidR="00487A36" w:rsidRPr="00A453B4" w:rsidRDefault="00487A36" w:rsidP="00487A36"/>
    <w:p w14:paraId="02987AA1" w14:textId="77777777" w:rsidR="00487A36" w:rsidRDefault="00487A36" w:rsidP="00487A36">
      <w:pPr>
        <w:rPr>
          <w:b/>
          <w:bCs/>
        </w:rPr>
      </w:pPr>
      <w:r w:rsidRPr="000075D8">
        <w:rPr>
          <w:b/>
          <w:bCs/>
        </w:rPr>
        <w:t xml:space="preserve">Supplemental 1: Effect of mitochondrial ATP </w:t>
      </w:r>
      <w:r>
        <w:rPr>
          <w:b/>
          <w:bCs/>
        </w:rPr>
        <w:t>abolition</w:t>
      </w:r>
      <w:r w:rsidRPr="000075D8">
        <w:rPr>
          <w:b/>
          <w:bCs/>
        </w:rPr>
        <w:t xml:space="preserve"> on </w:t>
      </w:r>
      <w:r>
        <w:rPr>
          <w:b/>
          <w:bCs/>
        </w:rPr>
        <w:t>cell</w:t>
      </w:r>
      <w:r w:rsidRPr="000075D8">
        <w:rPr>
          <w:b/>
          <w:bCs/>
        </w:rPr>
        <w:t xml:space="preserve"> viability and growth.</w:t>
      </w:r>
    </w:p>
    <w:p w14:paraId="2EA513AF" w14:textId="77777777" w:rsidR="00487A36" w:rsidRDefault="00487A36" w:rsidP="00487A36">
      <w:r>
        <w:t xml:space="preserve">Cell viability and growth were determined by MTT assay at 24 h posttreatment with CCCP, which causes 100% interference with OXPHOS (middle) compared to previous reports: vehicle and oligomycin fully inhibit OXPHOS. The values are expressed as the difference in % pretreatment (mean ± SD) of at least three independent experiments. Positive values were interpreted as growth, negative as death and zero as the </w:t>
      </w:r>
      <w:r>
        <w:rPr>
          <w:i/>
          <w:iCs/>
        </w:rPr>
        <w:t>status quo.</w:t>
      </w:r>
    </w:p>
    <w:p w14:paraId="0DF0E5F7" w14:textId="77777777" w:rsidR="00487A36" w:rsidRDefault="00487A36" w:rsidP="00487A36">
      <w:r w:rsidRPr="000075D8">
        <w:t>* p &lt; 0.05; ** p &lt; 0.01; *** p &lt; 0.001; **** p &lt; 0.0001</w:t>
      </w:r>
    </w:p>
    <w:p w14:paraId="6DB2E07C" w14:textId="77777777" w:rsidR="00487A36" w:rsidRDefault="00487A36" w:rsidP="00487A36">
      <w:r>
        <w:t>The relevant observations are as follows:</w:t>
      </w:r>
    </w:p>
    <w:p w14:paraId="025AF840" w14:textId="77777777" w:rsidR="00487A36" w:rsidRDefault="00487A36" w:rsidP="00487A36">
      <w:r>
        <w:t>1) The similarity between 100% interference with CCCP and oligomycin,</w:t>
      </w:r>
    </w:p>
    <w:p w14:paraId="76F264D2" w14:textId="77777777" w:rsidR="00487A36" w:rsidRDefault="00487A36" w:rsidP="00487A36">
      <w:r>
        <w:t>2) effect of glucose concentration,</w:t>
      </w:r>
    </w:p>
    <w:p w14:paraId="4C12C79F" w14:textId="77777777" w:rsidR="00487A36" w:rsidRDefault="00487A36" w:rsidP="00487A36">
      <w:r>
        <w:t>3) Consequences in the presence of galactose.</w:t>
      </w:r>
    </w:p>
    <w:p w14:paraId="2C00D1B6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36"/>
    <w:rsid w:val="000C30FD"/>
    <w:rsid w:val="000D4074"/>
    <w:rsid w:val="001E4B73"/>
    <w:rsid w:val="00487A36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382FC"/>
  <w15:chartTrackingRefBased/>
  <w15:docId w15:val="{E65F4CD9-3B7B-4F8C-9D0B-4C11DA72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A36"/>
    <w:pPr>
      <w:spacing w:after="0" w:line="240" w:lineRule="auto"/>
      <w:jc w:val="both"/>
    </w:pPr>
    <w:rPr>
      <w:rFonts w:asciiTheme="majorHAnsi" w:hAnsiTheme="majorHAnsi" w:cstheme="majorHAnsi"/>
      <w:kern w:val="0"/>
      <w:sz w:val="2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>Springer Nature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2024-02-20T18:03:00Z</dcterms:created>
  <dcterms:modified xsi:type="dcterms:W3CDTF">2024-02-20T18:03:00Z</dcterms:modified>
</cp:coreProperties>
</file>