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0E096" w14:textId="07F20B04" w:rsidR="009E6E71" w:rsidRDefault="00E6338C" w:rsidP="009E6E71">
      <w:pPr>
        <w:tabs>
          <w:tab w:val="left" w:pos="3240"/>
        </w:tabs>
        <w:spacing w:before="100" w:after="100"/>
        <w:jc w:val="both"/>
        <w:rPr>
          <w:rStyle w:val="None"/>
          <w:b/>
          <w:bCs/>
          <w:lang w:val="en-US"/>
        </w:rPr>
      </w:pPr>
      <w:r>
        <w:rPr>
          <w:noProof/>
          <w:lang w:val="en-US"/>
        </w:rPr>
        <w:drawing>
          <wp:anchor distT="0" distB="0" distL="114300" distR="114300" simplePos="0" relativeHeight="251658240" behindDoc="0" locked="0" layoutInCell="1" allowOverlap="1" wp14:anchorId="70AEE58A" wp14:editId="20D0798C">
            <wp:simplePos x="0" y="0"/>
            <wp:positionH relativeFrom="column">
              <wp:posOffset>814705</wp:posOffset>
            </wp:positionH>
            <wp:positionV relativeFrom="paragraph">
              <wp:posOffset>294640</wp:posOffset>
            </wp:positionV>
            <wp:extent cx="4432935" cy="7817485"/>
            <wp:effectExtent l="0" t="0" r="0" b="0"/>
            <wp:wrapTopAndBottom/>
            <wp:docPr id="7" name="图片 7" descr="C:\Users\lenovo\Desktop\Fig.all-10-16\figs\Fig. 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Fig.all-10-16\figs\Fig. 6-6.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481" t="1268" r="1430" b="11914"/>
                    <a:stretch/>
                  </pic:blipFill>
                  <pic:spPr bwMode="auto">
                    <a:xfrm>
                      <a:off x="0" y="0"/>
                      <a:ext cx="4432935" cy="7817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6E71">
        <w:rPr>
          <w:rStyle w:val="None"/>
          <w:b/>
          <w:bCs/>
          <w:lang w:val="en-US"/>
        </w:rPr>
        <w:t xml:space="preserve">Graphical abstract </w:t>
      </w:r>
    </w:p>
    <w:p w14:paraId="0A1941E2" w14:textId="0CAD4BC8" w:rsidR="004A0271" w:rsidRPr="00F30DDE" w:rsidRDefault="00CE69A6" w:rsidP="00FC4731">
      <w:pPr>
        <w:tabs>
          <w:tab w:val="left" w:pos="3240"/>
        </w:tabs>
        <w:spacing w:before="100" w:after="100" w:line="360" w:lineRule="auto"/>
        <w:jc w:val="both"/>
        <w:rPr>
          <w:rStyle w:val="None"/>
          <w:b/>
          <w:bCs/>
          <w:sz w:val="28"/>
          <w:szCs w:val="28"/>
          <w:lang w:val="en-US"/>
        </w:rPr>
      </w:pPr>
      <w:bookmarkStart w:id="0" w:name="_Hlk146237875"/>
      <w:r w:rsidRPr="00F30DDE">
        <w:rPr>
          <w:rStyle w:val="None"/>
          <w:b/>
          <w:bCs/>
          <w:sz w:val="28"/>
          <w:szCs w:val="28"/>
          <w:lang w:val="en-US"/>
        </w:rPr>
        <w:lastRenderedPageBreak/>
        <w:t xml:space="preserve">Graphical abstract </w:t>
      </w:r>
      <w:r w:rsidR="00F9795E">
        <w:rPr>
          <w:rStyle w:val="None"/>
          <w:b/>
          <w:bCs/>
          <w:sz w:val="28"/>
          <w:szCs w:val="28"/>
          <w:lang w:val="en-US"/>
        </w:rPr>
        <w:t>explanation</w:t>
      </w:r>
    </w:p>
    <w:p w14:paraId="060124FE" w14:textId="77777777" w:rsidR="00305BAA" w:rsidRDefault="00305BAA" w:rsidP="00FC4731">
      <w:pPr>
        <w:tabs>
          <w:tab w:val="left" w:pos="3240"/>
        </w:tabs>
        <w:spacing w:before="100" w:after="100" w:line="360" w:lineRule="auto"/>
        <w:jc w:val="both"/>
        <w:rPr>
          <w:b/>
          <w:bCs/>
          <w:lang w:val="en-US"/>
        </w:rPr>
      </w:pPr>
      <w:r w:rsidRPr="00305BAA">
        <w:rPr>
          <w:b/>
          <w:bCs/>
          <w:lang w:val="en-US"/>
        </w:rPr>
        <w:t>Mechanisms of NMDAR-Dependent Synaptic Plasticity</w:t>
      </w:r>
    </w:p>
    <w:p w14:paraId="74F4C5FD" w14:textId="77777777" w:rsidR="00461A80" w:rsidRPr="00461A80" w:rsidRDefault="00461A80" w:rsidP="00FC4731">
      <w:pPr>
        <w:tabs>
          <w:tab w:val="left" w:pos="3240"/>
        </w:tabs>
        <w:spacing w:before="100" w:after="100" w:line="360" w:lineRule="auto"/>
        <w:jc w:val="both"/>
        <w:rPr>
          <w:rStyle w:val="None"/>
          <w:b/>
          <w:bCs/>
          <w:lang w:val="en-US"/>
        </w:rPr>
      </w:pPr>
      <w:r w:rsidRPr="00461A80">
        <w:rPr>
          <w:rStyle w:val="None"/>
          <w:b/>
          <w:bCs/>
          <w:lang w:val="en-US"/>
        </w:rPr>
        <w:t>Upper Section: Reversible Phosphorylation of Glutamate Receptors AMPAR and NMDAR</w:t>
      </w:r>
    </w:p>
    <w:p w14:paraId="6D5C7112" w14:textId="0217A56B" w:rsidR="00477F91" w:rsidRDefault="00461A80" w:rsidP="00FC4731">
      <w:pPr>
        <w:tabs>
          <w:tab w:val="left" w:pos="3240"/>
        </w:tabs>
        <w:spacing w:before="100" w:after="100" w:line="360" w:lineRule="auto"/>
        <w:jc w:val="both"/>
        <w:rPr>
          <w:lang w:val="en-GB"/>
        </w:rPr>
      </w:pPr>
      <w:r w:rsidRPr="00461A80">
        <w:rPr>
          <w:rStyle w:val="None"/>
          <w:rFonts w:hint="eastAsia"/>
          <w:lang w:val="en-US"/>
        </w:rPr>
        <w:t>(</w:t>
      </w:r>
      <w:r w:rsidR="00291E72">
        <w:rPr>
          <w:rStyle w:val="None"/>
          <w:lang w:val="en-US"/>
        </w:rPr>
        <w:t>I</w:t>
      </w:r>
      <w:r w:rsidRPr="00461A80">
        <w:rPr>
          <w:rStyle w:val="None"/>
          <w:rFonts w:hint="eastAsia"/>
          <w:lang w:val="en-US"/>
        </w:rPr>
        <w:t>) The transition of glutamate receptors from the OFF (closed) to the ON (functional) state depends on a specific level of phosphorylated CaMK</w:t>
      </w:r>
      <w:r w:rsidR="00291E72">
        <w:rPr>
          <w:rStyle w:val="None"/>
          <w:rFonts w:hint="eastAsia"/>
          <w:lang w:val="en-US"/>
        </w:rPr>
        <w:t>II</w:t>
      </w:r>
      <w:r w:rsidRPr="00461A80">
        <w:rPr>
          <w:rStyle w:val="None"/>
          <w:rFonts w:hint="eastAsia"/>
          <w:lang w:val="en-US"/>
        </w:rPr>
        <w:t>.</w:t>
      </w:r>
      <w:r>
        <w:rPr>
          <w:rStyle w:val="None"/>
          <w:lang w:val="en-US"/>
        </w:rPr>
        <w:t xml:space="preserve"> </w:t>
      </w:r>
      <w:r w:rsidRPr="00461A80">
        <w:rPr>
          <w:rStyle w:val="None"/>
          <w:rFonts w:hint="eastAsia"/>
          <w:lang w:val="en-US"/>
        </w:rPr>
        <w:t>(</w:t>
      </w:r>
      <w:r w:rsidR="00291E72">
        <w:rPr>
          <w:rStyle w:val="None"/>
          <w:rFonts w:hint="eastAsia"/>
          <w:lang w:val="en-US"/>
        </w:rPr>
        <w:t>I</w:t>
      </w:r>
      <w:r w:rsidR="00291E72">
        <w:rPr>
          <w:rStyle w:val="None"/>
          <w:lang w:val="en-US"/>
        </w:rPr>
        <w:t>I</w:t>
      </w:r>
      <w:r w:rsidRPr="00461A80">
        <w:rPr>
          <w:rStyle w:val="None"/>
          <w:rFonts w:hint="eastAsia"/>
          <w:lang w:val="en-US"/>
        </w:rPr>
        <w:t>) Glutamate can activate AMPARs and NMDARs in the ON state, resulting in the opening of ion channels. The opening of NMDARs, in addition to glutamate, requires the removal of the Mg</w:t>
      </w:r>
      <w:r w:rsidRPr="002D5462">
        <w:rPr>
          <w:rStyle w:val="None"/>
          <w:rFonts w:hint="eastAsia"/>
          <w:vertAlign w:val="superscript"/>
          <w:lang w:val="en-US"/>
        </w:rPr>
        <w:t>2+</w:t>
      </w:r>
      <w:r w:rsidRPr="00461A80">
        <w:rPr>
          <w:rStyle w:val="None"/>
          <w:rFonts w:hint="eastAsia"/>
          <w:lang w:val="en-US"/>
        </w:rPr>
        <w:t xml:space="preserve"> blockage through membrane depolarization.</w:t>
      </w:r>
      <w:r>
        <w:rPr>
          <w:rStyle w:val="None"/>
          <w:lang w:val="en-US"/>
        </w:rPr>
        <w:t xml:space="preserve"> </w:t>
      </w:r>
      <w:r w:rsidRPr="00461A80">
        <w:rPr>
          <w:rStyle w:val="None"/>
          <w:rFonts w:hint="eastAsia"/>
          <w:lang w:val="en-US"/>
        </w:rPr>
        <w:t>(</w:t>
      </w:r>
      <w:r w:rsidR="00ED73E0">
        <w:rPr>
          <w:rStyle w:val="None"/>
          <w:rFonts w:hint="eastAsia"/>
          <w:lang w:val="en-US"/>
        </w:rPr>
        <w:t>I</w:t>
      </w:r>
      <w:r w:rsidR="00ED73E0">
        <w:rPr>
          <w:rStyle w:val="None"/>
          <w:lang w:val="en-US"/>
        </w:rPr>
        <w:t>II</w:t>
      </w:r>
      <w:r w:rsidRPr="00461A80">
        <w:rPr>
          <w:rStyle w:val="None"/>
          <w:rFonts w:hint="eastAsia"/>
          <w:lang w:val="en-US"/>
        </w:rPr>
        <w:t>) Activation of NMDAR allows the flow of sodium and potassium ions and permits the influx of Ca</w:t>
      </w:r>
      <w:r w:rsidRPr="002D5462">
        <w:rPr>
          <w:rStyle w:val="None"/>
          <w:rFonts w:hint="eastAsia"/>
          <w:vertAlign w:val="superscript"/>
          <w:lang w:val="en-US"/>
        </w:rPr>
        <w:t>2+</w:t>
      </w:r>
      <w:r w:rsidRPr="00461A80">
        <w:rPr>
          <w:rStyle w:val="None"/>
          <w:rFonts w:hint="eastAsia"/>
          <w:lang w:val="en-US"/>
        </w:rPr>
        <w:t xml:space="preserve"> into postsynaptic neurons. When AMPARs and NMDARs are open, sodium and potassium ions flow along their respective electrochemical gradients across the gluta</w:t>
      </w:r>
      <w:r w:rsidRPr="00461A80">
        <w:rPr>
          <w:rStyle w:val="None"/>
          <w:lang w:val="en-US"/>
        </w:rPr>
        <w:t>mate receptor channel. After the activation phase, the functional sites of the receptor undergo dephosphorylation, causing them to lose their open function and revert to the OFF state, inhibiting glutamate activation. This process is a primary contributor to activity-dependent synaptic depression.</w:t>
      </w:r>
      <w:r>
        <w:rPr>
          <w:rStyle w:val="None"/>
          <w:lang w:val="en-US"/>
        </w:rPr>
        <w:t xml:space="preserve"> </w:t>
      </w:r>
      <w:r w:rsidRPr="00461A80">
        <w:rPr>
          <w:rStyle w:val="None"/>
          <w:rFonts w:hint="eastAsia"/>
          <w:lang w:val="en-US"/>
        </w:rPr>
        <w:t>(</w:t>
      </w:r>
      <w:r w:rsidRPr="00461A80">
        <w:rPr>
          <w:rStyle w:val="None"/>
          <w:rFonts w:hint="eastAsia"/>
          <w:lang w:val="en-US"/>
        </w:rPr>
        <w:t>Ⅳ</w:t>
      </w:r>
      <w:r w:rsidRPr="00461A80">
        <w:rPr>
          <w:rStyle w:val="None"/>
          <w:rFonts w:hint="eastAsia"/>
          <w:lang w:val="en-US"/>
        </w:rPr>
        <w:t xml:space="preserve">) </w:t>
      </w:r>
      <w:r w:rsidR="002D5462" w:rsidRPr="00461A80">
        <w:rPr>
          <w:rStyle w:val="None"/>
          <w:rFonts w:hint="eastAsia"/>
          <w:lang w:val="en-US"/>
        </w:rPr>
        <w:t>Ca</w:t>
      </w:r>
      <w:r w:rsidR="002D5462" w:rsidRPr="00F2603A">
        <w:rPr>
          <w:rStyle w:val="None"/>
          <w:rFonts w:hint="eastAsia"/>
          <w:vertAlign w:val="superscript"/>
          <w:lang w:val="en-US"/>
        </w:rPr>
        <w:t>2+</w:t>
      </w:r>
      <w:r w:rsidRPr="00461A80">
        <w:rPr>
          <w:rStyle w:val="None"/>
          <w:rFonts w:hint="eastAsia"/>
          <w:lang w:val="en-US"/>
        </w:rPr>
        <w:t xml:space="preserve"> activate </w:t>
      </w:r>
      <w:r w:rsidR="00C20AA8" w:rsidRPr="00461A80">
        <w:rPr>
          <w:lang w:val="en-GB"/>
        </w:rPr>
        <w:t>Ca</w:t>
      </w:r>
      <w:r w:rsidR="00A221FD" w:rsidRPr="00662330">
        <w:rPr>
          <w:vertAlign w:val="superscript"/>
          <w:lang w:val="en-GB"/>
        </w:rPr>
        <w:t>2+</w:t>
      </w:r>
      <w:r w:rsidR="00C20AA8" w:rsidRPr="00461A80">
        <w:rPr>
          <w:lang w:val="en-GB"/>
        </w:rPr>
        <w:t>/calmodulin-dependent protein kinase II (CaMKII</w:t>
      </w:r>
      <w:r w:rsidR="00C20AA8">
        <w:rPr>
          <w:lang w:val="en-GB"/>
        </w:rPr>
        <w:t xml:space="preserve">, </w:t>
      </w:r>
      <w:r w:rsidR="00C20AA8" w:rsidRPr="00C20AA8">
        <w:rPr>
          <w:lang w:val="en-GB"/>
        </w:rPr>
        <w:t>a serine/threonine-specific protein kinase that is regulated by the Ca</w:t>
      </w:r>
      <w:r w:rsidR="00A221FD" w:rsidRPr="00662330">
        <w:rPr>
          <w:vertAlign w:val="superscript"/>
          <w:lang w:val="en-GB"/>
        </w:rPr>
        <w:t>2+</w:t>
      </w:r>
      <w:r w:rsidR="00C20AA8" w:rsidRPr="00C20AA8">
        <w:rPr>
          <w:lang w:val="en-GB"/>
        </w:rPr>
        <w:t>/calmodulin complex</w:t>
      </w:r>
      <w:r w:rsidR="00C20AA8" w:rsidRPr="00461A80">
        <w:rPr>
          <w:lang w:val="en-GB"/>
        </w:rPr>
        <w:t>)</w:t>
      </w:r>
      <w:r w:rsidRPr="00461A80">
        <w:rPr>
          <w:rStyle w:val="None"/>
          <w:rFonts w:hint="eastAsia"/>
          <w:lang w:val="en-US"/>
        </w:rPr>
        <w:t>, which, in turn, converts a portion of dephosphorylated CaMK</w:t>
      </w:r>
      <w:r w:rsidR="00291E72">
        <w:rPr>
          <w:rStyle w:val="None"/>
          <w:lang w:val="en-US"/>
        </w:rPr>
        <w:t>II</w:t>
      </w:r>
      <w:r w:rsidRPr="00461A80">
        <w:rPr>
          <w:rStyle w:val="None"/>
          <w:rFonts w:hint="eastAsia"/>
          <w:lang w:val="en-US"/>
        </w:rPr>
        <w:t xml:space="preserve"> into phosphorylated CaMK</w:t>
      </w:r>
      <w:r w:rsidR="00ED73E0">
        <w:rPr>
          <w:rStyle w:val="None"/>
          <w:lang w:val="en-US"/>
        </w:rPr>
        <w:t>II</w:t>
      </w:r>
      <w:r w:rsidRPr="00461A80">
        <w:rPr>
          <w:rStyle w:val="None"/>
          <w:rFonts w:hint="eastAsia"/>
          <w:lang w:val="en-US"/>
        </w:rPr>
        <w:t>. This action activates glutamate receptors in the OFF state, returning them to the ON state.</w:t>
      </w:r>
      <w:r w:rsidRPr="00461A80">
        <w:rPr>
          <w:rStyle w:val="None"/>
          <w:lang w:val="en-US"/>
        </w:rPr>
        <w:t xml:space="preserve"> </w:t>
      </w:r>
    </w:p>
    <w:p w14:paraId="0E6AAA9D" w14:textId="77777777" w:rsidR="00C20AA8" w:rsidRPr="00253BAF" w:rsidRDefault="00C20AA8" w:rsidP="00FC4731">
      <w:pPr>
        <w:tabs>
          <w:tab w:val="left" w:pos="3240"/>
        </w:tabs>
        <w:spacing w:before="100" w:after="100" w:line="360" w:lineRule="auto"/>
        <w:jc w:val="both"/>
        <w:rPr>
          <w:lang w:val="en-GB"/>
        </w:rPr>
      </w:pPr>
    </w:p>
    <w:p w14:paraId="2D20123E" w14:textId="77777777" w:rsidR="00C20AA8" w:rsidRPr="00C20AA8" w:rsidRDefault="00E6338C" w:rsidP="00FC4731">
      <w:pPr>
        <w:tabs>
          <w:tab w:val="left" w:pos="3240"/>
        </w:tabs>
        <w:spacing w:before="100" w:after="100" w:line="360" w:lineRule="auto"/>
        <w:jc w:val="both"/>
        <w:rPr>
          <w:rStyle w:val="None"/>
          <w:b/>
          <w:bCs/>
          <w:lang w:val="en-US"/>
        </w:rPr>
      </w:pPr>
      <w:r>
        <w:rPr>
          <w:rStyle w:val="None"/>
          <w:rFonts w:hint="eastAsia"/>
          <w:b/>
          <w:bCs/>
          <w:lang w:val="en-US"/>
        </w:rPr>
        <w:t>Middle</w:t>
      </w:r>
      <w:r w:rsidRPr="00C20AA8">
        <w:rPr>
          <w:rStyle w:val="None"/>
          <w:b/>
          <w:bCs/>
          <w:lang w:val="en-US"/>
        </w:rPr>
        <w:t xml:space="preserve"> </w:t>
      </w:r>
      <w:r w:rsidR="00C20AA8" w:rsidRPr="00C20AA8">
        <w:rPr>
          <w:rStyle w:val="None"/>
          <w:b/>
          <w:bCs/>
          <w:lang w:val="en-US"/>
        </w:rPr>
        <w:t>Section: NMDAR-Dependent Synaptic Plasticity</w:t>
      </w:r>
    </w:p>
    <w:p w14:paraId="426899C2" w14:textId="343EE39E" w:rsidR="00C20AA8" w:rsidRPr="00C20AA8" w:rsidRDefault="00C20AA8" w:rsidP="00FC4731">
      <w:pPr>
        <w:tabs>
          <w:tab w:val="left" w:pos="3240"/>
        </w:tabs>
        <w:spacing w:before="100" w:after="100" w:line="360" w:lineRule="auto"/>
        <w:jc w:val="both"/>
        <w:rPr>
          <w:rStyle w:val="None"/>
          <w:lang w:val="en-US"/>
        </w:rPr>
      </w:pPr>
      <w:r w:rsidRPr="00C20AA8">
        <w:rPr>
          <w:rStyle w:val="None"/>
          <w:lang w:val="en-US"/>
        </w:rPr>
        <w:t>NMDAR-dependent synaptic plasticity, such as LTP and LTD, can be induced in very short timeframes (seconds or minutes), with LTP demonstrating saturation. Our hypothesis posits that the number of glutamate receptors in the postsynaptic membrane remains relatively constant, and the enhancement or reduction of synaptic responses is primarily determined by the percentage of functional receptors among the total receptors in the postsynaptic density (PSD</w:t>
      </w:r>
      <w:r>
        <w:rPr>
          <w:rStyle w:val="None"/>
          <w:lang w:val="en-US"/>
        </w:rPr>
        <w:t xml:space="preserve">, </w:t>
      </w:r>
      <w:r w:rsidRPr="00C20AA8">
        <w:rPr>
          <w:rStyle w:val="None"/>
          <w:lang w:val="en-US"/>
        </w:rPr>
        <w:t>a protein dense specialization attached to the postsynaptic membrane). The base</w:t>
      </w:r>
      <w:r w:rsidRPr="00C20AA8">
        <w:rPr>
          <w:rStyle w:val="None"/>
          <w:rFonts w:hint="eastAsia"/>
          <w:lang w:val="en-US"/>
        </w:rPr>
        <w:t xml:space="preserve">line synaptic response is established by the </w:t>
      </w:r>
      <w:r w:rsidR="00367412" w:rsidRPr="00367412">
        <w:rPr>
          <w:rStyle w:val="None"/>
          <w:lang w:val="en-US"/>
        </w:rPr>
        <w:t>proportion</w:t>
      </w:r>
      <w:r w:rsidRPr="00C20AA8">
        <w:rPr>
          <w:rStyle w:val="None"/>
          <w:rFonts w:hint="eastAsia"/>
          <w:lang w:val="en-US"/>
        </w:rPr>
        <w:t xml:space="preserve"> of functional to total glutamate receptors under a given condition. An increase in phosphorylated CaMK</w:t>
      </w:r>
      <w:r w:rsidR="00ED73E0">
        <w:rPr>
          <w:rStyle w:val="None"/>
          <w:lang w:val="en-US"/>
        </w:rPr>
        <w:t>II</w:t>
      </w:r>
      <w:r w:rsidRPr="00C20AA8">
        <w:rPr>
          <w:rStyle w:val="None"/>
          <w:rFonts w:hint="eastAsia"/>
          <w:lang w:val="en-US"/>
        </w:rPr>
        <w:t xml:space="preserve"> leads to an elevation in the percentage of </w:t>
      </w:r>
      <w:r w:rsidRPr="00C20AA8">
        <w:rPr>
          <w:rStyle w:val="None"/>
          <w:rFonts w:hint="eastAsia"/>
          <w:lang w:val="en-US"/>
        </w:rPr>
        <w:lastRenderedPageBreak/>
        <w:t>functional glutamate receptors (depicted on the left scale</w:t>
      </w:r>
      <w:r w:rsidRPr="00C20AA8">
        <w:rPr>
          <w:rStyle w:val="None"/>
          <w:lang w:val="en-US"/>
        </w:rPr>
        <w:t>), subsequently amplifying synaptic responses (as indicated by the upper red arc). Once functional receptors constitute 100% of total glutamate receptors, the synaptic response reaches its maximum, beyond which further increases in postsynaptic phosphoryla</w:t>
      </w:r>
      <w:r w:rsidRPr="00C20AA8">
        <w:rPr>
          <w:rStyle w:val="None"/>
          <w:rFonts w:hint="eastAsia"/>
          <w:lang w:val="en-US"/>
        </w:rPr>
        <w:t>ted CaMK</w:t>
      </w:r>
      <w:r w:rsidR="00ED73E0">
        <w:rPr>
          <w:rStyle w:val="None"/>
          <w:lang w:val="en-US"/>
        </w:rPr>
        <w:t>II</w:t>
      </w:r>
      <w:r w:rsidRPr="00C20AA8">
        <w:rPr>
          <w:rStyle w:val="None"/>
          <w:rFonts w:hint="eastAsia"/>
          <w:lang w:val="en-US"/>
        </w:rPr>
        <w:t xml:space="preserve"> do not enhance synaptic response, a phenomenon referred to as saturation (depicted by the top right blue arrow). A reduction in phosphorylated CaMK</w:t>
      </w:r>
      <w:r w:rsidR="00ED73E0">
        <w:rPr>
          <w:rStyle w:val="None"/>
          <w:lang w:val="en-US"/>
        </w:rPr>
        <w:t>II</w:t>
      </w:r>
      <w:r w:rsidRPr="00C20AA8">
        <w:rPr>
          <w:rStyle w:val="None"/>
          <w:rFonts w:hint="eastAsia"/>
          <w:lang w:val="en-US"/>
        </w:rPr>
        <w:t xml:space="preserve"> leads to synaptic depression by rendering receptors inactive; reactivating these OFF-state receptors to the ON state requires phosphorylated CaMK</w:t>
      </w:r>
      <w:r w:rsidR="00ED73E0">
        <w:rPr>
          <w:rStyle w:val="None"/>
          <w:lang w:val="en-US"/>
        </w:rPr>
        <w:t>II</w:t>
      </w:r>
      <w:r w:rsidRPr="00C20AA8">
        <w:rPr>
          <w:rStyle w:val="None"/>
          <w:rFonts w:hint="eastAsia"/>
          <w:lang w:val="en-US"/>
        </w:rPr>
        <w:t>, which decreases in quantity (illustrated by the left black arc).</w:t>
      </w:r>
    </w:p>
    <w:p w14:paraId="41DF7B06" w14:textId="368377DC" w:rsidR="004A0271" w:rsidRDefault="00C20AA8" w:rsidP="00FC4731">
      <w:pPr>
        <w:tabs>
          <w:tab w:val="left" w:pos="3240"/>
        </w:tabs>
        <w:spacing w:before="100" w:after="100" w:line="360" w:lineRule="auto"/>
        <w:jc w:val="both"/>
        <w:rPr>
          <w:rStyle w:val="None"/>
          <w:lang w:val="en-US"/>
        </w:rPr>
      </w:pPr>
      <w:r w:rsidRPr="00C20AA8">
        <w:rPr>
          <w:rStyle w:val="None"/>
          <w:rFonts w:hint="eastAsia"/>
          <w:lang w:val="en-US"/>
        </w:rPr>
        <w:t>Activation of either AMPARs or NMDARs, or both, induces activity-dependent synaptic depression (indicated by the black arrow). However, the activation of NMDARs can also trigger Ca</w:t>
      </w:r>
      <w:r w:rsidR="00A221FD" w:rsidRPr="00662330">
        <w:rPr>
          <w:rStyle w:val="None"/>
          <w:vertAlign w:val="superscript"/>
          <w:lang w:val="en-US"/>
        </w:rPr>
        <w:t>2+</w:t>
      </w:r>
      <w:r w:rsidRPr="00C20AA8">
        <w:rPr>
          <w:rStyle w:val="None"/>
          <w:rFonts w:hint="eastAsia"/>
          <w:lang w:val="en-US"/>
        </w:rPr>
        <w:t>-CaMK</w:t>
      </w:r>
      <w:r w:rsidR="00ED73E0">
        <w:rPr>
          <w:rStyle w:val="None"/>
          <w:lang w:val="en-US"/>
        </w:rPr>
        <w:t>II</w:t>
      </w:r>
      <w:r w:rsidRPr="00C20AA8">
        <w:rPr>
          <w:rStyle w:val="None"/>
          <w:rFonts w:hint="eastAsia"/>
          <w:lang w:val="en-US"/>
        </w:rPr>
        <w:t>-dependent synaptic upregulation (as shown by the red arrow). The synaptic responses mediated by NMDARs and AMPARs exhibit additive effects. Synaptic potentiation (as well as LTP) occurs if the NMDAR-induced Ca</w:t>
      </w:r>
      <w:r w:rsidR="00A221FD" w:rsidRPr="00662330">
        <w:rPr>
          <w:rStyle w:val="None"/>
          <w:vertAlign w:val="superscript"/>
          <w:lang w:val="en-US"/>
        </w:rPr>
        <w:t>2+</w:t>
      </w:r>
      <w:r w:rsidRPr="00C20AA8">
        <w:rPr>
          <w:rStyle w:val="None"/>
          <w:rFonts w:hint="eastAsia"/>
          <w:lang w:val="en-US"/>
        </w:rPr>
        <w:t>-CaMK</w:t>
      </w:r>
      <w:r w:rsidR="00ED73E0">
        <w:rPr>
          <w:rStyle w:val="None"/>
          <w:lang w:val="en-US"/>
        </w:rPr>
        <w:t>II</w:t>
      </w:r>
      <w:r w:rsidRPr="00C20AA8">
        <w:rPr>
          <w:rStyle w:val="None"/>
          <w:rFonts w:hint="eastAsia"/>
          <w:lang w:val="en-US"/>
        </w:rPr>
        <w:t>-dependent synaptic upregulation surpasses the downregulation resulting from the activation of NMDARs and/or AMPARs (depicted by the upper red arc). Conversely, synaptic depression (as well as LTD) takes place (as indicated by the lower left black arc). If the NMDAR-induced Ca</w:t>
      </w:r>
      <w:r w:rsidR="00A221FD" w:rsidRPr="00662330">
        <w:rPr>
          <w:rStyle w:val="None"/>
          <w:vertAlign w:val="superscript"/>
          <w:lang w:val="en-US"/>
        </w:rPr>
        <w:t>2+</w:t>
      </w:r>
      <w:r w:rsidRPr="00C20AA8">
        <w:rPr>
          <w:rStyle w:val="None"/>
          <w:rFonts w:hint="eastAsia"/>
          <w:lang w:val="en-US"/>
        </w:rPr>
        <w:t>-CaMK</w:t>
      </w:r>
      <w:r w:rsidR="00ED73E0">
        <w:rPr>
          <w:rStyle w:val="None"/>
          <w:lang w:val="en-US"/>
        </w:rPr>
        <w:t>II</w:t>
      </w:r>
      <w:r w:rsidRPr="00C20AA8">
        <w:rPr>
          <w:rStyle w:val="None"/>
          <w:rFonts w:hint="eastAsia"/>
          <w:lang w:val="en-US"/>
        </w:rPr>
        <w:t>-dependent synaptic upregulation equals the downregulation resulting from the activation of NMDARs and/or AMPARs, the postsynaptic responses remain stable. The dynamic balance between Ca</w:t>
      </w:r>
      <w:r w:rsidR="00A221FD" w:rsidRPr="00662330">
        <w:rPr>
          <w:rStyle w:val="None"/>
          <w:vertAlign w:val="superscript"/>
          <w:lang w:val="en-US"/>
        </w:rPr>
        <w:t>2+</w:t>
      </w:r>
      <w:r w:rsidRPr="00C20AA8">
        <w:rPr>
          <w:rStyle w:val="None"/>
          <w:rFonts w:hint="eastAsia"/>
          <w:lang w:val="en-US"/>
        </w:rPr>
        <w:t>-CaMK</w:t>
      </w:r>
      <w:r w:rsidR="00ED73E0">
        <w:rPr>
          <w:rStyle w:val="None"/>
          <w:lang w:val="en-US"/>
        </w:rPr>
        <w:t>II</w:t>
      </w:r>
      <w:r w:rsidRPr="00C20AA8">
        <w:rPr>
          <w:rStyle w:val="None"/>
          <w:rFonts w:hint="eastAsia"/>
          <w:lang w:val="en-US"/>
        </w:rPr>
        <w:t>-dependent synaptic upregulation and activity-dependent synaptic depression dictates the direction of NMDAR-dependent synaptic plasticity.</w:t>
      </w:r>
    </w:p>
    <w:p w14:paraId="0E1944E9" w14:textId="30371E8B" w:rsidR="004A0271" w:rsidRDefault="00E6338C" w:rsidP="00787872">
      <w:pPr>
        <w:tabs>
          <w:tab w:val="left" w:pos="3240"/>
        </w:tabs>
        <w:spacing w:before="100" w:after="100" w:line="360" w:lineRule="auto"/>
        <w:jc w:val="both"/>
      </w:pPr>
      <w:r w:rsidRPr="00C20AA8">
        <w:rPr>
          <w:rStyle w:val="None"/>
          <w:b/>
          <w:bCs/>
          <w:lang w:val="en-US"/>
        </w:rPr>
        <w:t>Bottom Section</w:t>
      </w:r>
      <w:r>
        <w:rPr>
          <w:rStyle w:val="None"/>
          <w:rFonts w:hint="eastAsia"/>
          <w:b/>
          <w:bCs/>
          <w:lang w:val="en-US"/>
        </w:rPr>
        <w:t xml:space="preserve">: </w:t>
      </w:r>
      <w:r w:rsidRPr="00E6338C">
        <w:rPr>
          <w:rStyle w:val="None"/>
          <w:b/>
          <w:bCs/>
          <w:lang w:val="en-US"/>
        </w:rPr>
        <w:t>Reversible phosphorylation of AMPAR and NMDAR within the postsynaptic density (PSD)</w:t>
      </w:r>
      <w:bookmarkEnd w:id="0"/>
    </w:p>
    <w:sectPr w:rsidR="004A0271" w:rsidSect="001D1444">
      <w:pgSz w:w="12240" w:h="15840"/>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3D28B" w14:textId="77777777" w:rsidR="00CF6FAF" w:rsidRDefault="00CF6FAF">
      <w:r>
        <w:separator/>
      </w:r>
    </w:p>
  </w:endnote>
  <w:endnote w:type="continuationSeparator" w:id="0">
    <w:p w14:paraId="1533DD78" w14:textId="77777777" w:rsidR="00CF6FAF" w:rsidRDefault="00CF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Microsoft YaHei"/>
    <w:panose1 w:val="020B0604020202020204"/>
    <w:charset w:val="86"/>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Times New Roman"/>
    <w:charset w:val="00"/>
    <w:family w:val="roman"/>
    <w:pitch w:val="default"/>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472E1" w14:textId="77777777" w:rsidR="00CF6FAF" w:rsidRDefault="00CF6FAF">
      <w:r>
        <w:separator/>
      </w:r>
    </w:p>
  </w:footnote>
  <w:footnote w:type="continuationSeparator" w:id="0">
    <w:p w14:paraId="29DF7D4C" w14:textId="77777777" w:rsidR="00CF6FAF" w:rsidRDefault="00CF6F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90567"/>
    <w:multiLevelType w:val="hybridMultilevel"/>
    <w:tmpl w:val="BFCEF204"/>
    <w:lvl w:ilvl="0" w:tplc="2000000F">
      <w:start w:val="1"/>
      <w:numFmt w:val="decimal"/>
      <w:lvlText w:val="%1."/>
      <w:lvlJc w:val="left"/>
      <w:pPr>
        <w:ind w:left="501" w:hanging="360"/>
      </w:pPr>
      <w:rPr>
        <w:rFonts w:hint="default"/>
      </w:rPr>
    </w:lvl>
    <w:lvl w:ilvl="1" w:tplc="20000019" w:tentative="1">
      <w:start w:val="1"/>
      <w:numFmt w:val="lowerLetter"/>
      <w:lvlText w:val="%2."/>
      <w:lvlJc w:val="left"/>
      <w:pPr>
        <w:ind w:left="1221"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1" w15:restartNumberingAfterBreak="0">
    <w:nsid w:val="189F3BED"/>
    <w:multiLevelType w:val="hybridMultilevel"/>
    <w:tmpl w:val="A336F2F8"/>
    <w:lvl w:ilvl="0" w:tplc="656C3BBA">
      <w:start w:val="1"/>
      <w:numFmt w:val="upperLetter"/>
      <w:lvlText w:val="(%1)"/>
      <w:lvlJc w:val="left"/>
      <w:pPr>
        <w:ind w:left="134" w:hanging="420"/>
      </w:pPr>
      <w:rPr>
        <w:rFonts w:hint="default"/>
        <w:b/>
      </w:rPr>
    </w:lvl>
    <w:lvl w:ilvl="1" w:tplc="20000019" w:tentative="1">
      <w:start w:val="1"/>
      <w:numFmt w:val="lowerLetter"/>
      <w:lvlText w:val="%2."/>
      <w:lvlJc w:val="left"/>
      <w:pPr>
        <w:ind w:left="794" w:hanging="360"/>
      </w:pPr>
    </w:lvl>
    <w:lvl w:ilvl="2" w:tplc="2000001B" w:tentative="1">
      <w:start w:val="1"/>
      <w:numFmt w:val="lowerRoman"/>
      <w:lvlText w:val="%3."/>
      <w:lvlJc w:val="right"/>
      <w:pPr>
        <w:ind w:left="1514" w:hanging="180"/>
      </w:pPr>
    </w:lvl>
    <w:lvl w:ilvl="3" w:tplc="2000000F" w:tentative="1">
      <w:start w:val="1"/>
      <w:numFmt w:val="decimal"/>
      <w:lvlText w:val="%4."/>
      <w:lvlJc w:val="left"/>
      <w:pPr>
        <w:ind w:left="2234" w:hanging="360"/>
      </w:pPr>
    </w:lvl>
    <w:lvl w:ilvl="4" w:tplc="20000019" w:tentative="1">
      <w:start w:val="1"/>
      <w:numFmt w:val="lowerLetter"/>
      <w:lvlText w:val="%5."/>
      <w:lvlJc w:val="left"/>
      <w:pPr>
        <w:ind w:left="2954" w:hanging="360"/>
      </w:pPr>
    </w:lvl>
    <w:lvl w:ilvl="5" w:tplc="2000001B" w:tentative="1">
      <w:start w:val="1"/>
      <w:numFmt w:val="lowerRoman"/>
      <w:lvlText w:val="%6."/>
      <w:lvlJc w:val="right"/>
      <w:pPr>
        <w:ind w:left="3674" w:hanging="180"/>
      </w:pPr>
    </w:lvl>
    <w:lvl w:ilvl="6" w:tplc="2000000F" w:tentative="1">
      <w:start w:val="1"/>
      <w:numFmt w:val="decimal"/>
      <w:lvlText w:val="%7."/>
      <w:lvlJc w:val="left"/>
      <w:pPr>
        <w:ind w:left="4394" w:hanging="360"/>
      </w:pPr>
    </w:lvl>
    <w:lvl w:ilvl="7" w:tplc="20000019" w:tentative="1">
      <w:start w:val="1"/>
      <w:numFmt w:val="lowerLetter"/>
      <w:lvlText w:val="%8."/>
      <w:lvlJc w:val="left"/>
      <w:pPr>
        <w:ind w:left="5114" w:hanging="360"/>
      </w:pPr>
    </w:lvl>
    <w:lvl w:ilvl="8" w:tplc="2000001B" w:tentative="1">
      <w:start w:val="1"/>
      <w:numFmt w:val="lowerRoman"/>
      <w:lvlText w:val="%9."/>
      <w:lvlJc w:val="right"/>
      <w:pPr>
        <w:ind w:left="5834" w:hanging="180"/>
      </w:pPr>
    </w:lvl>
  </w:abstractNum>
  <w:abstractNum w:abstractNumId="2" w15:restartNumberingAfterBreak="0">
    <w:nsid w:val="2D443778"/>
    <w:multiLevelType w:val="hybridMultilevel"/>
    <w:tmpl w:val="A18E50C4"/>
    <w:numStyleLink w:val="ImportedStyle1"/>
  </w:abstractNum>
  <w:abstractNum w:abstractNumId="3" w15:restartNumberingAfterBreak="0">
    <w:nsid w:val="2D7D45A9"/>
    <w:multiLevelType w:val="hybridMultilevel"/>
    <w:tmpl w:val="140EB688"/>
    <w:lvl w:ilvl="0" w:tplc="4E2664A8">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9324894"/>
    <w:multiLevelType w:val="hybridMultilevel"/>
    <w:tmpl w:val="8B72368A"/>
    <w:lvl w:ilvl="0" w:tplc="06B232A6">
      <w:start w:val="1"/>
      <w:numFmt w:val="upperLetter"/>
      <w:lvlText w:val="(%1)"/>
      <w:lvlJc w:val="left"/>
      <w:pPr>
        <w:ind w:left="74" w:hanging="360"/>
      </w:pPr>
      <w:rPr>
        <w:rFonts w:hint="default"/>
        <w:b/>
      </w:rPr>
    </w:lvl>
    <w:lvl w:ilvl="1" w:tplc="20000019" w:tentative="1">
      <w:start w:val="1"/>
      <w:numFmt w:val="lowerLetter"/>
      <w:lvlText w:val="%2."/>
      <w:lvlJc w:val="left"/>
      <w:pPr>
        <w:ind w:left="794" w:hanging="360"/>
      </w:pPr>
    </w:lvl>
    <w:lvl w:ilvl="2" w:tplc="2000001B" w:tentative="1">
      <w:start w:val="1"/>
      <w:numFmt w:val="lowerRoman"/>
      <w:lvlText w:val="%3."/>
      <w:lvlJc w:val="right"/>
      <w:pPr>
        <w:ind w:left="1514" w:hanging="180"/>
      </w:pPr>
    </w:lvl>
    <w:lvl w:ilvl="3" w:tplc="2000000F" w:tentative="1">
      <w:start w:val="1"/>
      <w:numFmt w:val="decimal"/>
      <w:lvlText w:val="%4."/>
      <w:lvlJc w:val="left"/>
      <w:pPr>
        <w:ind w:left="2234" w:hanging="360"/>
      </w:pPr>
    </w:lvl>
    <w:lvl w:ilvl="4" w:tplc="20000019" w:tentative="1">
      <w:start w:val="1"/>
      <w:numFmt w:val="lowerLetter"/>
      <w:lvlText w:val="%5."/>
      <w:lvlJc w:val="left"/>
      <w:pPr>
        <w:ind w:left="2954" w:hanging="360"/>
      </w:pPr>
    </w:lvl>
    <w:lvl w:ilvl="5" w:tplc="2000001B" w:tentative="1">
      <w:start w:val="1"/>
      <w:numFmt w:val="lowerRoman"/>
      <w:lvlText w:val="%6."/>
      <w:lvlJc w:val="right"/>
      <w:pPr>
        <w:ind w:left="3674" w:hanging="180"/>
      </w:pPr>
    </w:lvl>
    <w:lvl w:ilvl="6" w:tplc="2000000F" w:tentative="1">
      <w:start w:val="1"/>
      <w:numFmt w:val="decimal"/>
      <w:lvlText w:val="%7."/>
      <w:lvlJc w:val="left"/>
      <w:pPr>
        <w:ind w:left="4394" w:hanging="360"/>
      </w:pPr>
    </w:lvl>
    <w:lvl w:ilvl="7" w:tplc="20000019" w:tentative="1">
      <w:start w:val="1"/>
      <w:numFmt w:val="lowerLetter"/>
      <w:lvlText w:val="%8."/>
      <w:lvlJc w:val="left"/>
      <w:pPr>
        <w:ind w:left="5114" w:hanging="360"/>
      </w:pPr>
    </w:lvl>
    <w:lvl w:ilvl="8" w:tplc="2000001B" w:tentative="1">
      <w:start w:val="1"/>
      <w:numFmt w:val="lowerRoman"/>
      <w:lvlText w:val="%9."/>
      <w:lvlJc w:val="right"/>
      <w:pPr>
        <w:ind w:left="5834" w:hanging="180"/>
      </w:pPr>
    </w:lvl>
  </w:abstractNum>
  <w:abstractNum w:abstractNumId="5" w15:restartNumberingAfterBreak="0">
    <w:nsid w:val="4B2F1D49"/>
    <w:multiLevelType w:val="hybridMultilevel"/>
    <w:tmpl w:val="87320362"/>
    <w:lvl w:ilvl="0" w:tplc="724C554A">
      <w:start w:val="5"/>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1296001"/>
    <w:multiLevelType w:val="hybridMultilevel"/>
    <w:tmpl w:val="A18E50C4"/>
    <w:styleLink w:val="ImportedStyle1"/>
    <w:lvl w:ilvl="0" w:tplc="03EA786E">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tplc="A774A3CE">
      <w:start w:val="1"/>
      <w:numFmt w:val="lowerLetter"/>
      <w:lvlText w:val="%2)"/>
      <w:lvlJc w:val="left"/>
      <w:pPr>
        <w:ind w:left="880" w:hanging="440"/>
      </w:pPr>
      <w:rPr>
        <w:rFonts w:hAnsi="Arial Unicode MS"/>
        <w:b/>
        <w:bCs/>
        <w:caps w:val="0"/>
        <w:smallCaps w:val="0"/>
        <w:strike w:val="0"/>
        <w:dstrike w:val="0"/>
        <w:color w:val="000000"/>
        <w:spacing w:val="0"/>
        <w:w w:val="100"/>
        <w:kern w:val="0"/>
        <w:position w:val="0"/>
        <w:highlight w:val="none"/>
        <w:vertAlign w:val="baseline"/>
      </w:rPr>
    </w:lvl>
    <w:lvl w:ilvl="2" w:tplc="84204606">
      <w:start w:val="1"/>
      <w:numFmt w:val="lowerRoman"/>
      <w:lvlText w:val="%3."/>
      <w:lvlJc w:val="left"/>
      <w:pPr>
        <w:ind w:left="1320" w:hanging="560"/>
      </w:pPr>
      <w:rPr>
        <w:rFonts w:hAnsi="Arial Unicode MS"/>
        <w:b/>
        <w:bCs/>
        <w:caps w:val="0"/>
        <w:smallCaps w:val="0"/>
        <w:strike w:val="0"/>
        <w:dstrike w:val="0"/>
        <w:color w:val="000000"/>
        <w:spacing w:val="0"/>
        <w:w w:val="100"/>
        <w:kern w:val="0"/>
        <w:position w:val="0"/>
        <w:highlight w:val="none"/>
        <w:vertAlign w:val="baseline"/>
      </w:rPr>
    </w:lvl>
    <w:lvl w:ilvl="3" w:tplc="DC9ABAD8">
      <w:start w:val="1"/>
      <w:numFmt w:val="decimal"/>
      <w:lvlText w:val="%4."/>
      <w:lvlJc w:val="left"/>
      <w:pPr>
        <w:ind w:left="1760" w:hanging="440"/>
      </w:pPr>
      <w:rPr>
        <w:rFonts w:hAnsi="Arial Unicode MS"/>
        <w:b/>
        <w:bCs/>
        <w:caps w:val="0"/>
        <w:smallCaps w:val="0"/>
        <w:strike w:val="0"/>
        <w:dstrike w:val="0"/>
        <w:color w:val="000000"/>
        <w:spacing w:val="0"/>
        <w:w w:val="100"/>
        <w:kern w:val="0"/>
        <w:position w:val="0"/>
        <w:highlight w:val="none"/>
        <w:vertAlign w:val="baseline"/>
      </w:rPr>
    </w:lvl>
    <w:lvl w:ilvl="4" w:tplc="81B2ED64">
      <w:start w:val="1"/>
      <w:numFmt w:val="lowerLetter"/>
      <w:lvlText w:val="%5)"/>
      <w:lvlJc w:val="left"/>
      <w:pPr>
        <w:ind w:left="2200" w:hanging="440"/>
      </w:pPr>
      <w:rPr>
        <w:rFonts w:hAnsi="Arial Unicode MS"/>
        <w:b/>
        <w:bCs/>
        <w:caps w:val="0"/>
        <w:smallCaps w:val="0"/>
        <w:strike w:val="0"/>
        <w:dstrike w:val="0"/>
        <w:color w:val="000000"/>
        <w:spacing w:val="0"/>
        <w:w w:val="100"/>
        <w:kern w:val="0"/>
        <w:position w:val="0"/>
        <w:highlight w:val="none"/>
        <w:vertAlign w:val="baseline"/>
      </w:rPr>
    </w:lvl>
    <w:lvl w:ilvl="5" w:tplc="C4688294">
      <w:start w:val="1"/>
      <w:numFmt w:val="lowerRoman"/>
      <w:lvlText w:val="%6."/>
      <w:lvlJc w:val="left"/>
      <w:pPr>
        <w:ind w:left="2640" w:hanging="560"/>
      </w:pPr>
      <w:rPr>
        <w:rFonts w:hAnsi="Arial Unicode MS"/>
        <w:b/>
        <w:bCs/>
        <w:caps w:val="0"/>
        <w:smallCaps w:val="0"/>
        <w:strike w:val="0"/>
        <w:dstrike w:val="0"/>
        <w:color w:val="000000"/>
        <w:spacing w:val="0"/>
        <w:w w:val="100"/>
        <w:kern w:val="0"/>
        <w:position w:val="0"/>
        <w:highlight w:val="none"/>
        <w:vertAlign w:val="baseline"/>
      </w:rPr>
    </w:lvl>
    <w:lvl w:ilvl="6" w:tplc="082A8010">
      <w:start w:val="1"/>
      <w:numFmt w:val="decimal"/>
      <w:lvlText w:val="%7."/>
      <w:lvlJc w:val="left"/>
      <w:pPr>
        <w:ind w:left="3080" w:hanging="440"/>
      </w:pPr>
      <w:rPr>
        <w:rFonts w:hAnsi="Arial Unicode MS"/>
        <w:b/>
        <w:bCs/>
        <w:caps w:val="0"/>
        <w:smallCaps w:val="0"/>
        <w:strike w:val="0"/>
        <w:dstrike w:val="0"/>
        <w:color w:val="000000"/>
        <w:spacing w:val="0"/>
        <w:w w:val="100"/>
        <w:kern w:val="0"/>
        <w:position w:val="0"/>
        <w:highlight w:val="none"/>
        <w:vertAlign w:val="baseline"/>
      </w:rPr>
    </w:lvl>
    <w:lvl w:ilvl="7" w:tplc="6F22EE0A">
      <w:start w:val="1"/>
      <w:numFmt w:val="lowerLetter"/>
      <w:lvlText w:val="%8)"/>
      <w:lvlJc w:val="left"/>
      <w:pPr>
        <w:ind w:left="3520" w:hanging="440"/>
      </w:pPr>
      <w:rPr>
        <w:rFonts w:hAnsi="Arial Unicode MS"/>
        <w:b/>
        <w:bCs/>
        <w:caps w:val="0"/>
        <w:smallCaps w:val="0"/>
        <w:strike w:val="0"/>
        <w:dstrike w:val="0"/>
        <w:color w:val="000000"/>
        <w:spacing w:val="0"/>
        <w:w w:val="100"/>
        <w:kern w:val="0"/>
        <w:position w:val="0"/>
        <w:highlight w:val="none"/>
        <w:vertAlign w:val="baseline"/>
      </w:rPr>
    </w:lvl>
    <w:lvl w:ilvl="8" w:tplc="88C6B0A8">
      <w:start w:val="1"/>
      <w:numFmt w:val="lowerRoman"/>
      <w:lvlText w:val="%9."/>
      <w:lvlJc w:val="left"/>
      <w:pPr>
        <w:ind w:left="3960" w:hanging="560"/>
      </w:pPr>
      <w:rPr>
        <w:rFonts w:hAnsi="Arial Unicode MS"/>
        <w:b/>
        <w:bCs/>
        <w:caps w:val="0"/>
        <w:smallCaps w:val="0"/>
        <w:strike w:val="0"/>
        <w:dstrike w:val="0"/>
        <w:color w:val="000000"/>
        <w:spacing w:val="0"/>
        <w:w w:val="100"/>
        <w:kern w:val="0"/>
        <w:position w:val="0"/>
        <w:highlight w:val="none"/>
        <w:vertAlign w:val="baseline"/>
      </w:rPr>
    </w:lvl>
  </w:abstractNum>
  <w:abstractNum w:abstractNumId="7" w15:restartNumberingAfterBreak="0">
    <w:nsid w:val="5B063A8B"/>
    <w:multiLevelType w:val="hybridMultilevel"/>
    <w:tmpl w:val="53C2B680"/>
    <w:lvl w:ilvl="0" w:tplc="BDE69BD8">
      <w:start w:val="1"/>
      <w:numFmt w:val="upperLetter"/>
      <w:lvlText w:val="(%1)"/>
      <w:lvlJc w:val="left"/>
      <w:pPr>
        <w:ind w:left="104" w:hanging="390"/>
      </w:pPr>
      <w:rPr>
        <w:rFonts w:hint="default"/>
        <w:b/>
      </w:rPr>
    </w:lvl>
    <w:lvl w:ilvl="1" w:tplc="20000019" w:tentative="1">
      <w:start w:val="1"/>
      <w:numFmt w:val="lowerLetter"/>
      <w:lvlText w:val="%2."/>
      <w:lvlJc w:val="left"/>
      <w:pPr>
        <w:ind w:left="794" w:hanging="360"/>
      </w:pPr>
    </w:lvl>
    <w:lvl w:ilvl="2" w:tplc="2000001B" w:tentative="1">
      <w:start w:val="1"/>
      <w:numFmt w:val="lowerRoman"/>
      <w:lvlText w:val="%3."/>
      <w:lvlJc w:val="right"/>
      <w:pPr>
        <w:ind w:left="1514" w:hanging="180"/>
      </w:pPr>
    </w:lvl>
    <w:lvl w:ilvl="3" w:tplc="2000000F" w:tentative="1">
      <w:start w:val="1"/>
      <w:numFmt w:val="decimal"/>
      <w:lvlText w:val="%4."/>
      <w:lvlJc w:val="left"/>
      <w:pPr>
        <w:ind w:left="2234" w:hanging="360"/>
      </w:pPr>
    </w:lvl>
    <w:lvl w:ilvl="4" w:tplc="20000019" w:tentative="1">
      <w:start w:val="1"/>
      <w:numFmt w:val="lowerLetter"/>
      <w:lvlText w:val="%5."/>
      <w:lvlJc w:val="left"/>
      <w:pPr>
        <w:ind w:left="2954" w:hanging="360"/>
      </w:pPr>
    </w:lvl>
    <w:lvl w:ilvl="5" w:tplc="2000001B" w:tentative="1">
      <w:start w:val="1"/>
      <w:numFmt w:val="lowerRoman"/>
      <w:lvlText w:val="%6."/>
      <w:lvlJc w:val="right"/>
      <w:pPr>
        <w:ind w:left="3674" w:hanging="180"/>
      </w:pPr>
    </w:lvl>
    <w:lvl w:ilvl="6" w:tplc="2000000F" w:tentative="1">
      <w:start w:val="1"/>
      <w:numFmt w:val="decimal"/>
      <w:lvlText w:val="%7."/>
      <w:lvlJc w:val="left"/>
      <w:pPr>
        <w:ind w:left="4394" w:hanging="360"/>
      </w:pPr>
    </w:lvl>
    <w:lvl w:ilvl="7" w:tplc="20000019" w:tentative="1">
      <w:start w:val="1"/>
      <w:numFmt w:val="lowerLetter"/>
      <w:lvlText w:val="%8."/>
      <w:lvlJc w:val="left"/>
      <w:pPr>
        <w:ind w:left="5114" w:hanging="360"/>
      </w:pPr>
    </w:lvl>
    <w:lvl w:ilvl="8" w:tplc="2000001B" w:tentative="1">
      <w:start w:val="1"/>
      <w:numFmt w:val="lowerRoman"/>
      <w:lvlText w:val="%9."/>
      <w:lvlJc w:val="right"/>
      <w:pPr>
        <w:ind w:left="5834" w:hanging="180"/>
      </w:pPr>
    </w:lvl>
  </w:abstractNum>
  <w:num w:numId="1" w16cid:durableId="459961185">
    <w:abstractNumId w:val="6"/>
  </w:num>
  <w:num w:numId="2" w16cid:durableId="2098944156">
    <w:abstractNumId w:val="2"/>
  </w:num>
  <w:num w:numId="3" w16cid:durableId="1776753261">
    <w:abstractNumId w:val="3"/>
  </w:num>
  <w:num w:numId="4" w16cid:durableId="820924897">
    <w:abstractNumId w:val="5"/>
  </w:num>
  <w:num w:numId="5" w16cid:durableId="1953827188">
    <w:abstractNumId w:val="0"/>
  </w:num>
  <w:num w:numId="6" w16cid:durableId="1612080659">
    <w:abstractNumId w:val="1"/>
  </w:num>
  <w:num w:numId="7" w16cid:durableId="1858885050">
    <w:abstractNumId w:val="4"/>
  </w:num>
  <w:num w:numId="8" w16cid:durableId="9476625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vpzapzeed99dqe9td5x9den0wf0tr9rrswe&quot;&gt;HFS-2023-12-06 Copy&lt;record-ids&gt;&lt;item&gt;24&lt;/item&gt;&lt;item&gt;322&lt;/item&gt;&lt;item&gt;362&lt;/item&gt;&lt;item&gt;363&lt;/item&gt;&lt;item&gt;369&lt;/item&gt;&lt;item&gt;379&lt;/item&gt;&lt;item&gt;380&lt;/item&gt;&lt;item&gt;390&lt;/item&gt;&lt;item&gt;448&lt;/item&gt;&lt;item&gt;449&lt;/item&gt;&lt;item&gt;451&lt;/item&gt;&lt;item&gt;456&lt;/item&gt;&lt;item&gt;459&lt;/item&gt;&lt;item&gt;461&lt;/item&gt;&lt;item&gt;462&lt;/item&gt;&lt;item&gt;465&lt;/item&gt;&lt;item&gt;468&lt;/item&gt;&lt;item&gt;471&lt;/item&gt;&lt;item&gt;482&lt;/item&gt;&lt;item&gt;488&lt;/item&gt;&lt;item&gt;492&lt;/item&gt;&lt;item&gt;502&lt;/item&gt;&lt;item&gt;503&lt;/item&gt;&lt;item&gt;507&lt;/item&gt;&lt;item&gt;514&lt;/item&gt;&lt;item&gt;518&lt;/item&gt;&lt;item&gt;521&lt;/item&gt;&lt;item&gt;522&lt;/item&gt;&lt;item&gt;523&lt;/item&gt;&lt;item&gt;537&lt;/item&gt;&lt;item&gt;543&lt;/item&gt;&lt;item&gt;544&lt;/item&gt;&lt;item&gt;561&lt;/item&gt;&lt;item&gt;567&lt;/item&gt;&lt;item&gt;568&lt;/item&gt;&lt;item&gt;569&lt;/item&gt;&lt;item&gt;571&lt;/item&gt;&lt;item&gt;576&lt;/item&gt;&lt;item&gt;582&lt;/item&gt;&lt;item&gt;589&lt;/item&gt;&lt;item&gt;590&lt;/item&gt;&lt;item&gt;591&lt;/item&gt;&lt;item&gt;592&lt;/item&gt;&lt;item&gt;593&lt;/item&gt;&lt;item&gt;594&lt;/item&gt;&lt;item&gt;595&lt;/item&gt;&lt;item&gt;599&lt;/item&gt;&lt;item&gt;600&lt;/item&gt;&lt;item&gt;603&lt;/item&gt;&lt;item&gt;608&lt;/item&gt;&lt;item&gt;619&lt;/item&gt;&lt;item&gt;624&lt;/item&gt;&lt;item&gt;626&lt;/item&gt;&lt;/record-ids&gt;&lt;/item&gt;&lt;/Libraries&gt;"/>
  </w:docVars>
  <w:rsids>
    <w:rsidRoot w:val="004A0271"/>
    <w:rsid w:val="00002A08"/>
    <w:rsid w:val="0000582A"/>
    <w:rsid w:val="00006858"/>
    <w:rsid w:val="00006CAD"/>
    <w:rsid w:val="00007D46"/>
    <w:rsid w:val="0001178F"/>
    <w:rsid w:val="00030EE9"/>
    <w:rsid w:val="0003385C"/>
    <w:rsid w:val="00034575"/>
    <w:rsid w:val="00035188"/>
    <w:rsid w:val="00044C5C"/>
    <w:rsid w:val="000478D3"/>
    <w:rsid w:val="0005058C"/>
    <w:rsid w:val="0005268C"/>
    <w:rsid w:val="000549E3"/>
    <w:rsid w:val="00055AF7"/>
    <w:rsid w:val="0006298A"/>
    <w:rsid w:val="0006335F"/>
    <w:rsid w:val="00066F44"/>
    <w:rsid w:val="00071F78"/>
    <w:rsid w:val="00073127"/>
    <w:rsid w:val="00081279"/>
    <w:rsid w:val="000841E7"/>
    <w:rsid w:val="00084391"/>
    <w:rsid w:val="0008692A"/>
    <w:rsid w:val="0008788A"/>
    <w:rsid w:val="00091EE2"/>
    <w:rsid w:val="00093AEA"/>
    <w:rsid w:val="00094BF4"/>
    <w:rsid w:val="000A36C2"/>
    <w:rsid w:val="000A3DCD"/>
    <w:rsid w:val="000A79B7"/>
    <w:rsid w:val="000B3EAA"/>
    <w:rsid w:val="000B5B00"/>
    <w:rsid w:val="000B5B11"/>
    <w:rsid w:val="000B73AA"/>
    <w:rsid w:val="000C0C14"/>
    <w:rsid w:val="000C167D"/>
    <w:rsid w:val="000C1C34"/>
    <w:rsid w:val="000C28DF"/>
    <w:rsid w:val="000C6CDC"/>
    <w:rsid w:val="000D46BB"/>
    <w:rsid w:val="000D5B26"/>
    <w:rsid w:val="000E0393"/>
    <w:rsid w:val="000E17B8"/>
    <w:rsid w:val="000E2023"/>
    <w:rsid w:val="000E21EA"/>
    <w:rsid w:val="000E2F24"/>
    <w:rsid w:val="000E32ED"/>
    <w:rsid w:val="000E4195"/>
    <w:rsid w:val="000E5275"/>
    <w:rsid w:val="000F07B2"/>
    <w:rsid w:val="000F0996"/>
    <w:rsid w:val="000F12D0"/>
    <w:rsid w:val="000F2BAA"/>
    <w:rsid w:val="000F5C6F"/>
    <w:rsid w:val="000F6DE8"/>
    <w:rsid w:val="00100B73"/>
    <w:rsid w:val="0010124F"/>
    <w:rsid w:val="00112136"/>
    <w:rsid w:val="00113DD5"/>
    <w:rsid w:val="00114B9C"/>
    <w:rsid w:val="0011567F"/>
    <w:rsid w:val="001176F8"/>
    <w:rsid w:val="0011775F"/>
    <w:rsid w:val="001178C7"/>
    <w:rsid w:val="001207F0"/>
    <w:rsid w:val="00122A83"/>
    <w:rsid w:val="00122ADF"/>
    <w:rsid w:val="001272C4"/>
    <w:rsid w:val="001307FD"/>
    <w:rsid w:val="00130E8F"/>
    <w:rsid w:val="00133173"/>
    <w:rsid w:val="00140EDB"/>
    <w:rsid w:val="00142511"/>
    <w:rsid w:val="001440BF"/>
    <w:rsid w:val="001456E5"/>
    <w:rsid w:val="001470A8"/>
    <w:rsid w:val="001474E2"/>
    <w:rsid w:val="0015108E"/>
    <w:rsid w:val="0015365B"/>
    <w:rsid w:val="001537EB"/>
    <w:rsid w:val="00154E2F"/>
    <w:rsid w:val="00160419"/>
    <w:rsid w:val="0016401D"/>
    <w:rsid w:val="001721E6"/>
    <w:rsid w:val="001738F4"/>
    <w:rsid w:val="00182875"/>
    <w:rsid w:val="00183468"/>
    <w:rsid w:val="001851BA"/>
    <w:rsid w:val="00185AE8"/>
    <w:rsid w:val="001869DA"/>
    <w:rsid w:val="001901B9"/>
    <w:rsid w:val="00190A5E"/>
    <w:rsid w:val="00193BA8"/>
    <w:rsid w:val="00196552"/>
    <w:rsid w:val="001977A1"/>
    <w:rsid w:val="00197CA7"/>
    <w:rsid w:val="00197DB9"/>
    <w:rsid w:val="001A0CC8"/>
    <w:rsid w:val="001A1510"/>
    <w:rsid w:val="001A1D6B"/>
    <w:rsid w:val="001A20FF"/>
    <w:rsid w:val="001A231C"/>
    <w:rsid w:val="001A4377"/>
    <w:rsid w:val="001A4648"/>
    <w:rsid w:val="001A6AC0"/>
    <w:rsid w:val="001B12C7"/>
    <w:rsid w:val="001B45E4"/>
    <w:rsid w:val="001B6831"/>
    <w:rsid w:val="001B70FC"/>
    <w:rsid w:val="001C6289"/>
    <w:rsid w:val="001C7B56"/>
    <w:rsid w:val="001D1444"/>
    <w:rsid w:val="001D1672"/>
    <w:rsid w:val="001D4283"/>
    <w:rsid w:val="001D4899"/>
    <w:rsid w:val="001D4D5C"/>
    <w:rsid w:val="001D5407"/>
    <w:rsid w:val="001D7CAB"/>
    <w:rsid w:val="001E312A"/>
    <w:rsid w:val="001E320D"/>
    <w:rsid w:val="001E5A40"/>
    <w:rsid w:val="001E60F2"/>
    <w:rsid w:val="001E726D"/>
    <w:rsid w:val="001E7F83"/>
    <w:rsid w:val="001F28FE"/>
    <w:rsid w:val="001F66DF"/>
    <w:rsid w:val="00200223"/>
    <w:rsid w:val="00204FAB"/>
    <w:rsid w:val="00212C9E"/>
    <w:rsid w:val="002144E9"/>
    <w:rsid w:val="002155CF"/>
    <w:rsid w:val="002155E8"/>
    <w:rsid w:val="002239BD"/>
    <w:rsid w:val="00227C07"/>
    <w:rsid w:val="00232675"/>
    <w:rsid w:val="002333E3"/>
    <w:rsid w:val="002350D9"/>
    <w:rsid w:val="002357E9"/>
    <w:rsid w:val="0023690B"/>
    <w:rsid w:val="00240653"/>
    <w:rsid w:val="00243C9A"/>
    <w:rsid w:val="00244162"/>
    <w:rsid w:val="00245FA7"/>
    <w:rsid w:val="002479ED"/>
    <w:rsid w:val="002504CF"/>
    <w:rsid w:val="00252018"/>
    <w:rsid w:val="00253BAF"/>
    <w:rsid w:val="00255A43"/>
    <w:rsid w:val="00257AD3"/>
    <w:rsid w:val="002602A4"/>
    <w:rsid w:val="00263939"/>
    <w:rsid w:val="00267A53"/>
    <w:rsid w:val="00270744"/>
    <w:rsid w:val="00270F30"/>
    <w:rsid w:val="00271E37"/>
    <w:rsid w:val="0027346A"/>
    <w:rsid w:val="00273C44"/>
    <w:rsid w:val="0028002A"/>
    <w:rsid w:val="00282F5D"/>
    <w:rsid w:val="00284928"/>
    <w:rsid w:val="002864D5"/>
    <w:rsid w:val="002865A5"/>
    <w:rsid w:val="00290BC5"/>
    <w:rsid w:val="0029183C"/>
    <w:rsid w:val="00291E72"/>
    <w:rsid w:val="002B3134"/>
    <w:rsid w:val="002B41C8"/>
    <w:rsid w:val="002B458E"/>
    <w:rsid w:val="002B657B"/>
    <w:rsid w:val="002B7FE1"/>
    <w:rsid w:val="002C077B"/>
    <w:rsid w:val="002C2EB3"/>
    <w:rsid w:val="002C4B07"/>
    <w:rsid w:val="002C68F1"/>
    <w:rsid w:val="002C79F0"/>
    <w:rsid w:val="002D435F"/>
    <w:rsid w:val="002D5462"/>
    <w:rsid w:val="002E329C"/>
    <w:rsid w:val="002E358E"/>
    <w:rsid w:val="002E3D08"/>
    <w:rsid w:val="002E75CC"/>
    <w:rsid w:val="002F4719"/>
    <w:rsid w:val="002F550A"/>
    <w:rsid w:val="00302B79"/>
    <w:rsid w:val="00305BAA"/>
    <w:rsid w:val="00311414"/>
    <w:rsid w:val="00311678"/>
    <w:rsid w:val="00312DDD"/>
    <w:rsid w:val="0031445A"/>
    <w:rsid w:val="003159AB"/>
    <w:rsid w:val="0032127B"/>
    <w:rsid w:val="00323399"/>
    <w:rsid w:val="003262C2"/>
    <w:rsid w:val="00326520"/>
    <w:rsid w:val="0033081E"/>
    <w:rsid w:val="00333246"/>
    <w:rsid w:val="003339B8"/>
    <w:rsid w:val="0033601C"/>
    <w:rsid w:val="0033659D"/>
    <w:rsid w:val="0034178B"/>
    <w:rsid w:val="003428EA"/>
    <w:rsid w:val="0034436A"/>
    <w:rsid w:val="00345E7A"/>
    <w:rsid w:val="0035044F"/>
    <w:rsid w:val="003536F7"/>
    <w:rsid w:val="0036143A"/>
    <w:rsid w:val="0036194B"/>
    <w:rsid w:val="00364E31"/>
    <w:rsid w:val="00365225"/>
    <w:rsid w:val="00367412"/>
    <w:rsid w:val="0037093C"/>
    <w:rsid w:val="00371B91"/>
    <w:rsid w:val="00372FE1"/>
    <w:rsid w:val="00374B51"/>
    <w:rsid w:val="0038074E"/>
    <w:rsid w:val="003811C9"/>
    <w:rsid w:val="003811E6"/>
    <w:rsid w:val="00381423"/>
    <w:rsid w:val="00383D02"/>
    <w:rsid w:val="003846D3"/>
    <w:rsid w:val="00384919"/>
    <w:rsid w:val="003861E5"/>
    <w:rsid w:val="00387D68"/>
    <w:rsid w:val="00392189"/>
    <w:rsid w:val="00392A6F"/>
    <w:rsid w:val="003A4727"/>
    <w:rsid w:val="003A6D06"/>
    <w:rsid w:val="003B05E8"/>
    <w:rsid w:val="003B2702"/>
    <w:rsid w:val="003B4BB9"/>
    <w:rsid w:val="003C1DCB"/>
    <w:rsid w:val="003C2AEF"/>
    <w:rsid w:val="003C6978"/>
    <w:rsid w:val="003D0ABA"/>
    <w:rsid w:val="003D0BA7"/>
    <w:rsid w:val="003D11BF"/>
    <w:rsid w:val="003D247F"/>
    <w:rsid w:val="003D2715"/>
    <w:rsid w:val="003D5F17"/>
    <w:rsid w:val="003D64AD"/>
    <w:rsid w:val="003D7507"/>
    <w:rsid w:val="003D7F9D"/>
    <w:rsid w:val="003E35FD"/>
    <w:rsid w:val="003E3EE5"/>
    <w:rsid w:val="003E488A"/>
    <w:rsid w:val="003E4FFE"/>
    <w:rsid w:val="003E5510"/>
    <w:rsid w:val="003E59DA"/>
    <w:rsid w:val="003E5C4A"/>
    <w:rsid w:val="003F14BA"/>
    <w:rsid w:val="003F50EC"/>
    <w:rsid w:val="003F687A"/>
    <w:rsid w:val="003F7509"/>
    <w:rsid w:val="003F7A42"/>
    <w:rsid w:val="00401E84"/>
    <w:rsid w:val="00404471"/>
    <w:rsid w:val="0041423B"/>
    <w:rsid w:val="0041671B"/>
    <w:rsid w:val="00417D29"/>
    <w:rsid w:val="00420E73"/>
    <w:rsid w:val="00423E7B"/>
    <w:rsid w:val="004264E3"/>
    <w:rsid w:val="00427E04"/>
    <w:rsid w:val="00432651"/>
    <w:rsid w:val="00435A5E"/>
    <w:rsid w:val="00435AC6"/>
    <w:rsid w:val="00435CFA"/>
    <w:rsid w:val="00441087"/>
    <w:rsid w:val="00441C25"/>
    <w:rsid w:val="0044536D"/>
    <w:rsid w:val="00446EB3"/>
    <w:rsid w:val="00447045"/>
    <w:rsid w:val="0045014A"/>
    <w:rsid w:val="004517B8"/>
    <w:rsid w:val="00451B59"/>
    <w:rsid w:val="00454A8C"/>
    <w:rsid w:val="00455F8A"/>
    <w:rsid w:val="00457596"/>
    <w:rsid w:val="0046111A"/>
    <w:rsid w:val="00461200"/>
    <w:rsid w:val="00461A80"/>
    <w:rsid w:val="0046444D"/>
    <w:rsid w:val="00464AA2"/>
    <w:rsid w:val="00465B8D"/>
    <w:rsid w:val="004717BC"/>
    <w:rsid w:val="00472816"/>
    <w:rsid w:val="00472861"/>
    <w:rsid w:val="004742AA"/>
    <w:rsid w:val="00475143"/>
    <w:rsid w:val="00477F91"/>
    <w:rsid w:val="00481AC3"/>
    <w:rsid w:val="0048414C"/>
    <w:rsid w:val="0048556D"/>
    <w:rsid w:val="00487558"/>
    <w:rsid w:val="00490EB4"/>
    <w:rsid w:val="00491567"/>
    <w:rsid w:val="004948F0"/>
    <w:rsid w:val="00497C84"/>
    <w:rsid w:val="004A0271"/>
    <w:rsid w:val="004A1416"/>
    <w:rsid w:val="004A235F"/>
    <w:rsid w:val="004A4A5C"/>
    <w:rsid w:val="004A788A"/>
    <w:rsid w:val="004B4637"/>
    <w:rsid w:val="004C0321"/>
    <w:rsid w:val="004C18B1"/>
    <w:rsid w:val="004C226F"/>
    <w:rsid w:val="004C3FE0"/>
    <w:rsid w:val="004C52CC"/>
    <w:rsid w:val="004D0316"/>
    <w:rsid w:val="004D24F0"/>
    <w:rsid w:val="004D3FDA"/>
    <w:rsid w:val="004D47D6"/>
    <w:rsid w:val="004D5B57"/>
    <w:rsid w:val="004D61B8"/>
    <w:rsid w:val="004D6CFD"/>
    <w:rsid w:val="004E0333"/>
    <w:rsid w:val="004E45CC"/>
    <w:rsid w:val="004E7FD1"/>
    <w:rsid w:val="00503EE5"/>
    <w:rsid w:val="0050455E"/>
    <w:rsid w:val="00504D47"/>
    <w:rsid w:val="00505D77"/>
    <w:rsid w:val="0050603F"/>
    <w:rsid w:val="00511C4D"/>
    <w:rsid w:val="00515053"/>
    <w:rsid w:val="00516BB1"/>
    <w:rsid w:val="00516CB5"/>
    <w:rsid w:val="005209AA"/>
    <w:rsid w:val="00521FD2"/>
    <w:rsid w:val="00522C0F"/>
    <w:rsid w:val="00524CFA"/>
    <w:rsid w:val="0052547B"/>
    <w:rsid w:val="00525480"/>
    <w:rsid w:val="0052567C"/>
    <w:rsid w:val="00525F96"/>
    <w:rsid w:val="005261C3"/>
    <w:rsid w:val="00526CE7"/>
    <w:rsid w:val="00526D81"/>
    <w:rsid w:val="00532526"/>
    <w:rsid w:val="00534523"/>
    <w:rsid w:val="005354E3"/>
    <w:rsid w:val="0053554F"/>
    <w:rsid w:val="00535CB5"/>
    <w:rsid w:val="0054063F"/>
    <w:rsid w:val="00544945"/>
    <w:rsid w:val="0054549A"/>
    <w:rsid w:val="00546D63"/>
    <w:rsid w:val="00546FEE"/>
    <w:rsid w:val="00547299"/>
    <w:rsid w:val="00547B3F"/>
    <w:rsid w:val="005555C2"/>
    <w:rsid w:val="0055578D"/>
    <w:rsid w:val="00555A44"/>
    <w:rsid w:val="00557835"/>
    <w:rsid w:val="00561023"/>
    <w:rsid w:val="005623FC"/>
    <w:rsid w:val="0056447B"/>
    <w:rsid w:val="00567882"/>
    <w:rsid w:val="0057196F"/>
    <w:rsid w:val="00580B09"/>
    <w:rsid w:val="005816A5"/>
    <w:rsid w:val="00581D12"/>
    <w:rsid w:val="005862EF"/>
    <w:rsid w:val="00586C70"/>
    <w:rsid w:val="005907FF"/>
    <w:rsid w:val="00590A67"/>
    <w:rsid w:val="00592932"/>
    <w:rsid w:val="00593BC2"/>
    <w:rsid w:val="0059544B"/>
    <w:rsid w:val="00595DE1"/>
    <w:rsid w:val="005A239E"/>
    <w:rsid w:val="005A277D"/>
    <w:rsid w:val="005A42A1"/>
    <w:rsid w:val="005A5641"/>
    <w:rsid w:val="005A6100"/>
    <w:rsid w:val="005A6492"/>
    <w:rsid w:val="005B0BCA"/>
    <w:rsid w:val="005B0E62"/>
    <w:rsid w:val="005B2F50"/>
    <w:rsid w:val="005B4C56"/>
    <w:rsid w:val="005B4E72"/>
    <w:rsid w:val="005C06F1"/>
    <w:rsid w:val="005C0A09"/>
    <w:rsid w:val="005C1190"/>
    <w:rsid w:val="005C18EA"/>
    <w:rsid w:val="005C2F61"/>
    <w:rsid w:val="005C5864"/>
    <w:rsid w:val="005C64D6"/>
    <w:rsid w:val="005C7E37"/>
    <w:rsid w:val="005D29FB"/>
    <w:rsid w:val="005E0807"/>
    <w:rsid w:val="005E3987"/>
    <w:rsid w:val="005E63E8"/>
    <w:rsid w:val="005F486E"/>
    <w:rsid w:val="005F6A88"/>
    <w:rsid w:val="005F77D5"/>
    <w:rsid w:val="00605C50"/>
    <w:rsid w:val="00610070"/>
    <w:rsid w:val="00614CD9"/>
    <w:rsid w:val="0061532F"/>
    <w:rsid w:val="00615603"/>
    <w:rsid w:val="00617BF0"/>
    <w:rsid w:val="006212E3"/>
    <w:rsid w:val="00622E1F"/>
    <w:rsid w:val="00623869"/>
    <w:rsid w:val="00623DC1"/>
    <w:rsid w:val="00623F86"/>
    <w:rsid w:val="00625739"/>
    <w:rsid w:val="00626C8C"/>
    <w:rsid w:val="00630659"/>
    <w:rsid w:val="00631453"/>
    <w:rsid w:val="00633FB2"/>
    <w:rsid w:val="00634AFF"/>
    <w:rsid w:val="00635FE3"/>
    <w:rsid w:val="006376DE"/>
    <w:rsid w:val="00640731"/>
    <w:rsid w:val="00641FC4"/>
    <w:rsid w:val="00645BB8"/>
    <w:rsid w:val="006505EA"/>
    <w:rsid w:val="006505F8"/>
    <w:rsid w:val="00650B8C"/>
    <w:rsid w:val="00662330"/>
    <w:rsid w:val="006629F8"/>
    <w:rsid w:val="00663B9B"/>
    <w:rsid w:val="0066478C"/>
    <w:rsid w:val="00664C7A"/>
    <w:rsid w:val="00665EAB"/>
    <w:rsid w:val="00665F78"/>
    <w:rsid w:val="00671B24"/>
    <w:rsid w:val="00672DA5"/>
    <w:rsid w:val="00680A08"/>
    <w:rsid w:val="0068175B"/>
    <w:rsid w:val="00682CC7"/>
    <w:rsid w:val="006940A4"/>
    <w:rsid w:val="0069433A"/>
    <w:rsid w:val="00697E99"/>
    <w:rsid w:val="006A610E"/>
    <w:rsid w:val="006B0C17"/>
    <w:rsid w:val="006B24B1"/>
    <w:rsid w:val="006B6737"/>
    <w:rsid w:val="006B7507"/>
    <w:rsid w:val="006B7C49"/>
    <w:rsid w:val="006C03AD"/>
    <w:rsid w:val="006C05D6"/>
    <w:rsid w:val="006C3A2B"/>
    <w:rsid w:val="006C6E67"/>
    <w:rsid w:val="006C72D1"/>
    <w:rsid w:val="006D5AE3"/>
    <w:rsid w:val="006E2098"/>
    <w:rsid w:val="006E4238"/>
    <w:rsid w:val="006E7193"/>
    <w:rsid w:val="006F2128"/>
    <w:rsid w:val="006F3DDA"/>
    <w:rsid w:val="006F7654"/>
    <w:rsid w:val="00700661"/>
    <w:rsid w:val="0070137E"/>
    <w:rsid w:val="00702167"/>
    <w:rsid w:val="00712341"/>
    <w:rsid w:val="007135E8"/>
    <w:rsid w:val="007143AF"/>
    <w:rsid w:val="007211B6"/>
    <w:rsid w:val="00724B02"/>
    <w:rsid w:val="00725790"/>
    <w:rsid w:val="00726623"/>
    <w:rsid w:val="00727DE1"/>
    <w:rsid w:val="00731D1A"/>
    <w:rsid w:val="00732F6F"/>
    <w:rsid w:val="0073651D"/>
    <w:rsid w:val="00736858"/>
    <w:rsid w:val="00741591"/>
    <w:rsid w:val="00743C69"/>
    <w:rsid w:val="00745ADC"/>
    <w:rsid w:val="00745F65"/>
    <w:rsid w:val="0074603F"/>
    <w:rsid w:val="0075279B"/>
    <w:rsid w:val="007533E0"/>
    <w:rsid w:val="00753A2C"/>
    <w:rsid w:val="007613D3"/>
    <w:rsid w:val="0076263E"/>
    <w:rsid w:val="00762CAF"/>
    <w:rsid w:val="00763FCE"/>
    <w:rsid w:val="00764FC3"/>
    <w:rsid w:val="00765DC3"/>
    <w:rsid w:val="00766CBF"/>
    <w:rsid w:val="0077063B"/>
    <w:rsid w:val="0077169D"/>
    <w:rsid w:val="00774353"/>
    <w:rsid w:val="00775843"/>
    <w:rsid w:val="0078165B"/>
    <w:rsid w:val="00784136"/>
    <w:rsid w:val="00786AA2"/>
    <w:rsid w:val="00787872"/>
    <w:rsid w:val="00793FE4"/>
    <w:rsid w:val="00794D42"/>
    <w:rsid w:val="00795970"/>
    <w:rsid w:val="0079652B"/>
    <w:rsid w:val="007A02ED"/>
    <w:rsid w:val="007A4059"/>
    <w:rsid w:val="007A511D"/>
    <w:rsid w:val="007A7825"/>
    <w:rsid w:val="007B0379"/>
    <w:rsid w:val="007B0617"/>
    <w:rsid w:val="007B2CD1"/>
    <w:rsid w:val="007B3300"/>
    <w:rsid w:val="007C01A1"/>
    <w:rsid w:val="007C04A6"/>
    <w:rsid w:val="007D04A8"/>
    <w:rsid w:val="007D1ADD"/>
    <w:rsid w:val="007D29F3"/>
    <w:rsid w:val="007D33D5"/>
    <w:rsid w:val="007D53E6"/>
    <w:rsid w:val="007D67E5"/>
    <w:rsid w:val="007E1BBE"/>
    <w:rsid w:val="007E37D0"/>
    <w:rsid w:val="007E46EB"/>
    <w:rsid w:val="007E59AC"/>
    <w:rsid w:val="007E59B1"/>
    <w:rsid w:val="007E6F8C"/>
    <w:rsid w:val="007F29B0"/>
    <w:rsid w:val="007F43FD"/>
    <w:rsid w:val="007F4596"/>
    <w:rsid w:val="007F5D50"/>
    <w:rsid w:val="00801F63"/>
    <w:rsid w:val="00801F9A"/>
    <w:rsid w:val="00805738"/>
    <w:rsid w:val="00805A94"/>
    <w:rsid w:val="00811ACF"/>
    <w:rsid w:val="00813BB6"/>
    <w:rsid w:val="008177D4"/>
    <w:rsid w:val="008236A3"/>
    <w:rsid w:val="00824868"/>
    <w:rsid w:val="00825846"/>
    <w:rsid w:val="00827164"/>
    <w:rsid w:val="00827526"/>
    <w:rsid w:val="0082787E"/>
    <w:rsid w:val="008307DB"/>
    <w:rsid w:val="0083098F"/>
    <w:rsid w:val="00831DF8"/>
    <w:rsid w:val="00834576"/>
    <w:rsid w:val="00834F29"/>
    <w:rsid w:val="008374AF"/>
    <w:rsid w:val="00837E7B"/>
    <w:rsid w:val="0084177F"/>
    <w:rsid w:val="008447BC"/>
    <w:rsid w:val="00845D5B"/>
    <w:rsid w:val="00852914"/>
    <w:rsid w:val="00852DE8"/>
    <w:rsid w:val="00852E7E"/>
    <w:rsid w:val="0085477D"/>
    <w:rsid w:val="00855013"/>
    <w:rsid w:val="00855BCB"/>
    <w:rsid w:val="0085788F"/>
    <w:rsid w:val="00861065"/>
    <w:rsid w:val="008611A4"/>
    <w:rsid w:val="00861C1C"/>
    <w:rsid w:val="00862A7F"/>
    <w:rsid w:val="00862FE5"/>
    <w:rsid w:val="008657EC"/>
    <w:rsid w:val="00866AA2"/>
    <w:rsid w:val="00866E58"/>
    <w:rsid w:val="0087026D"/>
    <w:rsid w:val="0087040B"/>
    <w:rsid w:val="00870928"/>
    <w:rsid w:val="008725BB"/>
    <w:rsid w:val="00872F0E"/>
    <w:rsid w:val="008762E4"/>
    <w:rsid w:val="008804E0"/>
    <w:rsid w:val="00882534"/>
    <w:rsid w:val="00883401"/>
    <w:rsid w:val="00883AA0"/>
    <w:rsid w:val="00883D42"/>
    <w:rsid w:val="00884D66"/>
    <w:rsid w:val="008852CD"/>
    <w:rsid w:val="00886693"/>
    <w:rsid w:val="008908D2"/>
    <w:rsid w:val="008909C4"/>
    <w:rsid w:val="00890EE6"/>
    <w:rsid w:val="00892F1C"/>
    <w:rsid w:val="00893DC3"/>
    <w:rsid w:val="00894A8F"/>
    <w:rsid w:val="008969AD"/>
    <w:rsid w:val="00897803"/>
    <w:rsid w:val="008A5F64"/>
    <w:rsid w:val="008A632A"/>
    <w:rsid w:val="008A7662"/>
    <w:rsid w:val="008B1D5B"/>
    <w:rsid w:val="008C1441"/>
    <w:rsid w:val="008C2258"/>
    <w:rsid w:val="008C706C"/>
    <w:rsid w:val="008D53D7"/>
    <w:rsid w:val="008D556F"/>
    <w:rsid w:val="008D7101"/>
    <w:rsid w:val="008E2B5C"/>
    <w:rsid w:val="008E5221"/>
    <w:rsid w:val="008E551F"/>
    <w:rsid w:val="008E5911"/>
    <w:rsid w:val="008E6934"/>
    <w:rsid w:val="008E7A87"/>
    <w:rsid w:val="008F205A"/>
    <w:rsid w:val="00901E2B"/>
    <w:rsid w:val="00905FEB"/>
    <w:rsid w:val="00912EF2"/>
    <w:rsid w:val="00915CB6"/>
    <w:rsid w:val="00921D54"/>
    <w:rsid w:val="00924EFB"/>
    <w:rsid w:val="009267E4"/>
    <w:rsid w:val="00930165"/>
    <w:rsid w:val="009303C4"/>
    <w:rsid w:val="0093095A"/>
    <w:rsid w:val="009310EA"/>
    <w:rsid w:val="00932BFF"/>
    <w:rsid w:val="0093487D"/>
    <w:rsid w:val="00934C1F"/>
    <w:rsid w:val="009358AE"/>
    <w:rsid w:val="0093778A"/>
    <w:rsid w:val="009379A2"/>
    <w:rsid w:val="0094227D"/>
    <w:rsid w:val="00947B1F"/>
    <w:rsid w:val="00951331"/>
    <w:rsid w:val="009533F5"/>
    <w:rsid w:val="00960361"/>
    <w:rsid w:val="00961092"/>
    <w:rsid w:val="00962A19"/>
    <w:rsid w:val="00963CFB"/>
    <w:rsid w:val="00964513"/>
    <w:rsid w:val="00965207"/>
    <w:rsid w:val="009652F0"/>
    <w:rsid w:val="00967EFA"/>
    <w:rsid w:val="00972073"/>
    <w:rsid w:val="00975495"/>
    <w:rsid w:val="00976563"/>
    <w:rsid w:val="00981E06"/>
    <w:rsid w:val="00984153"/>
    <w:rsid w:val="009842CD"/>
    <w:rsid w:val="00984362"/>
    <w:rsid w:val="00984EB9"/>
    <w:rsid w:val="00990E3F"/>
    <w:rsid w:val="00991899"/>
    <w:rsid w:val="0099263E"/>
    <w:rsid w:val="00996905"/>
    <w:rsid w:val="00996A22"/>
    <w:rsid w:val="009A02B5"/>
    <w:rsid w:val="009A1766"/>
    <w:rsid w:val="009A1A13"/>
    <w:rsid w:val="009A3D6D"/>
    <w:rsid w:val="009A3F71"/>
    <w:rsid w:val="009B30AD"/>
    <w:rsid w:val="009B780B"/>
    <w:rsid w:val="009B7F4B"/>
    <w:rsid w:val="009C1261"/>
    <w:rsid w:val="009C6EB2"/>
    <w:rsid w:val="009D09A6"/>
    <w:rsid w:val="009D0FCB"/>
    <w:rsid w:val="009D1D05"/>
    <w:rsid w:val="009D211A"/>
    <w:rsid w:val="009D4C17"/>
    <w:rsid w:val="009D6049"/>
    <w:rsid w:val="009D6E6A"/>
    <w:rsid w:val="009D6EBD"/>
    <w:rsid w:val="009E099B"/>
    <w:rsid w:val="009E2194"/>
    <w:rsid w:val="009E42D1"/>
    <w:rsid w:val="009E5CA5"/>
    <w:rsid w:val="009E6DAE"/>
    <w:rsid w:val="009E6E71"/>
    <w:rsid w:val="009E7D65"/>
    <w:rsid w:val="009F1B7D"/>
    <w:rsid w:val="009F1DC0"/>
    <w:rsid w:val="009F20E7"/>
    <w:rsid w:val="009F2367"/>
    <w:rsid w:val="009F3AAE"/>
    <w:rsid w:val="009F6E47"/>
    <w:rsid w:val="00A03147"/>
    <w:rsid w:val="00A11725"/>
    <w:rsid w:val="00A11F80"/>
    <w:rsid w:val="00A14117"/>
    <w:rsid w:val="00A14AC3"/>
    <w:rsid w:val="00A221FD"/>
    <w:rsid w:val="00A227DF"/>
    <w:rsid w:val="00A2674A"/>
    <w:rsid w:val="00A26D45"/>
    <w:rsid w:val="00A31532"/>
    <w:rsid w:val="00A320DE"/>
    <w:rsid w:val="00A33121"/>
    <w:rsid w:val="00A34138"/>
    <w:rsid w:val="00A359A9"/>
    <w:rsid w:val="00A37928"/>
    <w:rsid w:val="00A40E15"/>
    <w:rsid w:val="00A43885"/>
    <w:rsid w:val="00A43CF7"/>
    <w:rsid w:val="00A45762"/>
    <w:rsid w:val="00A45CF7"/>
    <w:rsid w:val="00A47ACB"/>
    <w:rsid w:val="00A5019F"/>
    <w:rsid w:val="00A50C54"/>
    <w:rsid w:val="00A51C78"/>
    <w:rsid w:val="00A52133"/>
    <w:rsid w:val="00A524C8"/>
    <w:rsid w:val="00A545EA"/>
    <w:rsid w:val="00A54E77"/>
    <w:rsid w:val="00A56A7C"/>
    <w:rsid w:val="00A57476"/>
    <w:rsid w:val="00A57A72"/>
    <w:rsid w:val="00A63BA9"/>
    <w:rsid w:val="00A63C6C"/>
    <w:rsid w:val="00A678A9"/>
    <w:rsid w:val="00A6791E"/>
    <w:rsid w:val="00A713CC"/>
    <w:rsid w:val="00A71A3E"/>
    <w:rsid w:val="00A772FE"/>
    <w:rsid w:val="00A8353C"/>
    <w:rsid w:val="00A86860"/>
    <w:rsid w:val="00A90274"/>
    <w:rsid w:val="00A91373"/>
    <w:rsid w:val="00A9463D"/>
    <w:rsid w:val="00A9471F"/>
    <w:rsid w:val="00A94B8C"/>
    <w:rsid w:val="00A957E5"/>
    <w:rsid w:val="00A962B8"/>
    <w:rsid w:val="00AA19CF"/>
    <w:rsid w:val="00AA2B31"/>
    <w:rsid w:val="00AA33D2"/>
    <w:rsid w:val="00AA42FD"/>
    <w:rsid w:val="00AA6018"/>
    <w:rsid w:val="00AA6D05"/>
    <w:rsid w:val="00AA7788"/>
    <w:rsid w:val="00AB0C78"/>
    <w:rsid w:val="00AB0DFC"/>
    <w:rsid w:val="00AB151E"/>
    <w:rsid w:val="00AB38E3"/>
    <w:rsid w:val="00AB3B8A"/>
    <w:rsid w:val="00AB46B7"/>
    <w:rsid w:val="00AC0DA0"/>
    <w:rsid w:val="00AC0E43"/>
    <w:rsid w:val="00AC24DE"/>
    <w:rsid w:val="00AC391F"/>
    <w:rsid w:val="00AC4E19"/>
    <w:rsid w:val="00AC6392"/>
    <w:rsid w:val="00AC68CA"/>
    <w:rsid w:val="00AD0594"/>
    <w:rsid w:val="00AD27CB"/>
    <w:rsid w:val="00AD2A36"/>
    <w:rsid w:val="00AD6154"/>
    <w:rsid w:val="00AD6536"/>
    <w:rsid w:val="00AD6646"/>
    <w:rsid w:val="00AE3F6E"/>
    <w:rsid w:val="00AE4D0F"/>
    <w:rsid w:val="00AE6B5E"/>
    <w:rsid w:val="00AF0525"/>
    <w:rsid w:val="00AF2F84"/>
    <w:rsid w:val="00AF3213"/>
    <w:rsid w:val="00AF326B"/>
    <w:rsid w:val="00AF51A8"/>
    <w:rsid w:val="00AF7359"/>
    <w:rsid w:val="00B02EC5"/>
    <w:rsid w:val="00B07448"/>
    <w:rsid w:val="00B1063F"/>
    <w:rsid w:val="00B10C8B"/>
    <w:rsid w:val="00B165C9"/>
    <w:rsid w:val="00B208D5"/>
    <w:rsid w:val="00B2260F"/>
    <w:rsid w:val="00B302C2"/>
    <w:rsid w:val="00B30577"/>
    <w:rsid w:val="00B30A7C"/>
    <w:rsid w:val="00B35022"/>
    <w:rsid w:val="00B35634"/>
    <w:rsid w:val="00B372E1"/>
    <w:rsid w:val="00B373E4"/>
    <w:rsid w:val="00B37B8D"/>
    <w:rsid w:val="00B4111B"/>
    <w:rsid w:val="00B4113A"/>
    <w:rsid w:val="00B440E6"/>
    <w:rsid w:val="00B44312"/>
    <w:rsid w:val="00B45231"/>
    <w:rsid w:val="00B50C45"/>
    <w:rsid w:val="00B50F41"/>
    <w:rsid w:val="00B51740"/>
    <w:rsid w:val="00B5256D"/>
    <w:rsid w:val="00B559B4"/>
    <w:rsid w:val="00B563C7"/>
    <w:rsid w:val="00B632FF"/>
    <w:rsid w:val="00B64498"/>
    <w:rsid w:val="00B65412"/>
    <w:rsid w:val="00B70BC8"/>
    <w:rsid w:val="00B741A5"/>
    <w:rsid w:val="00B75D89"/>
    <w:rsid w:val="00B8043E"/>
    <w:rsid w:val="00B86C9E"/>
    <w:rsid w:val="00B87F8C"/>
    <w:rsid w:val="00B93137"/>
    <w:rsid w:val="00B97903"/>
    <w:rsid w:val="00B97B79"/>
    <w:rsid w:val="00BA0239"/>
    <w:rsid w:val="00BA1129"/>
    <w:rsid w:val="00BA4652"/>
    <w:rsid w:val="00BA738D"/>
    <w:rsid w:val="00BB00E3"/>
    <w:rsid w:val="00BB1DAE"/>
    <w:rsid w:val="00BB2641"/>
    <w:rsid w:val="00BB2F37"/>
    <w:rsid w:val="00BB338E"/>
    <w:rsid w:val="00BB362E"/>
    <w:rsid w:val="00BB49A6"/>
    <w:rsid w:val="00BC061F"/>
    <w:rsid w:val="00BC2B2C"/>
    <w:rsid w:val="00BC4B1B"/>
    <w:rsid w:val="00BD2BD9"/>
    <w:rsid w:val="00BD4568"/>
    <w:rsid w:val="00BD48B4"/>
    <w:rsid w:val="00BD4E9D"/>
    <w:rsid w:val="00BD6F4E"/>
    <w:rsid w:val="00BE4A26"/>
    <w:rsid w:val="00BE4D13"/>
    <w:rsid w:val="00BE610A"/>
    <w:rsid w:val="00BE6C40"/>
    <w:rsid w:val="00BE7A5D"/>
    <w:rsid w:val="00BF0D12"/>
    <w:rsid w:val="00BF2B60"/>
    <w:rsid w:val="00BF3337"/>
    <w:rsid w:val="00C03790"/>
    <w:rsid w:val="00C03BD2"/>
    <w:rsid w:val="00C03E51"/>
    <w:rsid w:val="00C04B6C"/>
    <w:rsid w:val="00C06D0D"/>
    <w:rsid w:val="00C070CD"/>
    <w:rsid w:val="00C070F0"/>
    <w:rsid w:val="00C0783C"/>
    <w:rsid w:val="00C132D8"/>
    <w:rsid w:val="00C160A9"/>
    <w:rsid w:val="00C175F1"/>
    <w:rsid w:val="00C20AA8"/>
    <w:rsid w:val="00C20E3C"/>
    <w:rsid w:val="00C2118F"/>
    <w:rsid w:val="00C24907"/>
    <w:rsid w:val="00C25E89"/>
    <w:rsid w:val="00C25FDE"/>
    <w:rsid w:val="00C27021"/>
    <w:rsid w:val="00C27785"/>
    <w:rsid w:val="00C31F50"/>
    <w:rsid w:val="00C32274"/>
    <w:rsid w:val="00C328CC"/>
    <w:rsid w:val="00C328FA"/>
    <w:rsid w:val="00C353E1"/>
    <w:rsid w:val="00C36BA8"/>
    <w:rsid w:val="00C41810"/>
    <w:rsid w:val="00C41EAF"/>
    <w:rsid w:val="00C45DC9"/>
    <w:rsid w:val="00C47CBA"/>
    <w:rsid w:val="00C56AF7"/>
    <w:rsid w:val="00C61C5F"/>
    <w:rsid w:val="00C64D24"/>
    <w:rsid w:val="00C65737"/>
    <w:rsid w:val="00C67AC2"/>
    <w:rsid w:val="00C67E1C"/>
    <w:rsid w:val="00C7037D"/>
    <w:rsid w:val="00C73CA0"/>
    <w:rsid w:val="00C808E0"/>
    <w:rsid w:val="00C83241"/>
    <w:rsid w:val="00C8384B"/>
    <w:rsid w:val="00C842DA"/>
    <w:rsid w:val="00C84BE0"/>
    <w:rsid w:val="00CA51B6"/>
    <w:rsid w:val="00CB14E0"/>
    <w:rsid w:val="00CB2E3F"/>
    <w:rsid w:val="00CB34F4"/>
    <w:rsid w:val="00CB36B1"/>
    <w:rsid w:val="00CB5407"/>
    <w:rsid w:val="00CB71F5"/>
    <w:rsid w:val="00CB7329"/>
    <w:rsid w:val="00CB73DF"/>
    <w:rsid w:val="00CB7A6D"/>
    <w:rsid w:val="00CC15C7"/>
    <w:rsid w:val="00CC172D"/>
    <w:rsid w:val="00CC17AA"/>
    <w:rsid w:val="00CC4B84"/>
    <w:rsid w:val="00CC721F"/>
    <w:rsid w:val="00CD2031"/>
    <w:rsid w:val="00CD612F"/>
    <w:rsid w:val="00CD69E0"/>
    <w:rsid w:val="00CD7F0F"/>
    <w:rsid w:val="00CE592A"/>
    <w:rsid w:val="00CE69A6"/>
    <w:rsid w:val="00CF0020"/>
    <w:rsid w:val="00CF1483"/>
    <w:rsid w:val="00CF4C31"/>
    <w:rsid w:val="00CF6FAF"/>
    <w:rsid w:val="00D00F2B"/>
    <w:rsid w:val="00D0356D"/>
    <w:rsid w:val="00D0471C"/>
    <w:rsid w:val="00D05EE5"/>
    <w:rsid w:val="00D07E05"/>
    <w:rsid w:val="00D13368"/>
    <w:rsid w:val="00D13A92"/>
    <w:rsid w:val="00D1525B"/>
    <w:rsid w:val="00D1577E"/>
    <w:rsid w:val="00D22FD7"/>
    <w:rsid w:val="00D23F17"/>
    <w:rsid w:val="00D242D7"/>
    <w:rsid w:val="00D24B82"/>
    <w:rsid w:val="00D27875"/>
    <w:rsid w:val="00D27C32"/>
    <w:rsid w:val="00D312C7"/>
    <w:rsid w:val="00D31D22"/>
    <w:rsid w:val="00D334D9"/>
    <w:rsid w:val="00D361BB"/>
    <w:rsid w:val="00D36B31"/>
    <w:rsid w:val="00D43BF9"/>
    <w:rsid w:val="00D44DDD"/>
    <w:rsid w:val="00D53DEF"/>
    <w:rsid w:val="00D56F22"/>
    <w:rsid w:val="00D601E2"/>
    <w:rsid w:val="00D61B54"/>
    <w:rsid w:val="00D64403"/>
    <w:rsid w:val="00D6512B"/>
    <w:rsid w:val="00D7041E"/>
    <w:rsid w:val="00D7066A"/>
    <w:rsid w:val="00D71B18"/>
    <w:rsid w:val="00D71C38"/>
    <w:rsid w:val="00D720FD"/>
    <w:rsid w:val="00D726B5"/>
    <w:rsid w:val="00D8111D"/>
    <w:rsid w:val="00D824E6"/>
    <w:rsid w:val="00D90843"/>
    <w:rsid w:val="00D967E2"/>
    <w:rsid w:val="00D96A48"/>
    <w:rsid w:val="00D97129"/>
    <w:rsid w:val="00D97465"/>
    <w:rsid w:val="00DA0CCD"/>
    <w:rsid w:val="00DA1FD0"/>
    <w:rsid w:val="00DA4F4B"/>
    <w:rsid w:val="00DA5C35"/>
    <w:rsid w:val="00DA64A2"/>
    <w:rsid w:val="00DB0CC2"/>
    <w:rsid w:val="00DB42A6"/>
    <w:rsid w:val="00DB5AA9"/>
    <w:rsid w:val="00DC0797"/>
    <w:rsid w:val="00DC1A26"/>
    <w:rsid w:val="00DC1EA0"/>
    <w:rsid w:val="00DC2E8B"/>
    <w:rsid w:val="00DC32B7"/>
    <w:rsid w:val="00DD0FE6"/>
    <w:rsid w:val="00DD2A89"/>
    <w:rsid w:val="00DD57BD"/>
    <w:rsid w:val="00DD7899"/>
    <w:rsid w:val="00DE0793"/>
    <w:rsid w:val="00DE18BB"/>
    <w:rsid w:val="00DE261C"/>
    <w:rsid w:val="00DE3B0F"/>
    <w:rsid w:val="00DE4204"/>
    <w:rsid w:val="00DE43A5"/>
    <w:rsid w:val="00DE64C8"/>
    <w:rsid w:val="00DF223D"/>
    <w:rsid w:val="00DF37B4"/>
    <w:rsid w:val="00DF41B0"/>
    <w:rsid w:val="00DF709D"/>
    <w:rsid w:val="00E0013F"/>
    <w:rsid w:val="00E00883"/>
    <w:rsid w:val="00E05905"/>
    <w:rsid w:val="00E06525"/>
    <w:rsid w:val="00E065F8"/>
    <w:rsid w:val="00E11F57"/>
    <w:rsid w:val="00E12363"/>
    <w:rsid w:val="00E13E51"/>
    <w:rsid w:val="00E15C9C"/>
    <w:rsid w:val="00E162AB"/>
    <w:rsid w:val="00E1771C"/>
    <w:rsid w:val="00E21991"/>
    <w:rsid w:val="00E23725"/>
    <w:rsid w:val="00E24BF9"/>
    <w:rsid w:val="00E25AA8"/>
    <w:rsid w:val="00E271CC"/>
    <w:rsid w:val="00E30801"/>
    <w:rsid w:val="00E314CA"/>
    <w:rsid w:val="00E327E3"/>
    <w:rsid w:val="00E36C77"/>
    <w:rsid w:val="00E4207A"/>
    <w:rsid w:val="00E461C5"/>
    <w:rsid w:val="00E51883"/>
    <w:rsid w:val="00E522FA"/>
    <w:rsid w:val="00E557AD"/>
    <w:rsid w:val="00E56D4A"/>
    <w:rsid w:val="00E5700C"/>
    <w:rsid w:val="00E572D8"/>
    <w:rsid w:val="00E601E1"/>
    <w:rsid w:val="00E60373"/>
    <w:rsid w:val="00E603FB"/>
    <w:rsid w:val="00E60930"/>
    <w:rsid w:val="00E6338C"/>
    <w:rsid w:val="00E64C58"/>
    <w:rsid w:val="00E65514"/>
    <w:rsid w:val="00E67886"/>
    <w:rsid w:val="00E7151E"/>
    <w:rsid w:val="00E71C49"/>
    <w:rsid w:val="00E723F3"/>
    <w:rsid w:val="00E72F61"/>
    <w:rsid w:val="00E74CE9"/>
    <w:rsid w:val="00E75A44"/>
    <w:rsid w:val="00E76EA5"/>
    <w:rsid w:val="00E80FDF"/>
    <w:rsid w:val="00E8251A"/>
    <w:rsid w:val="00E833A8"/>
    <w:rsid w:val="00E853BD"/>
    <w:rsid w:val="00E90393"/>
    <w:rsid w:val="00E94106"/>
    <w:rsid w:val="00EA3400"/>
    <w:rsid w:val="00EA394A"/>
    <w:rsid w:val="00EA7172"/>
    <w:rsid w:val="00EA7A2C"/>
    <w:rsid w:val="00EB104B"/>
    <w:rsid w:val="00EB44A6"/>
    <w:rsid w:val="00EB4A0A"/>
    <w:rsid w:val="00EB5649"/>
    <w:rsid w:val="00EB5E4C"/>
    <w:rsid w:val="00EB6387"/>
    <w:rsid w:val="00EC7C3D"/>
    <w:rsid w:val="00ED0AA2"/>
    <w:rsid w:val="00ED0CD8"/>
    <w:rsid w:val="00ED1CF7"/>
    <w:rsid w:val="00ED4CD1"/>
    <w:rsid w:val="00ED52AD"/>
    <w:rsid w:val="00ED73E0"/>
    <w:rsid w:val="00EE2B1A"/>
    <w:rsid w:val="00EF1236"/>
    <w:rsid w:val="00EF2E68"/>
    <w:rsid w:val="00EF3216"/>
    <w:rsid w:val="00EF39BD"/>
    <w:rsid w:val="00EF473A"/>
    <w:rsid w:val="00EF55AB"/>
    <w:rsid w:val="00EF6BDC"/>
    <w:rsid w:val="00F05E82"/>
    <w:rsid w:val="00F11BB9"/>
    <w:rsid w:val="00F14753"/>
    <w:rsid w:val="00F2165A"/>
    <w:rsid w:val="00F22258"/>
    <w:rsid w:val="00F22DE3"/>
    <w:rsid w:val="00F3099C"/>
    <w:rsid w:val="00F30DDE"/>
    <w:rsid w:val="00F36E8C"/>
    <w:rsid w:val="00F37FE5"/>
    <w:rsid w:val="00F4120C"/>
    <w:rsid w:val="00F418F4"/>
    <w:rsid w:val="00F41BB5"/>
    <w:rsid w:val="00F50462"/>
    <w:rsid w:val="00F5051D"/>
    <w:rsid w:val="00F55CC2"/>
    <w:rsid w:val="00F60023"/>
    <w:rsid w:val="00F6034F"/>
    <w:rsid w:val="00F612F6"/>
    <w:rsid w:val="00F62A47"/>
    <w:rsid w:val="00F63CEE"/>
    <w:rsid w:val="00F64642"/>
    <w:rsid w:val="00F64AAA"/>
    <w:rsid w:val="00F6767B"/>
    <w:rsid w:val="00F728A7"/>
    <w:rsid w:val="00F754BE"/>
    <w:rsid w:val="00F774C2"/>
    <w:rsid w:val="00F80252"/>
    <w:rsid w:val="00F80C4D"/>
    <w:rsid w:val="00F8348B"/>
    <w:rsid w:val="00F84413"/>
    <w:rsid w:val="00F87AEF"/>
    <w:rsid w:val="00F918FC"/>
    <w:rsid w:val="00F947D1"/>
    <w:rsid w:val="00F96710"/>
    <w:rsid w:val="00F96B75"/>
    <w:rsid w:val="00F9795E"/>
    <w:rsid w:val="00FA0BF2"/>
    <w:rsid w:val="00FA1C2D"/>
    <w:rsid w:val="00FA48C7"/>
    <w:rsid w:val="00FA7035"/>
    <w:rsid w:val="00FA73B4"/>
    <w:rsid w:val="00FB65C5"/>
    <w:rsid w:val="00FB67CC"/>
    <w:rsid w:val="00FB6B97"/>
    <w:rsid w:val="00FB6C09"/>
    <w:rsid w:val="00FB7479"/>
    <w:rsid w:val="00FC1E69"/>
    <w:rsid w:val="00FC2B03"/>
    <w:rsid w:val="00FC4731"/>
    <w:rsid w:val="00FC48A1"/>
    <w:rsid w:val="00FC5140"/>
    <w:rsid w:val="00FC57DD"/>
    <w:rsid w:val="00FC6D0E"/>
    <w:rsid w:val="00FC78DC"/>
    <w:rsid w:val="00FC7EDE"/>
    <w:rsid w:val="00FD0235"/>
    <w:rsid w:val="00FD443A"/>
    <w:rsid w:val="00FD7ABB"/>
    <w:rsid w:val="00FE0367"/>
    <w:rsid w:val="00FE13B9"/>
    <w:rsid w:val="00FF1323"/>
    <w:rsid w:val="00FF1C0B"/>
    <w:rsid w:val="00FF2139"/>
    <w:rsid w:val="00FF2B27"/>
    <w:rsid w:val="00FF2D44"/>
    <w:rsid w:val="00FF2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37690"/>
  <w15:docId w15:val="{237E5AE2-91F3-4702-8CC9-14CBF363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504CF"/>
    <w:rPr>
      <w:rFonts w:cs="Arial Unicode MS"/>
      <w:color w:val="000000"/>
      <w:sz w:val="24"/>
      <w:szCs w:val="24"/>
      <w:u w:color="000000"/>
      <w:lang w:val="sv-SE"/>
    </w:rPr>
  </w:style>
  <w:style w:type="paragraph" w:styleId="Heading2">
    <w:name w:val="heading 2"/>
    <w:rsid w:val="00A221FD"/>
    <w:pPr>
      <w:spacing w:before="100" w:after="100"/>
      <w:outlineLvl w:val="1"/>
    </w:pPr>
    <w:rPr>
      <w:rFonts w:cs="Arial Unicode MS"/>
      <w:b/>
      <w:bCs/>
      <w:color w:val="000000"/>
      <w:sz w:val="36"/>
      <w:szCs w:val="36"/>
      <w:u w:color="00000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21FD"/>
    <w:rPr>
      <w:u w:val="single"/>
    </w:rPr>
  </w:style>
  <w:style w:type="table" w:customStyle="1" w:styleId="TableNormal1">
    <w:name w:val="Table Normal1"/>
    <w:rsid w:val="00A221FD"/>
    <w:tblPr>
      <w:tblInd w:w="0" w:type="dxa"/>
      <w:tblCellMar>
        <w:top w:w="0" w:type="dxa"/>
        <w:left w:w="0" w:type="dxa"/>
        <w:bottom w:w="0" w:type="dxa"/>
        <w:right w:w="0" w:type="dxa"/>
      </w:tblCellMar>
    </w:tblPr>
  </w:style>
  <w:style w:type="paragraph" w:customStyle="1" w:styleId="HeaderFooter">
    <w:name w:val="Header &amp; Footer"/>
    <w:rsid w:val="00A221FD"/>
    <w:pPr>
      <w:tabs>
        <w:tab w:val="right" w:pos="9020"/>
      </w:tabs>
    </w:pPr>
    <w:rPr>
      <w:rFonts w:ascii="Helvetica Neue" w:hAnsi="Helvetica Neue" w:cs="Arial Unicode MS"/>
      <w:color w:val="000000"/>
      <w:sz w:val="24"/>
      <w:szCs w:val="24"/>
    </w:rPr>
  </w:style>
  <w:style w:type="character" w:customStyle="1" w:styleId="ndesc">
    <w:name w:val="ndesc"/>
    <w:rsid w:val="00A221FD"/>
  </w:style>
  <w:style w:type="character" w:customStyle="1" w:styleId="None">
    <w:name w:val="None"/>
    <w:rsid w:val="00A221FD"/>
  </w:style>
  <w:style w:type="character" w:customStyle="1" w:styleId="Hyperlink0">
    <w:name w:val="Hyperlink.0"/>
    <w:basedOn w:val="None"/>
    <w:rsid w:val="00A221FD"/>
    <w:rPr>
      <w:kern w:val="2"/>
      <w:vertAlign w:val="superscript"/>
      <w:lang w:val="sv-SE"/>
    </w:rPr>
  </w:style>
  <w:style w:type="character" w:customStyle="1" w:styleId="Link">
    <w:name w:val="Link"/>
    <w:rsid w:val="00A221FD"/>
    <w:rPr>
      <w:color w:val="0000FF"/>
      <w:u w:val="single" w:color="0000FF"/>
      <w:lang w:val="en-US"/>
    </w:rPr>
  </w:style>
  <w:style w:type="paragraph" w:styleId="ListParagraph">
    <w:name w:val="List Paragraph"/>
    <w:rsid w:val="00A221FD"/>
    <w:pPr>
      <w:ind w:left="720"/>
    </w:pPr>
    <w:rPr>
      <w:rFonts w:cs="Arial Unicode MS"/>
      <w:color w:val="000000"/>
      <w:sz w:val="24"/>
      <w:szCs w:val="24"/>
      <w:u w:color="000000"/>
      <w:lang w:val="sv-SE"/>
    </w:rPr>
  </w:style>
  <w:style w:type="numbering" w:customStyle="1" w:styleId="ImportedStyle1">
    <w:name w:val="Imported Style 1"/>
    <w:rsid w:val="00A221FD"/>
    <w:pPr>
      <w:numPr>
        <w:numId w:val="1"/>
      </w:numPr>
    </w:pPr>
  </w:style>
  <w:style w:type="character" w:customStyle="1" w:styleId="Hyperlink1">
    <w:name w:val="Hyperlink.1"/>
    <w:basedOn w:val="None"/>
    <w:rsid w:val="00A221FD"/>
    <w:rPr>
      <w:vertAlign w:val="superscript"/>
    </w:rPr>
  </w:style>
  <w:style w:type="character" w:customStyle="1" w:styleId="Hyperlink2">
    <w:name w:val="Hyperlink.2"/>
    <w:basedOn w:val="None"/>
    <w:rsid w:val="00A221FD"/>
    <w:rPr>
      <w:vertAlign w:val="superscript"/>
      <w:lang w:val="sv-SE"/>
    </w:rPr>
  </w:style>
  <w:style w:type="paragraph" w:customStyle="1" w:styleId="EndNoteBibliography">
    <w:name w:val="EndNote Bibliography"/>
    <w:rsid w:val="00A221FD"/>
    <w:rPr>
      <w:rFonts w:eastAsia="Times New Roman"/>
      <w:color w:val="000000"/>
      <w:sz w:val="24"/>
      <w:szCs w:val="24"/>
      <w:u w:color="000000"/>
    </w:rPr>
  </w:style>
  <w:style w:type="paragraph" w:styleId="Header">
    <w:name w:val="header"/>
    <w:basedOn w:val="Normal"/>
    <w:link w:val="HeaderChar"/>
    <w:uiPriority w:val="99"/>
    <w:unhideWhenUsed/>
    <w:rsid w:val="003536F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536F7"/>
    <w:rPr>
      <w:rFonts w:cs="Arial Unicode MS"/>
      <w:color w:val="000000"/>
      <w:sz w:val="18"/>
      <w:szCs w:val="18"/>
      <w:u w:color="000000"/>
      <w:lang w:val="sv-SE"/>
    </w:rPr>
  </w:style>
  <w:style w:type="paragraph" w:styleId="Footer">
    <w:name w:val="footer"/>
    <w:basedOn w:val="Normal"/>
    <w:link w:val="FooterChar"/>
    <w:uiPriority w:val="99"/>
    <w:unhideWhenUsed/>
    <w:rsid w:val="003536F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3536F7"/>
    <w:rPr>
      <w:rFonts w:cs="Arial Unicode MS"/>
      <w:color w:val="000000"/>
      <w:sz w:val="18"/>
      <w:szCs w:val="18"/>
      <w:u w:color="000000"/>
      <w:lang w:val="sv-SE"/>
    </w:rPr>
  </w:style>
  <w:style w:type="paragraph" w:styleId="BalloonText">
    <w:name w:val="Balloon Text"/>
    <w:basedOn w:val="Normal"/>
    <w:link w:val="BalloonTextChar"/>
    <w:uiPriority w:val="99"/>
    <w:semiHidden/>
    <w:unhideWhenUsed/>
    <w:rsid w:val="00852E7E"/>
    <w:rPr>
      <w:sz w:val="18"/>
      <w:szCs w:val="18"/>
    </w:rPr>
  </w:style>
  <w:style w:type="character" w:customStyle="1" w:styleId="BalloonTextChar">
    <w:name w:val="Balloon Text Char"/>
    <w:basedOn w:val="DefaultParagraphFont"/>
    <w:link w:val="BalloonText"/>
    <w:uiPriority w:val="99"/>
    <w:semiHidden/>
    <w:rsid w:val="00852E7E"/>
    <w:rPr>
      <w:rFonts w:cs="Arial Unicode MS"/>
      <w:color w:val="000000"/>
      <w:sz w:val="18"/>
      <w:szCs w:val="18"/>
      <w:u w:color="000000"/>
      <w:lang w:val="sv-SE"/>
    </w:rPr>
  </w:style>
  <w:style w:type="character" w:customStyle="1" w:styleId="articletext">
    <w:name w:val="articletext"/>
    <w:rsid w:val="00882534"/>
  </w:style>
  <w:style w:type="paragraph" w:styleId="Revision">
    <w:name w:val="Revision"/>
    <w:hidden/>
    <w:uiPriority w:val="99"/>
    <w:semiHidden/>
    <w:rsid w:val="00AC4E19"/>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lang w:val="sv-SE"/>
    </w:rPr>
  </w:style>
  <w:style w:type="character" w:customStyle="1" w:styleId="UnresolvedMention1">
    <w:name w:val="Unresolved Mention1"/>
    <w:basedOn w:val="DefaultParagraphFont"/>
    <w:uiPriority w:val="99"/>
    <w:semiHidden/>
    <w:unhideWhenUsed/>
    <w:rsid w:val="00ED1CF7"/>
    <w:rPr>
      <w:color w:val="605E5C"/>
      <w:shd w:val="clear" w:color="auto" w:fill="E1DFDD"/>
    </w:rPr>
  </w:style>
  <w:style w:type="paragraph" w:customStyle="1" w:styleId="EndNoteBibliographyTitle">
    <w:name w:val="EndNote Bibliography Title"/>
    <w:basedOn w:val="Normal"/>
    <w:link w:val="EndNoteBibliographyTitleChar"/>
    <w:rsid w:val="002144E9"/>
    <w:pPr>
      <w:jc w:val="center"/>
    </w:pPr>
    <w:rPr>
      <w:rFonts w:cs="Times New Roman"/>
      <w:noProof/>
    </w:rPr>
  </w:style>
  <w:style w:type="character" w:customStyle="1" w:styleId="EndNoteBibliographyTitleChar">
    <w:name w:val="EndNote Bibliography Title Char"/>
    <w:basedOn w:val="DefaultParagraphFont"/>
    <w:link w:val="EndNoteBibliographyTitle"/>
    <w:rsid w:val="002144E9"/>
    <w:rPr>
      <w:noProof/>
      <w:color w:val="000000"/>
      <w:sz w:val="24"/>
      <w:szCs w:val="24"/>
      <w:u w:color="000000"/>
      <w:lang w:val="sv-SE"/>
    </w:rPr>
  </w:style>
  <w:style w:type="paragraph" w:styleId="NormalWeb">
    <w:name w:val="Normal (Web)"/>
    <w:basedOn w:val="Normal"/>
    <w:uiPriority w:val="99"/>
    <w:semiHidden/>
    <w:unhideWhenUsed/>
    <w:rsid w:val="0014251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character" w:styleId="CommentReference">
    <w:name w:val="annotation reference"/>
    <w:basedOn w:val="DefaultParagraphFont"/>
    <w:uiPriority w:val="99"/>
    <w:semiHidden/>
    <w:unhideWhenUsed/>
    <w:rsid w:val="001A4648"/>
    <w:rPr>
      <w:sz w:val="21"/>
      <w:szCs w:val="21"/>
    </w:rPr>
  </w:style>
  <w:style w:type="paragraph" w:styleId="CommentText">
    <w:name w:val="annotation text"/>
    <w:basedOn w:val="Normal"/>
    <w:link w:val="CommentTextChar"/>
    <w:uiPriority w:val="99"/>
    <w:unhideWhenUsed/>
    <w:rsid w:val="001A4648"/>
  </w:style>
  <w:style w:type="character" w:customStyle="1" w:styleId="CommentTextChar">
    <w:name w:val="Comment Text Char"/>
    <w:basedOn w:val="DefaultParagraphFont"/>
    <w:link w:val="CommentText"/>
    <w:uiPriority w:val="99"/>
    <w:rsid w:val="001A4648"/>
    <w:rPr>
      <w:rFonts w:cs="Arial Unicode MS"/>
      <w:color w:val="000000"/>
      <w:sz w:val="24"/>
      <w:szCs w:val="24"/>
      <w:u w:color="000000"/>
      <w:lang w:val="sv-SE"/>
    </w:rPr>
  </w:style>
  <w:style w:type="paragraph" w:styleId="CommentSubject">
    <w:name w:val="annotation subject"/>
    <w:basedOn w:val="CommentText"/>
    <w:next w:val="CommentText"/>
    <w:link w:val="CommentSubjectChar"/>
    <w:uiPriority w:val="99"/>
    <w:semiHidden/>
    <w:unhideWhenUsed/>
    <w:rsid w:val="001A4648"/>
    <w:rPr>
      <w:b/>
      <w:bCs/>
    </w:rPr>
  </w:style>
  <w:style w:type="character" w:customStyle="1" w:styleId="CommentSubjectChar">
    <w:name w:val="Comment Subject Char"/>
    <w:basedOn w:val="CommentTextChar"/>
    <w:link w:val="CommentSubject"/>
    <w:uiPriority w:val="99"/>
    <w:semiHidden/>
    <w:rsid w:val="001A4648"/>
    <w:rPr>
      <w:rFonts w:cs="Arial Unicode MS"/>
      <w:b/>
      <w:bCs/>
      <w:color w:val="000000"/>
      <w:sz w:val="24"/>
      <w:szCs w:val="24"/>
      <w:u w:color="000000"/>
      <w:lang w:val="sv-SE"/>
    </w:rPr>
  </w:style>
  <w:style w:type="character" w:customStyle="1" w:styleId="UnresolvedMention2">
    <w:name w:val="Unresolved Mention2"/>
    <w:basedOn w:val="DefaultParagraphFont"/>
    <w:uiPriority w:val="99"/>
    <w:semiHidden/>
    <w:unhideWhenUsed/>
    <w:rsid w:val="00C7037D"/>
    <w:rPr>
      <w:color w:val="605E5C"/>
      <w:shd w:val="clear" w:color="auto" w:fill="E1DFDD"/>
    </w:rPr>
  </w:style>
  <w:style w:type="character" w:customStyle="1" w:styleId="apple-converted-space">
    <w:name w:val="apple-converted-space"/>
    <w:autoRedefine/>
    <w:qFormat/>
    <w:rsid w:val="00E23725"/>
    <w:rPr>
      <w:rFonts w:ascii="Times New Roman" w:hAnsi="Times New Roman" w:cs="Times New Roman" w:hint="default"/>
    </w:rPr>
  </w:style>
  <w:style w:type="character" w:styleId="PlaceholderText">
    <w:name w:val="Placeholder Text"/>
    <w:basedOn w:val="DefaultParagraphFont"/>
    <w:uiPriority w:val="99"/>
    <w:semiHidden/>
    <w:rsid w:val="00A71A3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1142">
      <w:bodyDiv w:val="1"/>
      <w:marLeft w:val="0"/>
      <w:marRight w:val="0"/>
      <w:marTop w:val="0"/>
      <w:marBottom w:val="0"/>
      <w:divBdr>
        <w:top w:val="none" w:sz="0" w:space="0" w:color="auto"/>
        <w:left w:val="none" w:sz="0" w:space="0" w:color="auto"/>
        <w:bottom w:val="none" w:sz="0" w:space="0" w:color="auto"/>
        <w:right w:val="none" w:sz="0" w:space="0" w:color="auto"/>
      </w:divBdr>
    </w:div>
    <w:div w:id="205145811">
      <w:bodyDiv w:val="1"/>
      <w:marLeft w:val="0"/>
      <w:marRight w:val="0"/>
      <w:marTop w:val="0"/>
      <w:marBottom w:val="0"/>
      <w:divBdr>
        <w:top w:val="none" w:sz="0" w:space="0" w:color="auto"/>
        <w:left w:val="none" w:sz="0" w:space="0" w:color="auto"/>
        <w:bottom w:val="none" w:sz="0" w:space="0" w:color="auto"/>
        <w:right w:val="none" w:sz="0" w:space="0" w:color="auto"/>
      </w:divBdr>
    </w:div>
    <w:div w:id="262613710">
      <w:bodyDiv w:val="1"/>
      <w:marLeft w:val="0"/>
      <w:marRight w:val="0"/>
      <w:marTop w:val="0"/>
      <w:marBottom w:val="0"/>
      <w:divBdr>
        <w:top w:val="none" w:sz="0" w:space="0" w:color="auto"/>
        <w:left w:val="none" w:sz="0" w:space="0" w:color="auto"/>
        <w:bottom w:val="none" w:sz="0" w:space="0" w:color="auto"/>
        <w:right w:val="none" w:sz="0" w:space="0" w:color="auto"/>
      </w:divBdr>
    </w:div>
    <w:div w:id="377708326">
      <w:bodyDiv w:val="1"/>
      <w:marLeft w:val="0"/>
      <w:marRight w:val="0"/>
      <w:marTop w:val="0"/>
      <w:marBottom w:val="0"/>
      <w:divBdr>
        <w:top w:val="none" w:sz="0" w:space="0" w:color="auto"/>
        <w:left w:val="none" w:sz="0" w:space="0" w:color="auto"/>
        <w:bottom w:val="none" w:sz="0" w:space="0" w:color="auto"/>
        <w:right w:val="none" w:sz="0" w:space="0" w:color="auto"/>
      </w:divBdr>
    </w:div>
    <w:div w:id="699277579">
      <w:bodyDiv w:val="1"/>
      <w:marLeft w:val="0"/>
      <w:marRight w:val="0"/>
      <w:marTop w:val="0"/>
      <w:marBottom w:val="0"/>
      <w:divBdr>
        <w:top w:val="none" w:sz="0" w:space="0" w:color="auto"/>
        <w:left w:val="none" w:sz="0" w:space="0" w:color="auto"/>
        <w:bottom w:val="none" w:sz="0" w:space="0" w:color="auto"/>
        <w:right w:val="none" w:sz="0" w:space="0" w:color="auto"/>
      </w:divBdr>
    </w:div>
    <w:div w:id="1333341587">
      <w:bodyDiv w:val="1"/>
      <w:marLeft w:val="0"/>
      <w:marRight w:val="0"/>
      <w:marTop w:val="0"/>
      <w:marBottom w:val="0"/>
      <w:divBdr>
        <w:top w:val="none" w:sz="0" w:space="0" w:color="auto"/>
        <w:left w:val="none" w:sz="0" w:space="0" w:color="auto"/>
        <w:bottom w:val="none" w:sz="0" w:space="0" w:color="auto"/>
        <w:right w:val="none" w:sz="0" w:space="0" w:color="auto"/>
      </w:divBdr>
    </w:div>
    <w:div w:id="1478300016">
      <w:bodyDiv w:val="1"/>
      <w:marLeft w:val="0"/>
      <w:marRight w:val="0"/>
      <w:marTop w:val="0"/>
      <w:marBottom w:val="0"/>
      <w:divBdr>
        <w:top w:val="none" w:sz="0" w:space="0" w:color="auto"/>
        <w:left w:val="none" w:sz="0" w:space="0" w:color="auto"/>
        <w:bottom w:val="none" w:sz="0" w:space="0" w:color="auto"/>
        <w:right w:val="none" w:sz="0" w:space="0" w:color="auto"/>
      </w:divBdr>
    </w:div>
    <w:div w:id="1576090195">
      <w:bodyDiv w:val="1"/>
      <w:marLeft w:val="0"/>
      <w:marRight w:val="0"/>
      <w:marTop w:val="0"/>
      <w:marBottom w:val="0"/>
      <w:divBdr>
        <w:top w:val="none" w:sz="0" w:space="0" w:color="auto"/>
        <w:left w:val="none" w:sz="0" w:space="0" w:color="auto"/>
        <w:bottom w:val="none" w:sz="0" w:space="0" w:color="auto"/>
        <w:right w:val="none" w:sz="0" w:space="0" w:color="auto"/>
      </w:divBdr>
      <w:divsChild>
        <w:div w:id="988244086">
          <w:marLeft w:val="0"/>
          <w:marRight w:val="0"/>
          <w:marTop w:val="0"/>
          <w:marBottom w:val="0"/>
          <w:divBdr>
            <w:top w:val="single" w:sz="2" w:space="0" w:color="D9D9E3"/>
            <w:left w:val="single" w:sz="2" w:space="0" w:color="D9D9E3"/>
            <w:bottom w:val="single" w:sz="2" w:space="0" w:color="D9D9E3"/>
            <w:right w:val="single" w:sz="2" w:space="0" w:color="D9D9E3"/>
          </w:divBdr>
          <w:divsChild>
            <w:div w:id="719599504">
              <w:marLeft w:val="0"/>
              <w:marRight w:val="0"/>
              <w:marTop w:val="0"/>
              <w:marBottom w:val="0"/>
              <w:divBdr>
                <w:top w:val="single" w:sz="2" w:space="0" w:color="D9D9E3"/>
                <w:left w:val="single" w:sz="2" w:space="0" w:color="D9D9E3"/>
                <w:bottom w:val="single" w:sz="2" w:space="0" w:color="D9D9E3"/>
                <w:right w:val="single" w:sz="2" w:space="0" w:color="D9D9E3"/>
              </w:divBdr>
              <w:divsChild>
                <w:div w:id="844322630">
                  <w:marLeft w:val="0"/>
                  <w:marRight w:val="0"/>
                  <w:marTop w:val="0"/>
                  <w:marBottom w:val="0"/>
                  <w:divBdr>
                    <w:top w:val="single" w:sz="2" w:space="0" w:color="D9D9E3"/>
                    <w:left w:val="single" w:sz="2" w:space="0" w:color="D9D9E3"/>
                    <w:bottom w:val="single" w:sz="2" w:space="0" w:color="D9D9E3"/>
                    <w:right w:val="single" w:sz="2" w:space="0" w:color="D9D9E3"/>
                  </w:divBdr>
                  <w:divsChild>
                    <w:div w:id="1395615816">
                      <w:marLeft w:val="0"/>
                      <w:marRight w:val="0"/>
                      <w:marTop w:val="0"/>
                      <w:marBottom w:val="0"/>
                      <w:divBdr>
                        <w:top w:val="single" w:sz="2" w:space="0" w:color="D9D9E3"/>
                        <w:left w:val="single" w:sz="2" w:space="0" w:color="D9D9E3"/>
                        <w:bottom w:val="single" w:sz="2" w:space="0" w:color="D9D9E3"/>
                        <w:right w:val="single" w:sz="2" w:space="0" w:color="D9D9E3"/>
                      </w:divBdr>
                      <w:divsChild>
                        <w:div w:id="202912350">
                          <w:marLeft w:val="0"/>
                          <w:marRight w:val="0"/>
                          <w:marTop w:val="0"/>
                          <w:marBottom w:val="0"/>
                          <w:divBdr>
                            <w:top w:val="single" w:sz="2" w:space="0" w:color="auto"/>
                            <w:left w:val="single" w:sz="2" w:space="0" w:color="auto"/>
                            <w:bottom w:val="single" w:sz="6" w:space="0" w:color="auto"/>
                            <w:right w:val="single" w:sz="2" w:space="0" w:color="auto"/>
                          </w:divBdr>
                          <w:divsChild>
                            <w:div w:id="927423868">
                              <w:marLeft w:val="0"/>
                              <w:marRight w:val="0"/>
                              <w:marTop w:val="100"/>
                              <w:marBottom w:val="100"/>
                              <w:divBdr>
                                <w:top w:val="single" w:sz="2" w:space="0" w:color="D9D9E3"/>
                                <w:left w:val="single" w:sz="2" w:space="0" w:color="D9D9E3"/>
                                <w:bottom w:val="single" w:sz="2" w:space="0" w:color="D9D9E3"/>
                                <w:right w:val="single" w:sz="2" w:space="0" w:color="D9D9E3"/>
                              </w:divBdr>
                              <w:divsChild>
                                <w:div w:id="644892158">
                                  <w:marLeft w:val="0"/>
                                  <w:marRight w:val="0"/>
                                  <w:marTop w:val="0"/>
                                  <w:marBottom w:val="0"/>
                                  <w:divBdr>
                                    <w:top w:val="single" w:sz="2" w:space="0" w:color="D9D9E3"/>
                                    <w:left w:val="single" w:sz="2" w:space="0" w:color="D9D9E3"/>
                                    <w:bottom w:val="single" w:sz="2" w:space="0" w:color="D9D9E3"/>
                                    <w:right w:val="single" w:sz="2" w:space="0" w:color="D9D9E3"/>
                                  </w:divBdr>
                                  <w:divsChild>
                                    <w:div w:id="704335638">
                                      <w:marLeft w:val="0"/>
                                      <w:marRight w:val="0"/>
                                      <w:marTop w:val="0"/>
                                      <w:marBottom w:val="0"/>
                                      <w:divBdr>
                                        <w:top w:val="single" w:sz="2" w:space="0" w:color="D9D9E3"/>
                                        <w:left w:val="single" w:sz="2" w:space="0" w:color="D9D9E3"/>
                                        <w:bottom w:val="single" w:sz="2" w:space="0" w:color="D9D9E3"/>
                                        <w:right w:val="single" w:sz="2" w:space="0" w:color="D9D9E3"/>
                                      </w:divBdr>
                                      <w:divsChild>
                                        <w:div w:id="1955137624">
                                          <w:marLeft w:val="0"/>
                                          <w:marRight w:val="0"/>
                                          <w:marTop w:val="0"/>
                                          <w:marBottom w:val="0"/>
                                          <w:divBdr>
                                            <w:top w:val="single" w:sz="2" w:space="0" w:color="D9D9E3"/>
                                            <w:left w:val="single" w:sz="2" w:space="0" w:color="D9D9E3"/>
                                            <w:bottom w:val="single" w:sz="2" w:space="0" w:color="D9D9E3"/>
                                            <w:right w:val="single" w:sz="2" w:space="0" w:color="D9D9E3"/>
                                          </w:divBdr>
                                          <w:divsChild>
                                            <w:div w:id="445076142">
                                              <w:marLeft w:val="0"/>
                                              <w:marRight w:val="0"/>
                                              <w:marTop w:val="0"/>
                                              <w:marBottom w:val="0"/>
                                              <w:divBdr>
                                                <w:top w:val="single" w:sz="2" w:space="0" w:color="D9D9E3"/>
                                                <w:left w:val="single" w:sz="2" w:space="0" w:color="D9D9E3"/>
                                                <w:bottom w:val="single" w:sz="2" w:space="0" w:color="D9D9E3"/>
                                                <w:right w:val="single" w:sz="2" w:space="0" w:color="D9D9E3"/>
                                              </w:divBdr>
                                              <w:divsChild>
                                                <w:div w:id="7878944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786270081">
          <w:marLeft w:val="0"/>
          <w:marRight w:val="0"/>
          <w:marTop w:val="0"/>
          <w:marBottom w:val="0"/>
          <w:divBdr>
            <w:top w:val="none" w:sz="0" w:space="0" w:color="auto"/>
            <w:left w:val="none" w:sz="0" w:space="0" w:color="auto"/>
            <w:bottom w:val="none" w:sz="0" w:space="0" w:color="auto"/>
            <w:right w:val="none" w:sz="0" w:space="0" w:color="auto"/>
          </w:divBdr>
        </w:div>
      </w:divsChild>
    </w:div>
    <w:div w:id="1852573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黑体"/>
        <a:cs typeface="Helvetica Neue"/>
      </a:majorFont>
      <a:minorFont>
        <a:latin typeface="Helvetica Neue"/>
        <a:ea typeface="宋体"/>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等线"/>
            <a:ea typeface="等线"/>
            <a:cs typeface="等线"/>
            <a:sym typeface="等线"/>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等线"/>
            <a:ea typeface="等线"/>
            <a:cs typeface="等线"/>
            <a:sym typeface="等线"/>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1B51B-80A3-444A-95A0-B10ADE145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Poonam Mutha</cp:lastModifiedBy>
  <cp:revision>4</cp:revision>
  <dcterms:created xsi:type="dcterms:W3CDTF">2024-01-30T00:38:00Z</dcterms:created>
  <dcterms:modified xsi:type="dcterms:W3CDTF">2024-01-31T08:57:00Z</dcterms:modified>
</cp:coreProperties>
</file>