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99A5" w14:textId="47CD58CF" w:rsidR="0033270E" w:rsidRPr="0033270E" w:rsidRDefault="00190C0F" w:rsidP="0033270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344A7">
        <w:rPr>
          <w:rFonts w:ascii="Times New Roman" w:hAnsi="Times New Roman" w:cs="Times New Roman"/>
          <w:b/>
          <w:color w:val="FF0000"/>
          <w:sz w:val="24"/>
          <w:szCs w:val="24"/>
        </w:rPr>
        <w:t>Supplementary Materials</w:t>
      </w:r>
    </w:p>
    <w:p w14:paraId="677D81F9" w14:textId="2BD4CB20" w:rsidR="0033270E" w:rsidRPr="0033270E" w:rsidRDefault="0033270E" w:rsidP="0033270E">
      <w:pPr>
        <w:widowControl/>
        <w:rPr>
          <w:rFonts w:ascii="Times New Roman" w:hAnsi="Times New Roman" w:cs="Times New Roman"/>
          <w:b/>
          <w:sz w:val="24"/>
          <w:szCs w:val="24"/>
        </w:rPr>
      </w:pPr>
      <w:r w:rsidRPr="0033270E">
        <w:rPr>
          <w:rFonts w:ascii="Times New Roman" w:hAnsi="Times New Roman" w:cs="Times New Roman"/>
          <w:b/>
          <w:sz w:val="24"/>
          <w:szCs w:val="24"/>
        </w:rPr>
        <w:t xml:space="preserve">Acidic preconditioning induced </w:t>
      </w:r>
      <w:bookmarkStart w:id="0" w:name="_Hlk156464293"/>
      <w:r w:rsidRPr="0033270E">
        <w:rPr>
          <w:rFonts w:ascii="Times New Roman" w:hAnsi="Times New Roman" w:cs="Times New Roman"/>
          <w:b/>
          <w:sz w:val="24"/>
          <w:szCs w:val="24"/>
        </w:rPr>
        <w:t>intracellular acid adaptation</w:t>
      </w:r>
      <w:bookmarkEnd w:id="0"/>
      <w:r w:rsidRPr="0033270E">
        <w:rPr>
          <w:rFonts w:ascii="Times New Roman" w:hAnsi="Times New Roman" w:cs="Times New Roman"/>
          <w:b/>
          <w:sz w:val="24"/>
          <w:szCs w:val="24"/>
        </w:rPr>
        <w:t xml:space="preserve"> to protect renal injury via </w:t>
      </w:r>
      <w:bookmarkStart w:id="1" w:name="_Hlk156901227"/>
      <w:r w:rsidRPr="0033270E">
        <w:rPr>
          <w:rFonts w:ascii="Times New Roman" w:hAnsi="Times New Roman" w:cs="Times New Roman"/>
          <w:b/>
          <w:sz w:val="24"/>
          <w:szCs w:val="24"/>
        </w:rPr>
        <w:t>dynamic phosphorylation of</w:t>
      </w:r>
      <w:bookmarkEnd w:id="1"/>
      <w:r w:rsidRPr="0033270E">
        <w:rPr>
          <w:rFonts w:ascii="Times New Roman" w:hAnsi="Times New Roman" w:cs="Times New Roman"/>
          <w:b/>
          <w:sz w:val="24"/>
          <w:szCs w:val="24"/>
        </w:rPr>
        <w:t xml:space="preserve"> focal adhesion kinase dependent activation of sodium hydrogen exchanger 1 </w:t>
      </w:r>
    </w:p>
    <w:p w14:paraId="5D578248" w14:textId="31A3087C" w:rsidR="0033270E" w:rsidRDefault="0033270E" w:rsidP="0033270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Annan Chen</w:t>
      </w:r>
      <w:r w:rsidRPr="00D552D4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#</w:t>
      </w:r>
      <w:r>
        <w:rPr>
          <w:rFonts w:asciiTheme="majorBidi" w:hAnsiTheme="majorBidi" w:cstheme="majorBidi"/>
        </w:rPr>
        <w:t>, Jian Zhang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#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Zhixin</w:t>
      </w:r>
      <w:proofErr w:type="spellEnd"/>
      <w:r>
        <w:rPr>
          <w:rFonts w:asciiTheme="majorBidi" w:hAnsiTheme="majorBidi" w:cstheme="majorBidi"/>
        </w:rPr>
        <w:t xml:space="preserve"> Yan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#</w:t>
      </w:r>
      <w:r>
        <w:rPr>
          <w:rFonts w:asciiTheme="majorBidi" w:hAnsiTheme="majorBidi" w:cstheme="majorBidi"/>
        </w:rPr>
        <w:t>, Yufei Lu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Weize</w:t>
      </w:r>
      <w:proofErr w:type="spellEnd"/>
      <w:r>
        <w:rPr>
          <w:rFonts w:asciiTheme="majorBidi" w:hAnsiTheme="majorBidi" w:cstheme="majorBidi"/>
        </w:rPr>
        <w:t xml:space="preserve"> Chen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Yingxue</w:t>
      </w:r>
      <w:proofErr w:type="spellEnd"/>
      <w:r>
        <w:rPr>
          <w:rFonts w:asciiTheme="majorBidi" w:hAnsiTheme="majorBidi" w:cstheme="majorBidi"/>
        </w:rPr>
        <w:t xml:space="preserve"> Sun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Qiuyu</w:t>
      </w:r>
      <w:proofErr w:type="spellEnd"/>
      <w:r>
        <w:rPr>
          <w:rFonts w:asciiTheme="majorBidi" w:hAnsiTheme="majorBidi" w:cstheme="majorBidi"/>
        </w:rPr>
        <w:t xml:space="preserve"> Gu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>,</w:t>
      </w:r>
      <w:r w:rsidR="004A1259">
        <w:rPr>
          <w:rFonts w:asciiTheme="majorBidi" w:hAnsiTheme="majorBidi" w:cstheme="majorBidi"/>
        </w:rPr>
        <w:t xml:space="preserve"> Kailin Sun</w:t>
      </w:r>
      <w:r w:rsidR="004A1259" w:rsidRPr="004A1259">
        <w:rPr>
          <w:rFonts w:asciiTheme="majorBidi" w:hAnsiTheme="majorBidi" w:cstheme="majorBidi"/>
          <w:vertAlign w:val="superscript"/>
        </w:rPr>
        <w:t>1</w:t>
      </w:r>
      <w:r w:rsidR="004A1259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Fang Li</w:t>
      </w:r>
      <w:r w:rsidRPr="00635664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>, Yan Yang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, </w:t>
      </w:r>
      <w:r w:rsidR="004A1259">
        <w:rPr>
          <w:rFonts w:asciiTheme="majorBidi" w:hAnsiTheme="majorBidi" w:cstheme="majorBidi"/>
        </w:rPr>
        <w:t>S</w:t>
      </w:r>
      <w:r w:rsidR="004A1259">
        <w:rPr>
          <w:rFonts w:asciiTheme="majorBidi" w:hAnsiTheme="majorBidi" w:cstheme="majorBidi" w:hint="eastAsia"/>
        </w:rPr>
        <w:t>huan</w:t>
      </w:r>
      <w:r w:rsidR="004A1259">
        <w:rPr>
          <w:rFonts w:asciiTheme="majorBidi" w:hAnsiTheme="majorBidi" w:cstheme="majorBidi"/>
        </w:rPr>
        <w:t xml:space="preserve"> Zhao</w:t>
      </w:r>
      <w:r w:rsidR="004A1259" w:rsidRPr="001A5A02">
        <w:rPr>
          <w:rFonts w:asciiTheme="majorBidi" w:hAnsiTheme="majorBidi" w:cstheme="majorBidi"/>
          <w:vertAlign w:val="superscript"/>
        </w:rPr>
        <w:t>1</w:t>
      </w:r>
      <w:r w:rsidR="004A1259">
        <w:rPr>
          <w:rFonts w:asciiTheme="majorBidi" w:hAnsiTheme="majorBidi" w:cstheme="majorBidi"/>
        </w:rPr>
        <w:t xml:space="preserve">, </w:t>
      </w:r>
      <w:proofErr w:type="spellStart"/>
      <w:r w:rsidR="004A1259">
        <w:rPr>
          <w:rFonts w:asciiTheme="majorBidi" w:hAnsiTheme="majorBidi" w:cstheme="majorBidi"/>
        </w:rPr>
        <w:t>Zhouping</w:t>
      </w:r>
      <w:proofErr w:type="spellEnd"/>
      <w:r w:rsidR="004A1259">
        <w:rPr>
          <w:rFonts w:asciiTheme="majorBidi" w:hAnsiTheme="majorBidi" w:cstheme="majorBidi"/>
        </w:rPr>
        <w:t xml:space="preserve"> Zou</w:t>
      </w:r>
      <w:r w:rsidR="004A1259" w:rsidRPr="001A5A02">
        <w:rPr>
          <w:rFonts w:asciiTheme="majorBidi" w:hAnsiTheme="majorBidi" w:cstheme="majorBidi"/>
          <w:vertAlign w:val="superscript"/>
        </w:rPr>
        <w:t>1</w:t>
      </w:r>
      <w:r w:rsidR="004A1259"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Shanfang</w:t>
      </w:r>
      <w:proofErr w:type="spellEnd"/>
      <w:r>
        <w:rPr>
          <w:rFonts w:asciiTheme="majorBidi" w:hAnsiTheme="majorBidi" w:cstheme="majorBidi"/>
        </w:rPr>
        <w:t xml:space="preserve"> Qiu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Xueping</w:t>
      </w:r>
      <w:proofErr w:type="spellEnd"/>
      <w:r>
        <w:rPr>
          <w:rFonts w:asciiTheme="majorBidi" w:hAnsiTheme="majorBidi" w:cstheme="majorBidi"/>
        </w:rPr>
        <w:t xml:space="preserve"> Lin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>, Dong Zhang</w:t>
      </w:r>
      <w:r>
        <w:rPr>
          <w:rFonts w:asciiTheme="majorBidi" w:hAnsiTheme="majorBidi" w:cstheme="majorBidi"/>
          <w:vertAlign w:val="superscript"/>
        </w:rPr>
        <w:t>2</w:t>
      </w:r>
      <w:r>
        <w:rPr>
          <w:rFonts w:asciiTheme="majorBidi" w:hAnsiTheme="majorBidi" w:cstheme="majorBidi"/>
        </w:rPr>
        <w:t>, Jie Teng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, 2</w:t>
      </w:r>
      <w:r>
        <w:rPr>
          <w:rFonts w:asciiTheme="majorBidi" w:hAnsiTheme="majorBidi" w:cstheme="majorBidi"/>
        </w:rPr>
        <w:t>, Yi Fang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>, Bo Shen</w:t>
      </w:r>
      <w:r w:rsidRPr="003A62A4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*</w:t>
      </w:r>
      <w:r>
        <w:rPr>
          <w:rFonts w:asciiTheme="majorBidi" w:hAnsiTheme="majorBidi" w:cstheme="majorBidi"/>
        </w:rPr>
        <w:t>, Nana Song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,3*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Xiaoqiang</w:t>
      </w:r>
      <w:proofErr w:type="spellEnd"/>
      <w:r>
        <w:rPr>
          <w:rFonts w:asciiTheme="majorBidi" w:hAnsiTheme="majorBidi" w:cstheme="majorBidi"/>
        </w:rPr>
        <w:t xml:space="preserve"> Ding</w:t>
      </w:r>
      <w:r w:rsidRPr="001A5A02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  <w:vertAlign w:val="superscript"/>
        </w:rPr>
        <w:t>*</w:t>
      </w:r>
    </w:p>
    <w:p w14:paraId="3ADB3AF0" w14:textId="77777777" w:rsidR="00190C0F" w:rsidRPr="0033270E" w:rsidRDefault="00190C0F" w:rsidP="002344A7">
      <w:pPr>
        <w:rPr>
          <w:rFonts w:ascii="Times New Roman" w:hAnsi="Times New Roman" w:cs="Times New Roman"/>
          <w:sz w:val="20"/>
          <w:szCs w:val="20"/>
        </w:rPr>
      </w:pPr>
    </w:p>
    <w:p w14:paraId="72805EBF" w14:textId="77777777" w:rsidR="00B97947" w:rsidRPr="002344A7" w:rsidRDefault="00B97947" w:rsidP="002344A7">
      <w:pPr>
        <w:rPr>
          <w:rFonts w:ascii="Times New Roman" w:hAnsi="Times New Roman" w:cs="Times New Roman"/>
          <w:sz w:val="20"/>
          <w:szCs w:val="20"/>
        </w:rPr>
      </w:pPr>
    </w:p>
    <w:p w14:paraId="595EE137" w14:textId="43242F49" w:rsidR="00084DF1" w:rsidRPr="00B3197E" w:rsidRDefault="00902D63" w:rsidP="00B3197E">
      <w:pPr>
        <w:rPr>
          <w:rFonts w:ascii="Times New Roman" w:hAnsi="Times New Roman" w:cs="Times New Roman"/>
          <w:b/>
          <w:sz w:val="24"/>
          <w:szCs w:val="24"/>
        </w:rPr>
      </w:pPr>
      <w:r w:rsidRPr="002344A7">
        <w:rPr>
          <w:rFonts w:ascii="Times New Roman" w:hAnsi="Times New Roman" w:cs="Times New Roman"/>
          <w:b/>
          <w:sz w:val="24"/>
          <w:szCs w:val="24"/>
        </w:rPr>
        <w:t>Table of</w:t>
      </w:r>
      <w:r w:rsidRPr="002344A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C47B4" w:rsidRPr="002344A7">
        <w:rPr>
          <w:rFonts w:ascii="Times New Roman" w:hAnsi="Times New Roman" w:cs="Times New Roman"/>
          <w:b/>
          <w:sz w:val="24"/>
          <w:szCs w:val="24"/>
        </w:rPr>
        <w:t>c</w:t>
      </w:r>
      <w:r w:rsidRPr="002344A7">
        <w:rPr>
          <w:rFonts w:ascii="Times New Roman" w:hAnsi="Times New Roman" w:cs="Times New Roman"/>
          <w:b/>
          <w:sz w:val="24"/>
          <w:szCs w:val="24"/>
        </w:rPr>
        <w:t>ontents</w:t>
      </w:r>
    </w:p>
    <w:p w14:paraId="2B196ECF" w14:textId="77777777" w:rsidR="00B3197E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/>
          <w:sz w:val="20"/>
          <w:szCs w:val="20"/>
        </w:rPr>
        <w:t>Figure S1, related to Figure1. Intra-Kidney pH value was measured after IPC, I/R, and IPC+I/R.</w:t>
      </w:r>
    </w:p>
    <w:p w14:paraId="7BED5F95" w14:textId="77777777" w:rsidR="00B3197E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/>
          <w:sz w:val="20"/>
          <w:szCs w:val="20"/>
        </w:rPr>
        <w:t>Figure S2, related to Figure1.</w:t>
      </w:r>
      <w:r w:rsidRPr="00B3197E">
        <w:rPr>
          <w:rFonts w:ascii="Times New Roman" w:hAnsi="Times New Roman" w:cs="Times New Roman" w:hint="eastAsia"/>
          <w:sz w:val="20"/>
          <w:szCs w:val="20"/>
        </w:rPr>
        <w:t xml:space="preserve"> The AP process of PTEC</w:t>
      </w:r>
      <w:r w:rsidRPr="00B3197E">
        <w:rPr>
          <w:rFonts w:ascii="Times New Roman" w:hAnsi="Times New Roman" w:cs="Times New Roman"/>
          <w:sz w:val="20"/>
          <w:szCs w:val="20"/>
        </w:rPr>
        <w:t xml:space="preserve"> </w:t>
      </w:r>
      <w:r w:rsidRPr="00B3197E">
        <w:rPr>
          <w:rFonts w:ascii="Times New Roman" w:hAnsi="Times New Roman" w:cs="Times New Roman" w:hint="eastAsia"/>
          <w:sz w:val="20"/>
          <w:szCs w:val="20"/>
        </w:rPr>
        <w:t>was similar to that of HK2 cells</w:t>
      </w:r>
    </w:p>
    <w:p w14:paraId="29965111" w14:textId="5C78CCC4" w:rsidR="00084DF1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 w:hint="eastAsia"/>
          <w:sz w:val="20"/>
          <w:szCs w:val="20"/>
        </w:rPr>
        <w:t>Immunoblots of cleaved Casp-3 in proximal tubular epithelial cells (PTEC) treated with A12R6 after H/R.</w:t>
      </w:r>
    </w:p>
    <w:p w14:paraId="330B1DBE" w14:textId="77777777" w:rsidR="00B3197E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/>
          <w:sz w:val="20"/>
          <w:szCs w:val="20"/>
        </w:rPr>
        <w:t xml:space="preserve">Figure S3, related to Figure5. </w:t>
      </w:r>
      <w:r w:rsidRPr="00B3197E">
        <w:rPr>
          <w:rFonts w:ascii="Times New Roman" w:hAnsi="Times New Roman" w:cs="Times New Roman" w:hint="eastAsia"/>
          <w:sz w:val="20"/>
          <w:szCs w:val="20"/>
        </w:rPr>
        <w:t>T</w:t>
      </w:r>
      <w:r w:rsidRPr="00B3197E">
        <w:rPr>
          <w:rFonts w:ascii="Times New Roman" w:hAnsi="Times New Roman" w:cs="Times New Roman"/>
          <w:sz w:val="20"/>
          <w:szCs w:val="20"/>
        </w:rPr>
        <w:t xml:space="preserve">he effects of varying treatment times and withdrawal times of </w:t>
      </w:r>
      <w:proofErr w:type="spellStart"/>
      <w:r w:rsidRPr="00B3197E">
        <w:rPr>
          <w:rFonts w:ascii="Times New Roman" w:hAnsi="Times New Roman" w:cs="Times New Roman"/>
          <w:sz w:val="20"/>
          <w:szCs w:val="20"/>
        </w:rPr>
        <w:t>Defacitib</w:t>
      </w:r>
      <w:proofErr w:type="spellEnd"/>
      <w:r w:rsidRPr="00B3197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B3197E">
        <w:rPr>
          <w:rFonts w:ascii="Times New Roman" w:hAnsi="Times New Roman" w:cs="Times New Roman"/>
          <w:sz w:val="20"/>
          <w:szCs w:val="20"/>
        </w:rPr>
        <w:t>Pyrintegrin</w:t>
      </w:r>
      <w:proofErr w:type="spellEnd"/>
      <w:r w:rsidRPr="00B3197E">
        <w:rPr>
          <w:rFonts w:ascii="Times New Roman" w:hAnsi="Times New Roman" w:cs="Times New Roman"/>
          <w:sz w:val="20"/>
          <w:szCs w:val="20"/>
        </w:rPr>
        <w:t xml:space="preserve"> on the phosphorylation level of </w:t>
      </w:r>
      <w:proofErr w:type="spellStart"/>
      <w:r w:rsidRPr="00B3197E">
        <w:rPr>
          <w:rFonts w:ascii="Times New Roman" w:hAnsi="Times New Roman" w:cs="Times New Roman"/>
          <w:sz w:val="20"/>
          <w:szCs w:val="20"/>
        </w:rPr>
        <w:t>pFAK</w:t>
      </w:r>
      <w:proofErr w:type="spellEnd"/>
      <w:r w:rsidRPr="00B3197E">
        <w:rPr>
          <w:rFonts w:ascii="Times New Roman" w:hAnsi="Times New Roman" w:cs="Times New Roman"/>
          <w:sz w:val="20"/>
          <w:szCs w:val="20"/>
        </w:rPr>
        <w:t xml:space="preserve"> Y397 in HK2 cells.</w:t>
      </w:r>
    </w:p>
    <w:p w14:paraId="273EC18A" w14:textId="77777777" w:rsidR="00B3197E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/>
          <w:sz w:val="20"/>
          <w:szCs w:val="20"/>
        </w:rPr>
        <w:t xml:space="preserve">Figure S4, related to Figure6. </w:t>
      </w:r>
      <w:r w:rsidRPr="00B3197E">
        <w:rPr>
          <w:rFonts w:ascii="Times New Roman" w:hAnsi="Times New Roman" w:cs="Times New Roman" w:hint="eastAsia"/>
          <w:sz w:val="20"/>
          <w:szCs w:val="20"/>
        </w:rPr>
        <w:t>The localization of NOX4 in HK2 cells is primarily in the mitochondria.</w:t>
      </w:r>
    </w:p>
    <w:p w14:paraId="5A01C98D" w14:textId="77777777" w:rsidR="00B3197E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/>
          <w:sz w:val="20"/>
          <w:szCs w:val="20"/>
        </w:rPr>
        <w:t>Figure S5, related to Figure6.</w:t>
      </w:r>
      <w:r w:rsidRPr="00B3197E">
        <w:rPr>
          <w:rFonts w:ascii="Times New Roman" w:hAnsi="Times New Roman" w:cs="Times New Roman" w:hint="eastAsia"/>
          <w:sz w:val="20"/>
          <w:szCs w:val="20"/>
        </w:rPr>
        <w:t xml:space="preserve"> Co-localization of </w:t>
      </w:r>
      <w:proofErr w:type="spellStart"/>
      <w:r w:rsidRPr="00B3197E">
        <w:rPr>
          <w:rFonts w:ascii="Times New Roman" w:hAnsi="Times New Roman" w:cs="Times New Roman" w:hint="eastAsia"/>
          <w:sz w:val="20"/>
          <w:szCs w:val="20"/>
        </w:rPr>
        <w:t>pFAK</w:t>
      </w:r>
      <w:proofErr w:type="spellEnd"/>
      <w:r w:rsidRPr="00B3197E">
        <w:rPr>
          <w:rFonts w:ascii="Times New Roman" w:hAnsi="Times New Roman" w:cs="Times New Roman" w:hint="eastAsia"/>
          <w:sz w:val="20"/>
          <w:szCs w:val="20"/>
        </w:rPr>
        <w:t xml:space="preserve"> and NOX4 was also observed in PTEC cells. </w:t>
      </w:r>
    </w:p>
    <w:p w14:paraId="06071ACA" w14:textId="77777777" w:rsidR="00B3197E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/>
          <w:sz w:val="20"/>
          <w:szCs w:val="20"/>
        </w:rPr>
        <w:t xml:space="preserve">Figure S6, related to Figure7. </w:t>
      </w:r>
      <w:r w:rsidRPr="00B3197E">
        <w:rPr>
          <w:rFonts w:ascii="Times New Roman" w:hAnsi="Times New Roman" w:cs="Times New Roman" w:hint="eastAsia"/>
          <w:sz w:val="20"/>
          <w:szCs w:val="20"/>
        </w:rPr>
        <w:t>The colocalization of NHE1 with F-actin and focal adhesions in PTEC cells is similar to that in HK2 cells.</w:t>
      </w:r>
      <w:r w:rsidRPr="00B3197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23C6D5" w14:textId="2D63453C" w:rsidR="00B3197E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/>
          <w:sz w:val="20"/>
          <w:szCs w:val="20"/>
        </w:rPr>
        <w:t>Table S</w:t>
      </w:r>
      <w:r w:rsidRPr="00B3197E">
        <w:rPr>
          <w:rFonts w:ascii="Times New Roman" w:hAnsi="Times New Roman" w:cs="Times New Roman"/>
          <w:sz w:val="20"/>
          <w:szCs w:val="20"/>
        </w:rPr>
        <w:fldChar w:fldCharType="begin"/>
      </w:r>
      <w:r w:rsidRPr="00B3197E">
        <w:rPr>
          <w:rFonts w:ascii="Times New Roman" w:hAnsi="Times New Roman" w:cs="Times New Roman"/>
          <w:sz w:val="20"/>
          <w:szCs w:val="20"/>
        </w:rPr>
        <w:instrText xml:space="preserve"> SEQ </w:instrText>
      </w:r>
      <w:r w:rsidRPr="00B3197E">
        <w:rPr>
          <w:rFonts w:ascii="Times New Roman" w:hAnsi="Times New Roman" w:cs="Times New Roman"/>
          <w:sz w:val="20"/>
          <w:szCs w:val="20"/>
        </w:rPr>
        <w:instrText>表格</w:instrText>
      </w:r>
      <w:r w:rsidRPr="00B3197E">
        <w:rPr>
          <w:rFonts w:ascii="Times New Roman" w:hAnsi="Times New Roman" w:cs="Times New Roman"/>
          <w:sz w:val="20"/>
          <w:szCs w:val="20"/>
        </w:rPr>
        <w:instrText xml:space="preserve"> \* ARABIC </w:instrText>
      </w:r>
      <w:r w:rsidRPr="00B3197E">
        <w:rPr>
          <w:rFonts w:ascii="Times New Roman" w:hAnsi="Times New Roman" w:cs="Times New Roman"/>
          <w:sz w:val="20"/>
          <w:szCs w:val="20"/>
        </w:rPr>
        <w:fldChar w:fldCharType="separate"/>
      </w:r>
      <w:r w:rsidRPr="00B3197E">
        <w:rPr>
          <w:rFonts w:ascii="Times New Roman" w:hAnsi="Times New Roman" w:cs="Times New Roman"/>
          <w:sz w:val="20"/>
          <w:szCs w:val="20"/>
        </w:rPr>
        <w:t>1</w:t>
      </w:r>
      <w:r w:rsidRPr="00B3197E">
        <w:rPr>
          <w:rFonts w:ascii="Times New Roman" w:hAnsi="Times New Roman" w:cs="Times New Roman"/>
          <w:sz w:val="20"/>
          <w:szCs w:val="20"/>
        </w:rPr>
        <w:fldChar w:fldCharType="end"/>
      </w:r>
      <w:r w:rsidRPr="00B3197E">
        <w:rPr>
          <w:rFonts w:ascii="Times New Roman" w:hAnsi="Times New Roman" w:cs="Times New Roman"/>
          <w:sz w:val="20"/>
          <w:szCs w:val="20"/>
        </w:rPr>
        <w:t xml:space="preserve">, related to </w:t>
      </w:r>
      <w:r>
        <w:rPr>
          <w:rFonts w:ascii="Times New Roman" w:hAnsi="Times New Roman" w:cs="Times New Roman"/>
          <w:sz w:val="20"/>
          <w:szCs w:val="20"/>
        </w:rPr>
        <w:t>Key resou</w:t>
      </w:r>
      <w:r w:rsidR="004A1259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ces table.</w:t>
      </w:r>
      <w:r w:rsidRPr="00B3197E">
        <w:rPr>
          <w:rFonts w:ascii="Times New Roman" w:hAnsi="Times New Roman" w:cs="Times New Roman"/>
          <w:sz w:val="20"/>
          <w:szCs w:val="20"/>
        </w:rPr>
        <w:t xml:space="preserve"> Composition and Preparation of Solution</w:t>
      </w:r>
    </w:p>
    <w:p w14:paraId="7BBCAE3C" w14:textId="408B1727" w:rsidR="00B3197E" w:rsidRDefault="00B3197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3040A89" w14:textId="1C3C5CE1" w:rsidR="00B3197E" w:rsidRDefault="00B3197E" w:rsidP="00B3197E">
      <w:pPr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52C3F483" wp14:editId="7A10DD4E">
            <wp:extent cx="2273300" cy="3035300"/>
            <wp:effectExtent l="0" t="0" r="0" b="0"/>
            <wp:docPr id="20580368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03681" name="图片 1" descr="图表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47FB2" w14:textId="77777777" w:rsidR="00B3197E" w:rsidRPr="00B3197E" w:rsidRDefault="00B3197E" w:rsidP="00B3197E">
      <w:pPr>
        <w:adjustRightInd w:val="0"/>
        <w:snapToGrid w:val="0"/>
        <w:rPr>
          <w:rFonts w:ascii="Times New Roman" w:hAnsi="Times New Roman" w:cs="Times New Roman"/>
          <w:b/>
          <w:sz w:val="20"/>
          <w:szCs w:val="20"/>
        </w:rPr>
      </w:pPr>
      <w:r w:rsidRPr="00B3197E">
        <w:rPr>
          <w:rFonts w:ascii="Times New Roman" w:hAnsi="Times New Roman" w:cs="Times New Roman"/>
          <w:b/>
          <w:sz w:val="20"/>
          <w:szCs w:val="20"/>
        </w:rPr>
        <w:t>Figure S1, related to Figure1. Intra-Kidney pH value was measured after IPC, I/R, and IPC+I/R.</w:t>
      </w:r>
    </w:p>
    <w:p w14:paraId="59B39220" w14:textId="77777777" w:rsidR="00B3197E" w:rsidRPr="00B3197E" w:rsidRDefault="00B3197E" w:rsidP="00B3197E">
      <w:pPr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 w:hint="eastAsia"/>
          <w:sz w:val="20"/>
          <w:szCs w:val="20"/>
        </w:rPr>
        <w:t>D</w:t>
      </w:r>
      <w:r w:rsidRPr="00B3197E">
        <w:rPr>
          <w:rFonts w:ascii="Times New Roman" w:hAnsi="Times New Roman" w:cs="Times New Roman"/>
          <w:sz w:val="20"/>
          <w:szCs w:val="20"/>
        </w:rPr>
        <w:t>ata are mean ± SEM. *p&lt;0.05</w:t>
      </w:r>
      <w:r w:rsidRPr="00B3197E">
        <w:rPr>
          <w:rFonts w:ascii="Times New Roman" w:hAnsi="Times New Roman" w:cs="Times New Roman" w:hint="eastAsia"/>
          <w:sz w:val="20"/>
          <w:szCs w:val="20"/>
        </w:rPr>
        <w:t>,</w:t>
      </w:r>
      <w:r w:rsidRPr="00B3197E">
        <w:rPr>
          <w:rFonts w:ascii="Times New Roman" w:hAnsi="Times New Roman" w:cs="Times New Roman"/>
          <w:sz w:val="20"/>
          <w:szCs w:val="20"/>
        </w:rPr>
        <w:t xml:space="preserve"> ****p</w:t>
      </w:r>
      <w:r w:rsidRPr="00B3197E">
        <w:rPr>
          <w:rFonts w:ascii="Times New Roman" w:hAnsi="Times New Roman" w:cs="Times New Roman"/>
          <w:sz w:val="20"/>
          <w:szCs w:val="20"/>
        </w:rPr>
        <w:t>＜</w:t>
      </w:r>
      <w:r w:rsidRPr="00B3197E">
        <w:rPr>
          <w:rFonts w:ascii="Times New Roman" w:hAnsi="Times New Roman" w:cs="Times New Roman"/>
          <w:sz w:val="20"/>
          <w:szCs w:val="20"/>
        </w:rPr>
        <w:t xml:space="preserve">0.0001. One-way ANOVA followed by Sidak’s </w:t>
      </w:r>
      <w:proofErr w:type="spellStart"/>
      <w:r w:rsidRPr="00B3197E">
        <w:rPr>
          <w:rFonts w:ascii="Times New Roman" w:hAnsi="Times New Roman" w:cs="Times New Roman"/>
          <w:sz w:val="20"/>
          <w:szCs w:val="20"/>
        </w:rPr>
        <w:t>post test</w:t>
      </w:r>
      <w:proofErr w:type="spellEnd"/>
      <w:r w:rsidRPr="00B3197E">
        <w:rPr>
          <w:rFonts w:ascii="Times New Roman" w:hAnsi="Times New Roman" w:cs="Times New Roman"/>
          <w:sz w:val="20"/>
          <w:szCs w:val="20"/>
        </w:rPr>
        <w:t>.</w:t>
      </w:r>
    </w:p>
    <w:p w14:paraId="58F9B3E2" w14:textId="221562E9" w:rsidR="00B3197E" w:rsidRDefault="00B3197E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29805738" w14:textId="6E5D82C5" w:rsidR="00B3197E" w:rsidRPr="004A4344" w:rsidRDefault="00B3197E" w:rsidP="00B3197E">
      <w:pPr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146EA4F3" wp14:editId="5AE35A90">
            <wp:extent cx="4991100" cy="2984500"/>
            <wp:effectExtent l="0" t="0" r="0" b="0"/>
            <wp:docPr id="18719574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57494" name="图片 18719574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6D245" w14:textId="77777777" w:rsidR="00B3197E" w:rsidRPr="00B3197E" w:rsidRDefault="00B3197E" w:rsidP="00B3197E">
      <w:pPr>
        <w:rPr>
          <w:rFonts w:ascii="Times New Roman" w:hAnsi="Times New Roman" w:cs="Times New Roman"/>
          <w:b/>
          <w:sz w:val="20"/>
          <w:szCs w:val="20"/>
        </w:rPr>
      </w:pPr>
      <w:r w:rsidRPr="00B3197E">
        <w:rPr>
          <w:rFonts w:ascii="Times New Roman" w:hAnsi="Times New Roman" w:cs="Times New Roman"/>
          <w:b/>
          <w:sz w:val="20"/>
          <w:szCs w:val="20"/>
        </w:rPr>
        <w:t>Figure S2, related to Figure1.</w:t>
      </w:r>
      <w:r w:rsidRPr="00B3197E">
        <w:rPr>
          <w:rFonts w:ascii="Times New Roman" w:hAnsi="Times New Roman" w:cs="Times New Roman" w:hint="eastAsia"/>
          <w:b/>
          <w:sz w:val="20"/>
          <w:szCs w:val="20"/>
        </w:rPr>
        <w:t xml:space="preserve"> The AP process of PTEC</w:t>
      </w:r>
      <w:r w:rsidRPr="00B319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3197E">
        <w:rPr>
          <w:rFonts w:ascii="Times New Roman" w:hAnsi="Times New Roman" w:cs="Times New Roman" w:hint="eastAsia"/>
          <w:b/>
          <w:sz w:val="20"/>
          <w:szCs w:val="20"/>
        </w:rPr>
        <w:t>was similar to that of HK2 cells</w:t>
      </w:r>
    </w:p>
    <w:p w14:paraId="2F6D93DC" w14:textId="77777777" w:rsidR="00B3197E" w:rsidRPr="00B3197E" w:rsidRDefault="00B3197E" w:rsidP="00B3197E">
      <w:pPr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 w:hint="eastAsia"/>
          <w:sz w:val="20"/>
          <w:szCs w:val="20"/>
        </w:rPr>
        <w:t>Immunoblots of cleaved Casp-3 in proximal tubular epithelial cells (PTEC) treated with A12R6 after H/R. D</w:t>
      </w:r>
      <w:r w:rsidRPr="00B3197E">
        <w:rPr>
          <w:rFonts w:ascii="Times New Roman" w:hAnsi="Times New Roman" w:cs="Times New Roman"/>
          <w:sz w:val="20"/>
          <w:szCs w:val="20"/>
        </w:rPr>
        <w:t>ata are mean ± SEM. **p</w:t>
      </w:r>
      <w:r w:rsidRPr="00B3197E">
        <w:rPr>
          <w:rFonts w:ascii="Times New Roman" w:hAnsi="Times New Roman" w:cs="Times New Roman"/>
          <w:sz w:val="20"/>
          <w:szCs w:val="20"/>
        </w:rPr>
        <w:t>＜</w:t>
      </w:r>
      <w:r w:rsidRPr="00B3197E">
        <w:rPr>
          <w:rFonts w:ascii="Times New Roman" w:hAnsi="Times New Roman" w:cs="Times New Roman"/>
          <w:sz w:val="20"/>
          <w:szCs w:val="20"/>
        </w:rPr>
        <w:t xml:space="preserve">0.01. One-way ANOVA followed by Sidak’s </w:t>
      </w:r>
      <w:proofErr w:type="spellStart"/>
      <w:r w:rsidRPr="00B3197E">
        <w:rPr>
          <w:rFonts w:ascii="Times New Roman" w:hAnsi="Times New Roman" w:cs="Times New Roman"/>
          <w:sz w:val="20"/>
          <w:szCs w:val="20"/>
        </w:rPr>
        <w:t>post test</w:t>
      </w:r>
      <w:proofErr w:type="spellEnd"/>
      <w:r w:rsidRPr="00B3197E">
        <w:rPr>
          <w:rFonts w:ascii="Times New Roman" w:hAnsi="Times New Roman" w:cs="Times New Roman"/>
          <w:sz w:val="20"/>
          <w:szCs w:val="20"/>
        </w:rPr>
        <w:t>.</w:t>
      </w:r>
    </w:p>
    <w:p w14:paraId="19CE1CE4" w14:textId="3B9EB944" w:rsidR="00B3197E" w:rsidRDefault="00B3197E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533628D7" w14:textId="6D2E5E2B" w:rsidR="00B3197E" w:rsidRPr="00C34804" w:rsidRDefault="00B3197E" w:rsidP="00B3197E">
      <w:pPr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26DF811F" wp14:editId="4E8F33AC">
            <wp:extent cx="5080000" cy="2133600"/>
            <wp:effectExtent l="0" t="0" r="0" b="0"/>
            <wp:docPr id="1022002341" name="图片 3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02341" name="图片 3" descr="图示&#10;&#10;中度可信度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712A0" w14:textId="77777777" w:rsidR="00B3197E" w:rsidRPr="00B3197E" w:rsidRDefault="00B3197E" w:rsidP="00B3197E">
      <w:pPr>
        <w:rPr>
          <w:rFonts w:ascii="Times New Roman" w:hAnsi="Times New Roman" w:cs="Times New Roman"/>
          <w:b/>
          <w:sz w:val="20"/>
          <w:szCs w:val="20"/>
        </w:rPr>
      </w:pPr>
      <w:r w:rsidRPr="00B3197E">
        <w:rPr>
          <w:rFonts w:ascii="Times New Roman" w:hAnsi="Times New Roman" w:cs="Times New Roman"/>
          <w:b/>
          <w:sz w:val="20"/>
          <w:szCs w:val="20"/>
        </w:rPr>
        <w:t xml:space="preserve">Figure S3, related to Figure5. </w:t>
      </w:r>
      <w:r w:rsidRPr="00B3197E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B3197E">
        <w:rPr>
          <w:rFonts w:ascii="Times New Roman" w:hAnsi="Times New Roman" w:cs="Times New Roman"/>
          <w:b/>
          <w:sz w:val="20"/>
          <w:szCs w:val="20"/>
        </w:rPr>
        <w:t xml:space="preserve">he effects of varying treatment times and withdrawal times of </w:t>
      </w:r>
      <w:proofErr w:type="spellStart"/>
      <w:r w:rsidRPr="00B3197E">
        <w:rPr>
          <w:rFonts w:ascii="Times New Roman" w:hAnsi="Times New Roman" w:cs="Times New Roman"/>
          <w:b/>
          <w:sz w:val="20"/>
          <w:szCs w:val="20"/>
        </w:rPr>
        <w:t>Defacitib</w:t>
      </w:r>
      <w:proofErr w:type="spellEnd"/>
      <w:r w:rsidRPr="00B3197E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B3197E">
        <w:rPr>
          <w:rFonts w:ascii="Times New Roman" w:hAnsi="Times New Roman" w:cs="Times New Roman"/>
          <w:b/>
          <w:sz w:val="20"/>
          <w:szCs w:val="20"/>
        </w:rPr>
        <w:t>Pyrintegrin</w:t>
      </w:r>
      <w:proofErr w:type="spellEnd"/>
      <w:r w:rsidRPr="00B3197E">
        <w:rPr>
          <w:rFonts w:ascii="Times New Roman" w:hAnsi="Times New Roman" w:cs="Times New Roman"/>
          <w:b/>
          <w:sz w:val="20"/>
          <w:szCs w:val="20"/>
        </w:rPr>
        <w:t xml:space="preserve"> on the phosphorylation level of </w:t>
      </w:r>
      <w:proofErr w:type="spellStart"/>
      <w:r w:rsidRPr="00B3197E">
        <w:rPr>
          <w:rFonts w:ascii="Times New Roman" w:hAnsi="Times New Roman" w:cs="Times New Roman"/>
          <w:b/>
          <w:sz w:val="20"/>
          <w:szCs w:val="20"/>
        </w:rPr>
        <w:t>pFAK</w:t>
      </w:r>
      <w:proofErr w:type="spellEnd"/>
      <w:r w:rsidRPr="00B3197E">
        <w:rPr>
          <w:rFonts w:ascii="Times New Roman" w:hAnsi="Times New Roman" w:cs="Times New Roman"/>
          <w:b/>
          <w:sz w:val="20"/>
          <w:szCs w:val="20"/>
        </w:rPr>
        <w:t xml:space="preserve"> Y397 in HK2 cells.</w:t>
      </w:r>
    </w:p>
    <w:p w14:paraId="42D235A7" w14:textId="5FC9905A" w:rsidR="00B3197E" w:rsidRDefault="00B3197E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2B3BB24" w14:textId="7A13DD0C" w:rsidR="00B3197E" w:rsidRPr="00B3197E" w:rsidRDefault="00B3197E" w:rsidP="00B3197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67141303" wp14:editId="599D9A86">
            <wp:extent cx="5143500" cy="2895600"/>
            <wp:effectExtent l="0" t="0" r="0" b="0"/>
            <wp:docPr id="1381126362" name="图片 4" descr="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26362" name="图片 4" descr="背景图案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123FC" w14:textId="77777777" w:rsidR="00B3197E" w:rsidRPr="00B3197E" w:rsidRDefault="00B3197E" w:rsidP="00B3197E">
      <w:pPr>
        <w:rPr>
          <w:rFonts w:ascii="Times New Roman" w:hAnsi="Times New Roman" w:cs="Times New Roman"/>
          <w:b/>
          <w:sz w:val="20"/>
          <w:szCs w:val="20"/>
        </w:rPr>
      </w:pPr>
      <w:r w:rsidRPr="00B3197E">
        <w:rPr>
          <w:rFonts w:ascii="Times New Roman" w:hAnsi="Times New Roman" w:cs="Times New Roman"/>
          <w:b/>
          <w:sz w:val="20"/>
          <w:szCs w:val="20"/>
        </w:rPr>
        <w:t xml:space="preserve">Figure S4, related to Figure6. </w:t>
      </w:r>
      <w:r w:rsidRPr="00B3197E">
        <w:rPr>
          <w:rFonts w:ascii="Times New Roman" w:hAnsi="Times New Roman" w:cs="Times New Roman" w:hint="eastAsia"/>
          <w:b/>
          <w:sz w:val="20"/>
          <w:szCs w:val="20"/>
        </w:rPr>
        <w:t>The localization of NOX4 in HK2 cells is primarily in the mitochondria.</w:t>
      </w:r>
    </w:p>
    <w:p w14:paraId="4AAE25A1" w14:textId="77777777" w:rsidR="00B3197E" w:rsidRPr="00B3197E" w:rsidRDefault="00B3197E" w:rsidP="00B3197E">
      <w:pPr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/>
          <w:sz w:val="20"/>
          <w:szCs w:val="20"/>
        </w:rPr>
        <w:t xml:space="preserve">Staining of NHE1 (green, anti-NHE1), NOX4 (red, anti-NOX4), Calnexin (magenta, anti-Calnexin) and NOX4 </w:t>
      </w:r>
      <w:proofErr w:type="gramStart"/>
      <w:r w:rsidRPr="00B3197E">
        <w:rPr>
          <w:rFonts w:ascii="Times New Roman" w:hAnsi="Times New Roman" w:cs="Times New Roman"/>
          <w:sz w:val="20"/>
          <w:szCs w:val="20"/>
        </w:rPr>
        <w:t>( magenta</w:t>
      </w:r>
      <w:proofErr w:type="gramEnd"/>
      <w:r w:rsidRPr="00B3197E">
        <w:rPr>
          <w:rFonts w:ascii="Times New Roman" w:hAnsi="Times New Roman" w:cs="Times New Roman"/>
          <w:sz w:val="20"/>
          <w:szCs w:val="20"/>
        </w:rPr>
        <w:t>, anti-NOX4) in HK2 cells.</w:t>
      </w:r>
    </w:p>
    <w:p w14:paraId="15E67C57" w14:textId="541F23E0" w:rsidR="00B3197E" w:rsidRDefault="00B3197E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49B0335F" w14:textId="71C2E109" w:rsidR="00B3197E" w:rsidRDefault="00B3197E" w:rsidP="00B3197E">
      <w:pPr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5C400ADB" wp14:editId="716269D2">
            <wp:extent cx="5143500" cy="1460500"/>
            <wp:effectExtent l="0" t="0" r="0" b="0"/>
            <wp:docPr id="12800502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50238" name="图片 12800502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CC9D5" w14:textId="77777777" w:rsidR="00B3197E" w:rsidRPr="00B3197E" w:rsidRDefault="00B3197E" w:rsidP="00B3197E">
      <w:pPr>
        <w:rPr>
          <w:rFonts w:ascii="Times New Roman" w:hAnsi="Times New Roman" w:cs="Times New Roman"/>
          <w:b/>
          <w:sz w:val="20"/>
          <w:szCs w:val="20"/>
        </w:rPr>
      </w:pPr>
      <w:r w:rsidRPr="00B3197E">
        <w:rPr>
          <w:rFonts w:ascii="Times New Roman" w:hAnsi="Times New Roman" w:cs="Times New Roman"/>
          <w:b/>
          <w:sz w:val="20"/>
          <w:szCs w:val="20"/>
        </w:rPr>
        <w:t>Figure S5, related to Figure6.</w:t>
      </w:r>
      <w:r w:rsidRPr="00B3197E">
        <w:rPr>
          <w:rFonts w:ascii="Times New Roman" w:hAnsi="Times New Roman" w:cs="Times New Roman" w:hint="eastAsia"/>
          <w:b/>
          <w:sz w:val="20"/>
          <w:szCs w:val="20"/>
        </w:rPr>
        <w:t xml:space="preserve"> Co-localization of </w:t>
      </w:r>
      <w:proofErr w:type="spellStart"/>
      <w:r w:rsidRPr="00B3197E">
        <w:rPr>
          <w:rFonts w:ascii="Times New Roman" w:hAnsi="Times New Roman" w:cs="Times New Roman" w:hint="eastAsia"/>
          <w:b/>
          <w:sz w:val="20"/>
          <w:szCs w:val="20"/>
        </w:rPr>
        <w:t>pFAK</w:t>
      </w:r>
      <w:proofErr w:type="spellEnd"/>
      <w:r w:rsidRPr="00B3197E">
        <w:rPr>
          <w:rFonts w:ascii="Times New Roman" w:hAnsi="Times New Roman" w:cs="Times New Roman" w:hint="eastAsia"/>
          <w:b/>
          <w:sz w:val="20"/>
          <w:szCs w:val="20"/>
        </w:rPr>
        <w:t xml:space="preserve"> and NOX4 was also observed in PTEC cells. </w:t>
      </w:r>
    </w:p>
    <w:p w14:paraId="2517BB02" w14:textId="77777777" w:rsidR="00B3197E" w:rsidRPr="00B3197E" w:rsidRDefault="00B3197E" w:rsidP="00B3197E">
      <w:pPr>
        <w:rPr>
          <w:rFonts w:ascii="Times New Roman" w:hAnsi="Times New Roman" w:cs="Times New Roman"/>
          <w:sz w:val="20"/>
          <w:szCs w:val="20"/>
        </w:rPr>
      </w:pPr>
      <w:r w:rsidRPr="00B3197E">
        <w:rPr>
          <w:rFonts w:ascii="Times New Roman" w:hAnsi="Times New Roman" w:cs="Times New Roman" w:hint="eastAsia"/>
          <w:sz w:val="20"/>
          <w:szCs w:val="20"/>
        </w:rPr>
        <w:t xml:space="preserve">Immunofluorescence staining of </w:t>
      </w:r>
      <w:proofErr w:type="spellStart"/>
      <w:r w:rsidRPr="00B3197E">
        <w:rPr>
          <w:rFonts w:ascii="Times New Roman" w:hAnsi="Times New Roman" w:cs="Times New Roman" w:hint="eastAsia"/>
          <w:sz w:val="20"/>
          <w:szCs w:val="20"/>
        </w:rPr>
        <w:t>pFAK</w:t>
      </w:r>
      <w:proofErr w:type="spellEnd"/>
      <w:r w:rsidRPr="00B3197E">
        <w:rPr>
          <w:rFonts w:ascii="Times New Roman" w:hAnsi="Times New Roman" w:cs="Times New Roman" w:hint="eastAsia"/>
          <w:sz w:val="20"/>
          <w:szCs w:val="20"/>
        </w:rPr>
        <w:t xml:space="preserve"> (green</w:t>
      </w:r>
      <w:r w:rsidRPr="00B3197E">
        <w:rPr>
          <w:rFonts w:ascii="Times New Roman" w:hAnsi="Times New Roman" w:cs="Times New Roman"/>
          <w:sz w:val="20"/>
          <w:szCs w:val="20"/>
        </w:rPr>
        <w:t>, anti-</w:t>
      </w:r>
      <w:proofErr w:type="spellStart"/>
      <w:r w:rsidRPr="00B3197E">
        <w:rPr>
          <w:rFonts w:ascii="Times New Roman" w:hAnsi="Times New Roman" w:cs="Times New Roman"/>
          <w:sz w:val="20"/>
          <w:szCs w:val="20"/>
        </w:rPr>
        <w:t>pFAK</w:t>
      </w:r>
      <w:proofErr w:type="spellEnd"/>
      <w:r w:rsidRPr="00B3197E">
        <w:rPr>
          <w:rFonts w:ascii="Times New Roman" w:hAnsi="Times New Roman" w:cs="Times New Roman" w:hint="eastAsia"/>
          <w:sz w:val="20"/>
          <w:szCs w:val="20"/>
        </w:rPr>
        <w:t>) and NOX4 (red</w:t>
      </w:r>
      <w:r w:rsidRPr="00B3197E">
        <w:rPr>
          <w:rFonts w:ascii="Times New Roman" w:hAnsi="Times New Roman" w:cs="Times New Roman"/>
          <w:sz w:val="20"/>
          <w:szCs w:val="20"/>
        </w:rPr>
        <w:t>, anti-NOX4</w:t>
      </w:r>
      <w:r w:rsidRPr="00B3197E">
        <w:rPr>
          <w:rFonts w:ascii="Times New Roman" w:hAnsi="Times New Roman" w:cs="Times New Roman" w:hint="eastAsia"/>
          <w:sz w:val="20"/>
          <w:szCs w:val="20"/>
        </w:rPr>
        <w:t>) was conducted in PTEC cells.</w:t>
      </w:r>
    </w:p>
    <w:p w14:paraId="1A6E1245" w14:textId="07AFAC0A" w:rsidR="00B3197E" w:rsidRDefault="00B3197E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7967BE04" w14:textId="273591B2" w:rsidR="00B3197E" w:rsidRDefault="00C9559F" w:rsidP="00B3197E">
      <w:pPr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4D23292A" wp14:editId="50A7958C">
            <wp:extent cx="4096626" cy="5455920"/>
            <wp:effectExtent l="0" t="0" r="0" b="0"/>
            <wp:docPr id="1553866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66400" name="图片 15538664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668" cy="546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FB30B" w14:textId="77777777" w:rsidR="00B3197E" w:rsidRPr="00B3197E" w:rsidRDefault="00B3197E" w:rsidP="00B3197E">
      <w:pPr>
        <w:rPr>
          <w:rFonts w:ascii="Times New Roman" w:hAnsi="Times New Roman" w:cs="Times New Roman"/>
          <w:b/>
          <w:sz w:val="20"/>
          <w:szCs w:val="20"/>
        </w:rPr>
      </w:pPr>
      <w:r w:rsidRPr="00B3197E">
        <w:rPr>
          <w:rFonts w:ascii="Times New Roman" w:hAnsi="Times New Roman" w:cs="Times New Roman"/>
          <w:b/>
          <w:sz w:val="20"/>
          <w:szCs w:val="20"/>
        </w:rPr>
        <w:t xml:space="preserve">Figure S6, related to Figure7. </w:t>
      </w:r>
      <w:r w:rsidRPr="00B3197E">
        <w:rPr>
          <w:rFonts w:ascii="Times New Roman" w:hAnsi="Times New Roman" w:cs="Times New Roman" w:hint="eastAsia"/>
          <w:b/>
          <w:sz w:val="20"/>
          <w:szCs w:val="20"/>
        </w:rPr>
        <w:t>The colocalization of NHE1 with F-actin and focal adhesions in PTEC cells is similar to that in HK2 cells.</w:t>
      </w:r>
      <w:r w:rsidRPr="00B3197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C922682" w14:textId="0E759A27" w:rsidR="00B3197E" w:rsidRPr="00B3197E" w:rsidRDefault="00C9559F" w:rsidP="00B3197E">
      <w:pPr>
        <w:rPr>
          <w:rFonts w:ascii="Times New Roman" w:hAnsi="Times New Roman" w:cs="Times New Roman"/>
          <w:sz w:val="20"/>
          <w:szCs w:val="20"/>
        </w:rPr>
      </w:pPr>
      <w:r w:rsidRPr="00C9559F"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,</w:t>
      </w:r>
      <w:r w:rsidR="00B3197E" w:rsidRPr="00B3197E">
        <w:rPr>
          <w:rFonts w:ascii="Times New Roman" w:hAnsi="Times New Roman" w:cs="Times New Roman"/>
          <w:sz w:val="20"/>
          <w:szCs w:val="20"/>
        </w:rPr>
        <w:t xml:space="preserve"> Staining of NHE1 (red, anti-NHE1) and F-actin (green, Phalloidin-FITC) for staining. </w:t>
      </w:r>
      <w:r w:rsidRPr="00C9559F"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,</w:t>
      </w:r>
      <w:r w:rsidR="00B3197E" w:rsidRPr="00B3197E">
        <w:rPr>
          <w:rFonts w:ascii="Times New Roman" w:hAnsi="Times New Roman" w:cs="Times New Roman"/>
          <w:sz w:val="20"/>
          <w:szCs w:val="20"/>
        </w:rPr>
        <w:t xml:space="preserve"> Staining of NHE1 (green, anti-NHE1) and </w:t>
      </w:r>
      <w:proofErr w:type="spellStart"/>
      <w:r w:rsidR="00B3197E" w:rsidRPr="00B3197E">
        <w:rPr>
          <w:rFonts w:ascii="Times New Roman" w:hAnsi="Times New Roman" w:cs="Times New Roman"/>
          <w:sz w:val="20"/>
          <w:szCs w:val="20"/>
        </w:rPr>
        <w:t>pFAK</w:t>
      </w:r>
      <w:proofErr w:type="spellEnd"/>
      <w:r w:rsidR="00B3197E" w:rsidRPr="00B3197E">
        <w:rPr>
          <w:rFonts w:ascii="Times New Roman" w:hAnsi="Times New Roman" w:cs="Times New Roman"/>
          <w:sz w:val="20"/>
          <w:szCs w:val="20"/>
        </w:rPr>
        <w:t xml:space="preserve"> (red, anti-</w:t>
      </w:r>
      <w:proofErr w:type="spellStart"/>
      <w:r w:rsidR="00B3197E" w:rsidRPr="00B3197E">
        <w:rPr>
          <w:rFonts w:ascii="Times New Roman" w:hAnsi="Times New Roman" w:cs="Times New Roman"/>
          <w:sz w:val="20"/>
          <w:szCs w:val="20"/>
        </w:rPr>
        <w:t>pFAK</w:t>
      </w:r>
      <w:proofErr w:type="spellEnd"/>
      <w:r w:rsidR="00B3197E" w:rsidRPr="00B3197E">
        <w:rPr>
          <w:rFonts w:ascii="Times New Roman" w:hAnsi="Times New Roman" w:cs="Times New Roman"/>
          <w:sz w:val="20"/>
          <w:szCs w:val="20"/>
        </w:rPr>
        <w:t>) in PTEC cells.</w:t>
      </w:r>
    </w:p>
    <w:p w14:paraId="6DDC3CD7" w14:textId="0DD5B990" w:rsidR="00B3197E" w:rsidRDefault="00B3197E" w:rsidP="00B3197E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/>
      </w:r>
    </w:p>
    <w:p w14:paraId="5B3C7645" w14:textId="77777777" w:rsidR="00B3197E" w:rsidRDefault="00B3197E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11B2A7A2" w14:textId="77777777" w:rsidR="00B3197E" w:rsidRPr="00C06387" w:rsidRDefault="00B3197E" w:rsidP="00B3197E">
      <w:pPr>
        <w:rPr>
          <w:rFonts w:ascii="Arial" w:hAnsi="Arial" w:cs="Arial"/>
          <w:szCs w:val="21"/>
        </w:rPr>
      </w:pPr>
    </w:p>
    <w:p w14:paraId="3516E85C" w14:textId="77777777" w:rsidR="00B3197E" w:rsidRPr="00B3197E" w:rsidRDefault="00B3197E" w:rsidP="00B3197E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3197E">
        <w:rPr>
          <w:rFonts w:ascii="Times New Roman" w:hAnsi="Times New Roman" w:cs="Times New Roman"/>
          <w:bCs/>
          <w:sz w:val="20"/>
          <w:szCs w:val="20"/>
        </w:rPr>
        <w:t>Table S</w:t>
      </w:r>
      <w:r w:rsidRPr="00B3197E">
        <w:rPr>
          <w:rFonts w:ascii="Times New Roman" w:hAnsi="Times New Roman" w:cs="Times New Roman"/>
          <w:bCs/>
          <w:sz w:val="20"/>
          <w:szCs w:val="20"/>
        </w:rPr>
        <w:fldChar w:fldCharType="begin"/>
      </w:r>
      <w:r w:rsidRPr="00B3197E">
        <w:rPr>
          <w:rFonts w:ascii="Times New Roman" w:hAnsi="Times New Roman" w:cs="Times New Roman"/>
          <w:bCs/>
          <w:sz w:val="20"/>
          <w:szCs w:val="20"/>
        </w:rPr>
        <w:instrText xml:space="preserve"> SEQ </w:instrText>
      </w:r>
      <w:r w:rsidRPr="00B3197E">
        <w:rPr>
          <w:rFonts w:ascii="Times New Roman" w:hAnsi="Times New Roman" w:cs="Times New Roman"/>
          <w:bCs/>
          <w:sz w:val="20"/>
          <w:szCs w:val="20"/>
        </w:rPr>
        <w:instrText>表格</w:instrText>
      </w:r>
      <w:r w:rsidRPr="00B3197E">
        <w:rPr>
          <w:rFonts w:ascii="Times New Roman" w:hAnsi="Times New Roman" w:cs="Times New Roman"/>
          <w:bCs/>
          <w:sz w:val="20"/>
          <w:szCs w:val="20"/>
        </w:rPr>
        <w:instrText xml:space="preserve"> \* ARABIC </w:instrText>
      </w:r>
      <w:r w:rsidRPr="00B3197E">
        <w:rPr>
          <w:rFonts w:ascii="Times New Roman" w:hAnsi="Times New Roman" w:cs="Times New Roman"/>
          <w:bCs/>
          <w:sz w:val="20"/>
          <w:szCs w:val="20"/>
        </w:rPr>
        <w:fldChar w:fldCharType="separate"/>
      </w:r>
      <w:r w:rsidRPr="00B3197E">
        <w:rPr>
          <w:rFonts w:ascii="Times New Roman" w:hAnsi="Times New Roman" w:cs="Times New Roman"/>
          <w:bCs/>
          <w:sz w:val="20"/>
          <w:szCs w:val="20"/>
        </w:rPr>
        <w:t>1</w:t>
      </w:r>
      <w:r w:rsidRPr="00B3197E">
        <w:rPr>
          <w:rFonts w:ascii="Times New Roman" w:hAnsi="Times New Roman" w:cs="Times New Roman"/>
          <w:bCs/>
          <w:sz w:val="20"/>
          <w:szCs w:val="20"/>
        </w:rPr>
        <w:fldChar w:fldCharType="end"/>
      </w:r>
      <w:r w:rsidRPr="00B3197E">
        <w:rPr>
          <w:rFonts w:ascii="Times New Roman" w:hAnsi="Times New Roman" w:cs="Times New Roman"/>
          <w:bCs/>
          <w:sz w:val="20"/>
          <w:szCs w:val="20"/>
        </w:rPr>
        <w:t xml:space="preserve"> Composition and Preparation of Solution</w:t>
      </w:r>
    </w:p>
    <w:tbl>
      <w:tblPr>
        <w:tblStyle w:val="a9"/>
        <w:tblW w:w="853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1659"/>
        <w:gridCol w:w="1659"/>
        <w:gridCol w:w="1541"/>
        <w:gridCol w:w="118"/>
        <w:gridCol w:w="1542"/>
        <w:gridCol w:w="118"/>
      </w:tblGrid>
      <w:tr w:rsidR="00B3197E" w:rsidRPr="00B3197E" w14:paraId="7B2E3028" w14:textId="77777777" w:rsidTr="00B7143A">
        <w:trPr>
          <w:gridAfter w:val="1"/>
          <w:wAfter w:w="118" w:type="dxa"/>
        </w:trPr>
        <w:tc>
          <w:tcPr>
            <w:tcW w:w="1895" w:type="dxa"/>
            <w:tcBorders>
              <w:bottom w:val="single" w:sz="4" w:space="0" w:color="auto"/>
            </w:tcBorders>
            <w:vAlign w:val="center"/>
          </w:tcPr>
          <w:p w14:paraId="4ADCECC2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Component (mM)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1873B86E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Sample Buffer</w:t>
            </w: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2A77014B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pH Calibration Buffer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32796FF7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NH4Cl Buffer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vAlign w:val="center"/>
          </w:tcPr>
          <w:p w14:paraId="77C928C6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Low Chloride Medium</w:t>
            </w:r>
          </w:p>
        </w:tc>
      </w:tr>
      <w:tr w:rsidR="00B3197E" w:rsidRPr="00B3197E" w14:paraId="077D5491" w14:textId="77777777" w:rsidTr="00B7143A">
        <w:tc>
          <w:tcPr>
            <w:tcW w:w="1895" w:type="dxa"/>
            <w:tcBorders>
              <w:bottom w:val="nil"/>
              <w:right w:val="nil"/>
            </w:tcBorders>
            <w:vAlign w:val="center"/>
          </w:tcPr>
          <w:p w14:paraId="35FA7507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</w:p>
        </w:tc>
        <w:tc>
          <w:tcPr>
            <w:tcW w:w="1659" w:type="dxa"/>
            <w:tcBorders>
              <w:left w:val="nil"/>
              <w:bottom w:val="nil"/>
              <w:right w:val="nil"/>
            </w:tcBorders>
            <w:vAlign w:val="center"/>
          </w:tcPr>
          <w:p w14:paraId="6468692E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659" w:type="dxa"/>
            <w:tcBorders>
              <w:left w:val="nil"/>
              <w:bottom w:val="nil"/>
              <w:right w:val="nil"/>
            </w:tcBorders>
            <w:vAlign w:val="center"/>
          </w:tcPr>
          <w:p w14:paraId="1497E92C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2D90032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660" w:type="dxa"/>
            <w:gridSpan w:val="2"/>
            <w:tcBorders>
              <w:left w:val="nil"/>
              <w:bottom w:val="nil"/>
            </w:tcBorders>
            <w:vAlign w:val="center"/>
          </w:tcPr>
          <w:p w14:paraId="79E95561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3197E" w:rsidRPr="00B3197E" w14:paraId="1196F37F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6E21E88F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Sodium Gluconate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3A465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686A4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81426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EF9D617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3197E" w:rsidRPr="00B3197E" w14:paraId="12463868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6707F905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NaHCO3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2343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9124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ED6B6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09FECA5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3197E" w:rsidRPr="00B3197E" w14:paraId="6093B5D0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2AEEA5AE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D686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08764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6EC11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A9B3D83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3197E" w:rsidRPr="00B3197E" w14:paraId="2FCB9AF9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1DB2C3A2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NH4Cl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D3DF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810CA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8FC1B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03C9924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3197E" w:rsidRPr="00B3197E" w14:paraId="6902C441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31051255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CaCl2</w:t>
            </w:r>
          </w:p>
        </w:tc>
        <w:tc>
          <w:tcPr>
            <w:tcW w:w="6637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2A9D20DF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3197E" w:rsidRPr="00B3197E" w14:paraId="6307BBA7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2A2FE920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MgCl2</w:t>
            </w:r>
          </w:p>
        </w:tc>
        <w:tc>
          <w:tcPr>
            <w:tcW w:w="6637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0B0F3F9A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B3197E" w:rsidRPr="00B3197E" w14:paraId="400BFE59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3AB6E529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NaH2PO4</w:t>
            </w:r>
          </w:p>
        </w:tc>
        <w:tc>
          <w:tcPr>
            <w:tcW w:w="6637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15823A87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3197E" w:rsidRPr="00B3197E" w14:paraId="40CB1051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272963BE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6637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79E42778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3197E" w:rsidRPr="00B3197E" w14:paraId="6B70CAA5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493DD8A7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HEPES</w:t>
            </w:r>
          </w:p>
        </w:tc>
        <w:tc>
          <w:tcPr>
            <w:tcW w:w="6637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4AD67B7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3197E" w:rsidRPr="00B3197E" w14:paraId="32E6AD76" w14:textId="77777777" w:rsidTr="00B7143A">
        <w:tc>
          <w:tcPr>
            <w:tcW w:w="1895" w:type="dxa"/>
            <w:tcBorders>
              <w:top w:val="nil"/>
              <w:bottom w:val="nil"/>
              <w:right w:val="nil"/>
            </w:tcBorders>
            <w:vAlign w:val="center"/>
          </w:tcPr>
          <w:p w14:paraId="611AFCBF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1F4D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0A6BC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～</w:t>
            </w: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6B5C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5A8AC4D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</w:tr>
      <w:tr w:rsidR="00B3197E" w:rsidRPr="00B3197E" w14:paraId="2ACF7BC4" w14:textId="77777777" w:rsidTr="00B7143A">
        <w:tc>
          <w:tcPr>
            <w:tcW w:w="1895" w:type="dxa"/>
            <w:tcBorders>
              <w:top w:val="nil"/>
              <w:right w:val="nil"/>
            </w:tcBorders>
            <w:vAlign w:val="center"/>
          </w:tcPr>
          <w:p w14:paraId="56995724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Nigericin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vAlign w:val="center"/>
          </w:tcPr>
          <w:p w14:paraId="53B0E0A9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vAlign w:val="center"/>
          </w:tcPr>
          <w:p w14:paraId="43A79267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A85F8C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</w:tcBorders>
            <w:vAlign w:val="center"/>
          </w:tcPr>
          <w:p w14:paraId="6C664770" w14:textId="77777777" w:rsidR="00B3197E" w:rsidRPr="00B3197E" w:rsidRDefault="00B3197E" w:rsidP="00B31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36622C2" w14:textId="7EF0E4E9" w:rsidR="00DC18C4" w:rsidRPr="00B3197E" w:rsidRDefault="00DC18C4" w:rsidP="00B3197E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sectPr w:rsidR="00DC18C4" w:rsidRPr="00B31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AB30F" w14:textId="77777777" w:rsidR="004343D8" w:rsidRDefault="004343D8" w:rsidP="003558A1">
      <w:r>
        <w:separator/>
      </w:r>
    </w:p>
  </w:endnote>
  <w:endnote w:type="continuationSeparator" w:id="0">
    <w:p w14:paraId="02DBC29C" w14:textId="77777777" w:rsidR="004343D8" w:rsidRDefault="004343D8" w:rsidP="0035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BE169" w14:textId="77777777" w:rsidR="004343D8" w:rsidRDefault="004343D8" w:rsidP="003558A1">
      <w:r>
        <w:separator/>
      </w:r>
    </w:p>
  </w:footnote>
  <w:footnote w:type="continuationSeparator" w:id="0">
    <w:p w14:paraId="103B720D" w14:textId="77777777" w:rsidR="004343D8" w:rsidRDefault="004343D8" w:rsidP="00355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0F"/>
    <w:rsid w:val="00047DD3"/>
    <w:rsid w:val="000717CF"/>
    <w:rsid w:val="00084DF1"/>
    <w:rsid w:val="000A5F84"/>
    <w:rsid w:val="000C02B2"/>
    <w:rsid w:val="000C47B4"/>
    <w:rsid w:val="000C48A3"/>
    <w:rsid w:val="0013798D"/>
    <w:rsid w:val="00154BA7"/>
    <w:rsid w:val="00190C0F"/>
    <w:rsid w:val="001F67DD"/>
    <w:rsid w:val="001F778B"/>
    <w:rsid w:val="00224ACA"/>
    <w:rsid w:val="00226FF3"/>
    <w:rsid w:val="002344A7"/>
    <w:rsid w:val="00257131"/>
    <w:rsid w:val="002624C6"/>
    <w:rsid w:val="002C3BE9"/>
    <w:rsid w:val="002D1707"/>
    <w:rsid w:val="0033270E"/>
    <w:rsid w:val="003555F7"/>
    <w:rsid w:val="003558A1"/>
    <w:rsid w:val="00380BEE"/>
    <w:rsid w:val="004343D8"/>
    <w:rsid w:val="004424BB"/>
    <w:rsid w:val="0046662B"/>
    <w:rsid w:val="0047346A"/>
    <w:rsid w:val="00494D5B"/>
    <w:rsid w:val="004A1259"/>
    <w:rsid w:val="00512F62"/>
    <w:rsid w:val="00541BE4"/>
    <w:rsid w:val="005A5388"/>
    <w:rsid w:val="005B62BB"/>
    <w:rsid w:val="005C2D5A"/>
    <w:rsid w:val="005F13A4"/>
    <w:rsid w:val="00607374"/>
    <w:rsid w:val="006825BB"/>
    <w:rsid w:val="00693CFE"/>
    <w:rsid w:val="006978F5"/>
    <w:rsid w:val="00715F04"/>
    <w:rsid w:val="007256BC"/>
    <w:rsid w:val="007327BD"/>
    <w:rsid w:val="007C27FF"/>
    <w:rsid w:val="007C286C"/>
    <w:rsid w:val="007D4678"/>
    <w:rsid w:val="007E4E00"/>
    <w:rsid w:val="00826E53"/>
    <w:rsid w:val="00863DE3"/>
    <w:rsid w:val="00877AF8"/>
    <w:rsid w:val="008E3562"/>
    <w:rsid w:val="008F776C"/>
    <w:rsid w:val="0090091D"/>
    <w:rsid w:val="00902D63"/>
    <w:rsid w:val="00954CB9"/>
    <w:rsid w:val="00956E04"/>
    <w:rsid w:val="009604BE"/>
    <w:rsid w:val="00963598"/>
    <w:rsid w:val="009F61AB"/>
    <w:rsid w:val="00A06647"/>
    <w:rsid w:val="00A24A08"/>
    <w:rsid w:val="00A4059F"/>
    <w:rsid w:val="00A435A9"/>
    <w:rsid w:val="00A559EA"/>
    <w:rsid w:val="00A9255D"/>
    <w:rsid w:val="00AB684B"/>
    <w:rsid w:val="00AD7F81"/>
    <w:rsid w:val="00AF2DB3"/>
    <w:rsid w:val="00AF7479"/>
    <w:rsid w:val="00B242DA"/>
    <w:rsid w:val="00B3197E"/>
    <w:rsid w:val="00B57F3D"/>
    <w:rsid w:val="00B7360A"/>
    <w:rsid w:val="00B86D1F"/>
    <w:rsid w:val="00B97947"/>
    <w:rsid w:val="00C9559F"/>
    <w:rsid w:val="00CA2CFE"/>
    <w:rsid w:val="00CC4EDE"/>
    <w:rsid w:val="00CE6882"/>
    <w:rsid w:val="00CF2A9A"/>
    <w:rsid w:val="00D1502E"/>
    <w:rsid w:val="00D32862"/>
    <w:rsid w:val="00D52FA9"/>
    <w:rsid w:val="00D74347"/>
    <w:rsid w:val="00D95483"/>
    <w:rsid w:val="00DA2A6C"/>
    <w:rsid w:val="00DC18C4"/>
    <w:rsid w:val="00E072AD"/>
    <w:rsid w:val="00E132EC"/>
    <w:rsid w:val="00E43910"/>
    <w:rsid w:val="00E44414"/>
    <w:rsid w:val="00E64467"/>
    <w:rsid w:val="00E67179"/>
    <w:rsid w:val="00E8266E"/>
    <w:rsid w:val="00E97BC2"/>
    <w:rsid w:val="00ED69BC"/>
    <w:rsid w:val="00EF3580"/>
    <w:rsid w:val="00F05DC6"/>
    <w:rsid w:val="00F50671"/>
    <w:rsid w:val="00F65CD4"/>
    <w:rsid w:val="00F66D02"/>
    <w:rsid w:val="00F840F9"/>
    <w:rsid w:val="00F934DD"/>
    <w:rsid w:val="00F93AD0"/>
    <w:rsid w:val="00FA4A38"/>
    <w:rsid w:val="00FA75B5"/>
    <w:rsid w:val="00FC7EC2"/>
    <w:rsid w:val="00FE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844CD"/>
  <w15:docId w15:val="{1342E5BA-B541-4BB2-A4E5-79E2AB30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58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5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58A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C47B4"/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uiPriority w:val="99"/>
    <w:semiHidden/>
    <w:rsid w:val="000C47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682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nana song</cp:lastModifiedBy>
  <cp:revision>7</cp:revision>
  <dcterms:created xsi:type="dcterms:W3CDTF">2024-01-23T11:23:00Z</dcterms:created>
  <dcterms:modified xsi:type="dcterms:W3CDTF">2024-01-30T05:48:00Z</dcterms:modified>
</cp:coreProperties>
</file>