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cs="Arial"/>
          <w:b/>
          <w:bCs/>
          <w:sz w:val="28"/>
          <w:szCs w:val="28"/>
        </w:rPr>
      </w:pPr>
      <w:r>
        <w:rPr>
          <w:rFonts w:hint="default" w:ascii="Arial" w:hAnsi="Arial" w:cs="Arial"/>
          <w:color w:val="auto"/>
          <w:sz w:val="28"/>
          <w:szCs w:val="28"/>
        </w:rPr>
        <w:t>Su</w:t>
      </w:r>
      <w:r>
        <w:rPr>
          <w:rFonts w:hint="default" w:ascii="Arial" w:hAnsi="Arial" w:cs="Arial"/>
          <w:color w:val="auto"/>
          <w:sz w:val="28"/>
          <w:szCs w:val="28"/>
          <w:lang w:val="en-US" w:eastAsia="zh-CN"/>
        </w:rPr>
        <w:t>pporting</w:t>
      </w:r>
      <w:r>
        <w:rPr>
          <w:rFonts w:hint="default" w:ascii="Arial" w:hAnsi="Arial" w:cs="Arial"/>
          <w:color w:val="auto"/>
          <w:sz w:val="28"/>
          <w:szCs w:val="28"/>
        </w:rPr>
        <w:t xml:space="preserve"> </w:t>
      </w:r>
      <w:r>
        <w:rPr>
          <w:rFonts w:hint="default" w:ascii="Arial" w:hAnsi="Arial" w:cs="Arial"/>
          <w:color w:val="auto"/>
          <w:sz w:val="28"/>
          <w:szCs w:val="28"/>
          <w:lang w:val="en-US" w:eastAsia="zh-CN"/>
        </w:rPr>
        <w:t xml:space="preserve">Information </w:t>
      </w:r>
      <w:r>
        <w:rPr>
          <w:rFonts w:hint="default" w:ascii="Arial" w:hAnsi="Arial" w:cs="Arial"/>
          <w:color w:val="auto"/>
          <w:sz w:val="28"/>
          <w:szCs w:val="28"/>
        </w:rPr>
        <w:t>for</w:t>
      </w:r>
    </w:p>
    <w:p>
      <w:pPr>
        <w:spacing w:line="480" w:lineRule="auto"/>
        <w:jc w:val="center"/>
        <w:rPr>
          <w:rFonts w:hint="eastAsia" w:ascii="Arial" w:hAnsi="Arial" w:cs="Arial"/>
          <w:b/>
          <w:bCs/>
        </w:rPr>
      </w:pPr>
      <w:r>
        <w:rPr>
          <w:rFonts w:hint="eastAsia" w:ascii="Arial" w:hAnsi="Arial" w:cs="Arial"/>
          <w:b/>
          <w:bCs/>
        </w:rPr>
        <w:t>Unveiling the Hidden Role of SNRPB2 in HCC: A Promising Target for Therapy</w:t>
      </w:r>
    </w:p>
    <w:p>
      <w:pPr>
        <w:spacing w:line="480" w:lineRule="auto"/>
        <w:jc w:val="center"/>
        <w:rPr>
          <w:rFonts w:hint="eastAsia" w:ascii="Arial" w:hAnsi="Arial" w:cs="Arial"/>
          <w:b/>
          <w:bCs/>
        </w:rPr>
      </w:pPr>
      <w:bookmarkStart w:id="0" w:name="_GoBack"/>
      <w:bookmarkEnd w:id="0"/>
    </w:p>
    <w:p>
      <w:pPr>
        <w:spacing w:line="480" w:lineRule="auto"/>
        <w:jc w:val="center"/>
        <w:rPr>
          <w:rFonts w:ascii="Arial" w:hAnsi="Arial" w:eastAsia="宋体" w:cs="Arial"/>
        </w:rPr>
      </w:pPr>
      <w:r>
        <w:rPr>
          <w:rFonts w:ascii="Arial" w:hAnsi="Arial" w:eastAsia="宋体" w:cs="Arial"/>
        </w:rPr>
        <w:t>Jiaxing Guo</w:t>
      </w:r>
      <w:r>
        <w:rPr>
          <w:rFonts w:ascii="Arial" w:hAnsi="Arial" w:eastAsia="宋体" w:cs="Arial"/>
          <w:vertAlign w:val="superscript"/>
        </w:rPr>
        <w:t>1</w:t>
      </w:r>
      <w:r>
        <w:rPr>
          <w:rFonts w:ascii="Arial" w:hAnsi="Arial" w:eastAsia="宋体" w:cs="Arial"/>
        </w:rPr>
        <w:t>,</w:t>
      </w:r>
      <w:r>
        <w:rPr>
          <w:rFonts w:hint="eastAsia" w:ascii="Arial" w:hAnsi="Arial" w:eastAsia="宋体" w:cs="Arial"/>
          <w:lang w:val="en-US" w:eastAsia="zh-CN"/>
        </w:rPr>
        <w:t xml:space="preserve"> </w:t>
      </w:r>
      <w:r>
        <w:rPr>
          <w:rFonts w:hint="eastAsia" w:ascii="Arial" w:hAnsi="Arial" w:eastAsia="宋体" w:cs="Arial"/>
        </w:rPr>
        <w:t>Lingshu Li</w:t>
      </w:r>
      <w:r>
        <w:rPr>
          <w:rFonts w:hint="eastAsia" w:ascii="Arial" w:hAnsi="Arial" w:eastAsia="宋体" w:cs="Arial"/>
          <w:vertAlign w:val="superscript"/>
          <w:lang w:val="en-US" w:eastAsia="zh-CN"/>
        </w:rPr>
        <w:t>1</w:t>
      </w:r>
      <w:r>
        <w:rPr>
          <w:rFonts w:ascii="Arial" w:hAnsi="Arial" w:eastAsia="宋体" w:cs="Arial"/>
        </w:rPr>
        <w:t xml:space="preserve">, </w:t>
      </w:r>
      <w:r>
        <w:rPr>
          <w:rFonts w:hint="default" w:ascii="Arial" w:hAnsi="Arial" w:eastAsia="宋体" w:cs="Arial"/>
        </w:rPr>
        <w:t>Haiyan Wang</w:t>
      </w:r>
      <w:r>
        <w:rPr>
          <w:rFonts w:hint="eastAsia" w:ascii="Arial" w:hAnsi="Arial" w:eastAsia="宋体" w:cs="Arial"/>
          <w:vertAlign w:val="superscript"/>
          <w:lang w:val="en-US" w:eastAsia="zh-CN"/>
        </w:rPr>
        <w:t>2</w:t>
      </w:r>
      <w:r>
        <w:rPr>
          <w:rFonts w:hint="eastAsia" w:ascii="Arial" w:hAnsi="Arial" w:eastAsia="宋体" w:cs="Arial"/>
          <w:vertAlign w:val="baseline"/>
          <w:lang w:val="en-US" w:eastAsia="zh-CN"/>
        </w:rPr>
        <w:t xml:space="preserve">, </w:t>
      </w:r>
      <w:r>
        <w:rPr>
          <w:rFonts w:hint="eastAsia" w:ascii="Arial" w:hAnsi="Arial" w:eastAsia="宋体" w:cs="Arial"/>
        </w:rPr>
        <w:t>Zhenqin Gao</w:t>
      </w:r>
      <w:r>
        <w:rPr>
          <w:rFonts w:hint="eastAsia" w:ascii="Arial" w:hAnsi="Arial" w:eastAsia="宋体" w:cs="Arial"/>
          <w:vertAlign w:val="superscript"/>
          <w:lang w:val="en-US" w:eastAsia="zh-CN"/>
        </w:rPr>
        <w:t>3</w:t>
      </w:r>
      <w:r>
        <w:rPr>
          <w:rFonts w:ascii="Arial" w:hAnsi="Arial" w:eastAsia="宋体" w:cs="Arial"/>
        </w:rPr>
        <w:t xml:space="preserve">, </w:t>
      </w:r>
      <w:r>
        <w:rPr>
          <w:rFonts w:hint="eastAsia" w:ascii="Arial" w:hAnsi="Arial" w:eastAsia="宋体" w:cs="Arial"/>
          <w:lang w:val="en-US" w:eastAsia="zh-CN"/>
        </w:rPr>
        <w:t>Chanjuan Shen</w:t>
      </w:r>
      <w:r>
        <w:rPr>
          <w:rFonts w:ascii="Arial" w:hAnsi="Arial" w:eastAsia="宋体" w:cs="Arial"/>
          <w:vertAlign w:val="superscript"/>
        </w:rPr>
        <w:t>1</w:t>
      </w:r>
      <w:r>
        <w:rPr>
          <w:rFonts w:ascii="Arial" w:hAnsi="Arial" w:eastAsia="宋体" w:cs="Arial"/>
        </w:rPr>
        <w:t>*, Bokang Yan</w:t>
      </w:r>
      <w:r>
        <w:rPr>
          <w:rFonts w:hint="eastAsia" w:ascii="Arial" w:hAnsi="Arial" w:eastAsia="宋体" w:cs="Arial"/>
          <w:vertAlign w:val="superscript"/>
          <w:lang w:val="en-US" w:eastAsia="zh-CN"/>
        </w:rPr>
        <w:t>3</w:t>
      </w:r>
      <w:r>
        <w:rPr>
          <w:rFonts w:ascii="Arial" w:hAnsi="Arial" w:eastAsia="宋体" w:cs="Arial"/>
        </w:rPr>
        <w:t>*</w:t>
      </w: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jc w:val="center"/>
        <w:rPr>
          <w:rFonts w:hint="eastAsia" w:ascii="Arial" w:hAnsi="Arial" w:cs="Arial"/>
          <w:sz w:val="21"/>
          <w:szCs w:val="21"/>
          <w:lang w:val="en-US" w:eastAsia="zh-CN"/>
        </w:rPr>
      </w:pPr>
      <w:r>
        <w:rPr>
          <w:rFonts w:ascii="Arial" w:hAnsi="Arial" w:eastAsia="宋体" w:cs="Arial"/>
          <w:sz w:val="21"/>
          <w:szCs w:val="21"/>
        </w:rPr>
        <w:t>*</w:t>
      </w:r>
      <w:r>
        <w:rPr>
          <w:rFonts w:ascii="Arial" w:hAnsi="Arial" w:cs="Arial"/>
          <w:sz w:val="21"/>
          <w:szCs w:val="21"/>
        </w:rPr>
        <w:t xml:space="preserve">Correspondence: Bokang Yan </w:t>
      </w:r>
      <w:r>
        <w:rPr>
          <w:rFonts w:ascii="Arial" w:hAnsi="Arial" w:cs="Arial"/>
          <w:sz w:val="21"/>
          <w:szCs w:val="21"/>
        </w:rPr>
        <w:fldChar w:fldCharType="begin"/>
      </w:r>
      <w:r>
        <w:rPr>
          <w:rFonts w:ascii="Arial" w:hAnsi="Arial" w:cs="Arial"/>
          <w:sz w:val="21"/>
          <w:szCs w:val="21"/>
        </w:rPr>
        <w:instrText xml:space="preserve"> HYPERLINK "mailto:(bokangyan2022@163.com)" </w:instrText>
      </w:r>
      <w:r>
        <w:rPr>
          <w:rFonts w:ascii="Arial" w:hAnsi="Arial" w:cs="Arial"/>
          <w:sz w:val="21"/>
          <w:szCs w:val="21"/>
        </w:rPr>
        <w:fldChar w:fldCharType="separate"/>
      </w:r>
      <w:r>
        <w:rPr>
          <w:rStyle w:val="5"/>
          <w:rFonts w:ascii="Arial" w:hAnsi="Arial" w:cs="Arial"/>
          <w:sz w:val="21"/>
          <w:szCs w:val="21"/>
        </w:rPr>
        <w:t>(bokangyan2022@163.com)</w:t>
      </w:r>
      <w:r>
        <w:rPr>
          <w:rFonts w:ascii="Arial" w:hAnsi="Arial" w:cs="Arial"/>
          <w:sz w:val="21"/>
          <w:szCs w:val="21"/>
        </w:rPr>
        <w:fldChar w:fldCharType="end"/>
      </w:r>
      <w:r>
        <w:rPr>
          <w:rFonts w:hint="eastAsia" w:ascii="Arial" w:hAnsi="Arial" w:cs="Arial"/>
          <w:sz w:val="21"/>
          <w:szCs w:val="21"/>
          <w:lang w:val="en-US" w:eastAsia="zh-CN"/>
        </w:rPr>
        <w:t xml:space="preserve"> or </w:t>
      </w:r>
      <w:r>
        <w:rPr>
          <w:rFonts w:hint="eastAsia" w:ascii="Arial" w:hAnsi="Arial" w:eastAsia="宋体" w:cs="Arial"/>
          <w:sz w:val="21"/>
          <w:szCs w:val="18"/>
          <w:lang w:val="en-US" w:eastAsia="zh-CN"/>
        </w:rPr>
        <w:t xml:space="preserve">Chanjuan Shen </w:t>
      </w:r>
      <w:r>
        <w:rPr>
          <w:rFonts w:hint="eastAsia" w:ascii="Arial" w:hAnsi="Arial" w:eastAsia="宋体" w:cs="Arial"/>
          <w:sz w:val="21"/>
          <w:szCs w:val="18"/>
          <w:lang w:val="en-US" w:eastAsia="zh-CN"/>
        </w:rPr>
        <w:fldChar w:fldCharType="begin"/>
      </w:r>
      <w:r>
        <w:rPr>
          <w:rFonts w:hint="eastAsia" w:ascii="Arial" w:hAnsi="Arial" w:eastAsia="宋体" w:cs="Arial"/>
          <w:sz w:val="21"/>
          <w:szCs w:val="18"/>
          <w:lang w:val="en-US" w:eastAsia="zh-CN"/>
        </w:rPr>
        <w:instrText xml:space="preserve"> HYPERLINK "mailto:(chanjuanshenzch@163.com)" </w:instrText>
      </w:r>
      <w:r>
        <w:rPr>
          <w:rFonts w:hint="eastAsia" w:ascii="Arial" w:hAnsi="Arial" w:eastAsia="宋体" w:cs="Arial"/>
          <w:sz w:val="21"/>
          <w:szCs w:val="18"/>
          <w:lang w:val="en-US" w:eastAsia="zh-CN"/>
        </w:rPr>
        <w:fldChar w:fldCharType="separate"/>
      </w:r>
      <w:r>
        <w:rPr>
          <w:rStyle w:val="5"/>
          <w:rFonts w:hint="eastAsia" w:ascii="Arial" w:hAnsi="Arial" w:eastAsia="宋体" w:cs="Arial"/>
          <w:sz w:val="21"/>
          <w:szCs w:val="18"/>
          <w:lang w:val="en-US" w:eastAsia="zh-CN"/>
        </w:rPr>
        <w:t>(chanjuanshenzch@163.com)</w:t>
      </w:r>
      <w:r>
        <w:rPr>
          <w:rFonts w:hint="eastAsia" w:ascii="Arial" w:hAnsi="Arial" w:eastAsia="宋体" w:cs="Arial"/>
          <w:sz w:val="21"/>
          <w:szCs w:val="18"/>
          <w:lang w:val="en-US" w:eastAsia="zh-CN"/>
        </w:rPr>
        <w:fldChar w:fldCharType="end"/>
      </w:r>
    </w:p>
    <w:p>
      <w:pPr>
        <w:jc w:val="both"/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hint="default" w:ascii="Arial" w:hAnsi="Arial" w:cs="Arial"/>
          <w:b/>
          <w:bCs/>
          <w:color w:val="auto"/>
          <w:szCs w:val="21"/>
        </w:rPr>
      </w:pPr>
      <w:r>
        <w:rPr>
          <w:rFonts w:hint="default" w:ascii="Arial" w:hAnsi="Arial" w:cs="Arial"/>
          <w:b/>
          <w:bCs/>
          <w:color w:val="auto"/>
          <w:szCs w:val="21"/>
        </w:rPr>
        <w:t>This file includes:</w:t>
      </w:r>
    </w:p>
    <w:p>
      <w:pPr>
        <w:rPr>
          <w:rFonts w:hint="default" w:ascii="Arial" w:hAnsi="Arial" w:cs="Arial"/>
          <w:b/>
          <w:bCs/>
          <w:color w:val="auto"/>
          <w:szCs w:val="21"/>
        </w:rPr>
      </w:pPr>
    </w:p>
    <w:p>
      <w:pPr>
        <w:ind w:left="720"/>
        <w:rPr>
          <w:rFonts w:hint="eastAsia" w:ascii="Arial" w:hAnsi="Arial" w:cs="Arial"/>
          <w:color w:val="auto"/>
          <w:szCs w:val="21"/>
          <w:lang w:val="en-US" w:eastAsia="zh-CN"/>
        </w:rPr>
      </w:pPr>
      <w:r>
        <w:rPr>
          <w:rFonts w:hint="default" w:ascii="Arial" w:hAnsi="Arial" w:cs="Arial"/>
          <w:color w:val="auto"/>
          <w:szCs w:val="21"/>
        </w:rPr>
        <w:t>Table S1 to S</w:t>
      </w:r>
      <w:r>
        <w:rPr>
          <w:rFonts w:hint="eastAsia" w:ascii="Arial" w:hAnsi="Arial" w:cs="Arial"/>
          <w:color w:val="auto"/>
          <w:szCs w:val="21"/>
          <w:lang w:val="en-US" w:eastAsia="zh-CN"/>
        </w:rPr>
        <w:t>3</w:t>
      </w:r>
    </w:p>
    <w:p>
      <w:pPr>
        <w:ind w:left="720"/>
        <w:rPr>
          <w:rFonts w:hint="eastAsia" w:ascii="Arial" w:hAnsi="Arial" w:eastAsia="仿宋" w:cs="Arial"/>
          <w:color w:val="auto"/>
          <w:szCs w:val="21"/>
          <w:lang w:val="en-US" w:eastAsia="zh-CN"/>
        </w:rPr>
      </w:pPr>
      <w:r>
        <w:rPr>
          <w:rFonts w:hint="default" w:ascii="Arial" w:hAnsi="Arial" w:cs="Arial"/>
          <w:color w:val="auto"/>
          <w:szCs w:val="21"/>
        </w:rPr>
        <w:t>Figure S1 to S</w:t>
      </w:r>
      <w:r>
        <w:rPr>
          <w:rFonts w:hint="eastAsia" w:ascii="Arial" w:hAnsi="Arial" w:cs="Arial"/>
          <w:color w:val="auto"/>
          <w:szCs w:val="21"/>
          <w:lang w:val="en-US" w:eastAsia="zh-CN"/>
        </w:rPr>
        <w:t>4</w:t>
      </w:r>
    </w:p>
    <w:p>
      <w:pPr>
        <w:ind w:left="720"/>
        <w:rPr>
          <w:rFonts w:hint="eastAsia" w:ascii="Arial" w:hAnsi="Arial" w:cs="Arial"/>
          <w:color w:val="auto"/>
          <w:szCs w:val="21"/>
          <w:lang w:val="en-US" w:eastAsia="zh-CN"/>
        </w:rPr>
      </w:pPr>
    </w:p>
    <w:p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>
      <w:pPr>
        <w:spacing w:line="480" w:lineRule="auto"/>
        <w:jc w:val="both"/>
        <w:rPr>
          <w:rFonts w:hint="default" w:ascii="Arial" w:hAnsi="Arial" w:eastAsia="仿宋" w:cs="Arial"/>
          <w:b/>
          <w:bCs/>
          <w:lang w:eastAsia="zh-CN"/>
        </w:rPr>
      </w:pPr>
      <w:r>
        <w:rPr>
          <w:rFonts w:ascii="Arial" w:hAnsi="Arial" w:cs="Arial"/>
          <w:b/>
          <w:bCs/>
        </w:rPr>
        <w:t xml:space="preserve">Table S1 Demographics of </w:t>
      </w:r>
      <w:r>
        <w:rPr>
          <w:rFonts w:hint="eastAsia" w:ascii="Arial" w:hAnsi="Arial" w:cs="Arial"/>
          <w:b/>
          <w:bCs/>
          <w:lang w:val="en-US" w:eastAsia="zh-CN"/>
        </w:rPr>
        <w:t>76</w:t>
      </w:r>
      <w:r>
        <w:rPr>
          <w:rFonts w:ascii="Arial" w:hAnsi="Arial" w:cs="Arial"/>
          <w:b/>
          <w:bCs/>
        </w:rPr>
        <w:t xml:space="preserve"> patients with </w:t>
      </w:r>
      <w:r>
        <w:rPr>
          <w:rFonts w:hint="eastAsia" w:ascii="Arial" w:hAnsi="Arial" w:cs="Arial"/>
          <w:b/>
          <w:bCs/>
          <w:lang w:val="en-US" w:eastAsia="zh-CN"/>
        </w:rPr>
        <w:t>HCC</w:t>
      </w:r>
      <w:r>
        <w:rPr>
          <w:rFonts w:hint="default" w:ascii="Arial" w:hAnsi="Arial" w:cs="Arial"/>
          <w:b/>
          <w:bCs/>
          <w:lang w:eastAsia="zh-CN"/>
        </w:rPr>
        <w:t>.</w:t>
      </w:r>
    </w:p>
    <w:tbl>
      <w:tblPr>
        <w:tblStyle w:val="3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5"/>
        <w:gridCol w:w="383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9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Chrematistics</w:t>
            </w:r>
          </w:p>
        </w:tc>
        <w:tc>
          <w:tcPr>
            <w:tcW w:w="2251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No. of patients 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9" w:type="pct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Gender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  Male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  Female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Age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  ＞65</w:t>
            </w:r>
          </w:p>
          <w:p>
            <w:pPr>
              <w:ind w:firstLine="240" w:firstLineChars="100"/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≤65</w:t>
            </w:r>
          </w:p>
          <w:p>
            <w:pPr>
              <w:rPr>
                <w:rFonts w:hint="default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Pathologic stage</w:t>
            </w:r>
          </w:p>
          <w:p>
            <w:pPr>
              <w:ind w:left="240" w:leftChars="100"/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I</w:t>
            </w:r>
          </w:p>
          <w:p>
            <w:pPr>
              <w:ind w:left="240" w:leftChars="100"/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II</w:t>
            </w:r>
          </w:p>
          <w:p>
            <w:pPr>
              <w:ind w:left="240" w:leftChars="100"/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III</w:t>
            </w:r>
          </w:p>
          <w:p>
            <w:pPr>
              <w:ind w:firstLine="240" w:firstLineChars="100"/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IV</w:t>
            </w:r>
          </w:p>
          <w:p>
            <w:pPr>
              <w:rPr>
                <w:rFonts w:hint="default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Level of differentiation</w:t>
            </w:r>
          </w:p>
          <w:p>
            <w:pPr>
              <w:rPr>
                <w:rFonts w:hint="default" w:ascii="Arial" w:hAnsi="Arial" w:eastAsia="宋体" w:cs="Arial"/>
                <w:lang w:val="en-US" w:eastAsia="zh-CN"/>
              </w:rPr>
            </w:pPr>
            <w:r>
              <w:rPr>
                <w:rFonts w:ascii="Arial" w:hAnsi="Arial" w:eastAsia="Times New Roman" w:cs="Arial"/>
              </w:rPr>
              <w:t xml:space="preserve">  </w:t>
            </w:r>
            <w:r>
              <w:rPr>
                <w:rFonts w:hint="eastAsia" w:ascii="Arial" w:hAnsi="Arial" w:eastAsia="宋体" w:cs="Arial"/>
                <w:lang w:val="en-US" w:eastAsia="zh-CN"/>
              </w:rPr>
              <w:t>Well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 xml:space="preserve">  </w:t>
            </w:r>
            <w:r>
              <w:rPr>
                <w:rFonts w:hint="eastAsia" w:ascii="Arial" w:hAnsi="Arial" w:eastAsia="宋体" w:cs="Arial"/>
                <w:lang w:val="en-US" w:eastAsia="zh-CN"/>
              </w:rPr>
              <w:t>Middle</w:t>
            </w:r>
            <w:r>
              <w:rPr>
                <w:rFonts w:ascii="Arial" w:hAnsi="Arial" w:eastAsia="Times New Roman" w:cs="Arial"/>
              </w:rPr>
              <w:t> </w:t>
            </w:r>
          </w:p>
          <w:p>
            <w:pPr>
              <w:rPr>
                <w:rFonts w:hint="default" w:ascii="Arial" w:hAnsi="Arial" w:eastAsia="宋体" w:cs="Arial"/>
                <w:lang w:val="en-US" w:eastAsia="zh-CN"/>
              </w:rPr>
            </w:pPr>
            <w:r>
              <w:rPr>
                <w:rFonts w:ascii="Arial" w:hAnsi="Arial" w:eastAsia="Times New Roman" w:cs="Arial"/>
              </w:rPr>
              <w:t xml:space="preserve">  </w:t>
            </w:r>
            <w:r>
              <w:rPr>
                <w:rFonts w:hint="eastAsia" w:ascii="Arial" w:hAnsi="Arial" w:eastAsia="宋体" w:cs="Arial"/>
                <w:lang w:val="en-US" w:eastAsia="zh-CN"/>
              </w:rPr>
              <w:t>Poor</w:t>
            </w:r>
          </w:p>
          <w:p>
            <w:pPr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AFP (ng/ml)</w:t>
            </w:r>
          </w:p>
          <w:p>
            <w:pPr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 xml:space="preserve"> &lt;= 400</w:t>
            </w:r>
          </w:p>
          <w:p>
            <w:pPr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 xml:space="preserve"> &gt; 400</w:t>
            </w:r>
          </w:p>
          <w:p>
            <w:pPr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SNRPB2 expression</w:t>
            </w:r>
          </w:p>
          <w:p>
            <w:pPr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 xml:space="preserve"> 0~3</w:t>
            </w:r>
          </w:p>
          <w:p>
            <w:pPr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 xml:space="preserve"> 4~6</w:t>
            </w:r>
          </w:p>
          <w:p>
            <w:pPr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 xml:space="preserve"> 7~9</w:t>
            </w:r>
          </w:p>
          <w:p>
            <w:pPr>
              <w:rPr>
                <w:rFonts w:hint="default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 xml:space="preserve"> 10~12</w:t>
            </w:r>
          </w:p>
        </w:tc>
        <w:tc>
          <w:tcPr>
            <w:tcW w:w="2251" w:type="pct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Arial" w:hAnsi="Arial" w:eastAsia="Times New Roman" w:cs="Arial"/>
              </w:rPr>
            </w:pP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47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61.8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29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38.2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ascii="Arial" w:hAnsi="Arial" w:eastAsia="Times New Roman" w:cs="Arial"/>
              </w:rPr>
            </w:pP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28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36.8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48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63.2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ascii="Arial" w:hAnsi="Arial" w:eastAsia="Times New Roman" w:cs="Arial"/>
              </w:rPr>
            </w:pP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24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3</w:t>
            </w:r>
            <w:r>
              <w:rPr>
                <w:rFonts w:ascii="Arial" w:hAnsi="Arial" w:eastAsia="Times New Roman" w:cs="Arial"/>
              </w:rPr>
              <w:t>1.6%)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26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34</w:t>
            </w:r>
            <w:r>
              <w:rPr>
                <w:rFonts w:ascii="Arial" w:hAnsi="Arial" w:eastAsia="Times New Roman" w:cs="Arial"/>
              </w:rPr>
              <w:t>.2%)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19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25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7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9.2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ascii="Arial" w:hAnsi="Arial" w:eastAsia="Times New Roman" w:cs="Arial"/>
              </w:rPr>
            </w:pP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33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43.4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hint="default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27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35.5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16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21.1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ascii="Arial" w:hAnsi="Arial" w:eastAsia="Times New Roman" w:cs="Arial"/>
              </w:rPr>
            </w:pP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49</w:t>
            </w:r>
            <w:r>
              <w:rPr>
                <w:rFonts w:ascii="Arial" w:hAnsi="Arial" w:eastAsia="Times New Roman" w:cs="Arial"/>
              </w:rPr>
              <w:t>(6</w:t>
            </w:r>
            <w:r>
              <w:rPr>
                <w:rFonts w:hint="eastAsia" w:ascii="Arial" w:hAnsi="Arial" w:eastAsia="宋体" w:cs="Arial"/>
                <w:lang w:val="en-US" w:eastAsia="zh-CN"/>
              </w:rPr>
              <w:t>4.5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27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35.5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ascii="Arial" w:hAnsi="Arial" w:eastAsia="Times New Roman" w:cs="Arial"/>
              </w:rPr>
            </w:pPr>
          </w:p>
          <w:p>
            <w:pPr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9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11.8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16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21.1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26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34.2</w:t>
            </w:r>
            <w:r>
              <w:rPr>
                <w:rFonts w:ascii="Arial" w:hAnsi="Arial" w:eastAsia="Times New Roman" w:cs="Arial"/>
              </w:rPr>
              <w:t>%)</w:t>
            </w:r>
          </w:p>
          <w:p>
            <w:pPr>
              <w:rPr>
                <w:rFonts w:hint="default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25</w:t>
            </w:r>
            <w:r>
              <w:rPr>
                <w:rFonts w:ascii="Arial" w:hAnsi="Arial" w:eastAsia="Times New Roman" w:cs="Arial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32.9</w:t>
            </w:r>
            <w:r>
              <w:rPr>
                <w:rFonts w:ascii="Arial" w:hAnsi="Arial" w:eastAsia="Times New Roman" w:cs="Arial"/>
              </w:rPr>
              <w:t>%)</w:t>
            </w:r>
          </w:p>
        </w:tc>
      </w:tr>
    </w:tbl>
    <w:p>
      <w:r>
        <w:br w:type="page"/>
      </w:r>
    </w:p>
    <w:p>
      <w:pPr>
        <w:spacing w:line="480" w:lineRule="auto"/>
        <w:rPr>
          <w:rFonts w:hint="default" w:ascii="Arial" w:hAnsi="Arial" w:cs="Arial"/>
          <w:b/>
          <w:bCs/>
        </w:rPr>
      </w:pPr>
      <w:r>
        <w:rPr>
          <w:rFonts w:hint="default" w:ascii="Arial" w:hAnsi="Arial" w:cs="Arial"/>
          <w:b/>
          <w:bCs/>
        </w:rPr>
        <w:t>Table S2 LncRNAs might interact with miR-204-5p.</w:t>
      </w:r>
    </w:p>
    <w:tbl>
      <w:tblPr>
        <w:tblStyle w:val="2"/>
        <w:tblW w:w="8218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2539"/>
        <w:gridCol w:w="2222"/>
        <w:gridCol w:w="13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07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miRNAname</w:t>
            </w:r>
          </w:p>
        </w:tc>
        <w:tc>
          <w:tcPr>
            <w:tcW w:w="253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geneID</w:t>
            </w:r>
          </w:p>
        </w:tc>
        <w:tc>
          <w:tcPr>
            <w:tcW w:w="222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geneName</w:t>
            </w:r>
          </w:p>
        </w:tc>
        <w:tc>
          <w:tcPr>
            <w:tcW w:w="137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geneType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ENSG00000288670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AL592295.6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ENSG00000203709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MIR29B2CHG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ENSG00000223960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ENSG00000279348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AC012513.3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ENSG00000260804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LINC01963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ENSG00000279809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AC005538.2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ENSG00000249413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AC116049.1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ENSG00000251095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AC093866.1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ENSG00000272335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AC093297.2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ENSG00000281398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SNHG4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ENSG00000281649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EBLN3P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ENSG00000236901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MIR600HG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ENSG00000269821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KCNQ1OT1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ENSG00000255717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SNHG1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ENSG00000245532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ENSG00000251562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ENSG00000279117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AP001972.5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ENSG00000261578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AP003119.3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ENSG00000284697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AC006511.5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ENSG00000258441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LINC00641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ENSG00000214548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ENSG00000247556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OIP5-AS1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ENSG00000261771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DNAAF4-CCPG1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ENSG00000260417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AC092127.1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ENSG00000278876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AC145207.9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ENSG00000260032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NORAD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ENSG00000215424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MCM3AP-AS1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ENSG00000229807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ENSG00000271533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Z83843.1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</w:tr>
    </w:tbl>
    <w:p/>
    <w:p>
      <w:r>
        <w:br w:type="page"/>
      </w:r>
    </w:p>
    <w:p>
      <w:pPr>
        <w:autoSpaceDE w:val="0"/>
        <w:autoSpaceDN w:val="0"/>
        <w:adjustRightInd w:val="0"/>
        <w:spacing w:line="480" w:lineRule="auto"/>
        <w:rPr>
          <w:rFonts w:hint="eastAsia" w:ascii="Arial" w:hAnsi="Arial" w:eastAsia="仿宋" w:cs="Arial"/>
          <w:b/>
          <w:bCs/>
          <w:sz w:val="24"/>
          <w:szCs w:val="24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</w:rPr>
        <w:t>Table S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3</w:t>
      </w:r>
      <w:r>
        <w:rPr>
          <w:rFonts w:hint="default" w:ascii="Arial" w:hAnsi="Arial" w:cs="Arial"/>
          <w:b/>
          <w:bCs/>
          <w:sz w:val="24"/>
          <w:szCs w:val="24"/>
        </w:rPr>
        <w:t xml:space="preserve"> The sequences of the primers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 xml:space="preserve"> for RT-qPCR</w:t>
      </w:r>
      <w:r>
        <w:rPr>
          <w:rFonts w:hint="default" w:ascii="Arial" w:hAnsi="Arial" w:cs="Arial"/>
          <w:b/>
          <w:bCs/>
          <w:sz w:val="24"/>
          <w:szCs w:val="24"/>
        </w:rPr>
        <w:t xml:space="preserve"> included in this manuscript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.</w:t>
      </w:r>
    </w:p>
    <w:tbl>
      <w:tblPr>
        <w:tblStyle w:val="2"/>
        <w:tblpPr w:leftFromText="180" w:rightFromText="180" w:vertAnchor="text" w:horzAnchor="page" w:tblpX="1835" w:tblpY="28"/>
        <w:tblOverlap w:val="never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3534"/>
        <w:gridCol w:w="369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91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Arial" w:hAnsi="Arial" w:eastAsia="宋体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auto"/>
                <w:sz w:val="24"/>
                <w:szCs w:val="24"/>
              </w:rPr>
              <w:t>Name</w:t>
            </w:r>
          </w:p>
        </w:tc>
        <w:tc>
          <w:tcPr>
            <w:tcW w:w="3534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Arial" w:hAnsi="Arial" w:eastAsia="宋体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Forward premier (5’-3’)</w:t>
            </w:r>
          </w:p>
        </w:tc>
        <w:tc>
          <w:tcPr>
            <w:tcW w:w="3697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Arial" w:hAnsi="Arial" w:eastAsia="宋体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Reverse premier (5’-3’)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291" w:type="dxa"/>
            <w:tcBorders>
              <w:top w:val="single" w:color="auto" w:sz="6" w:space="0"/>
            </w:tcBorders>
          </w:tcPr>
          <w:p>
            <w:pPr>
              <w:keepNext w:val="0"/>
              <w:keepLines w:val="0"/>
              <w:suppressLineNumbers w:val="0"/>
              <w:spacing w:before="120" w:beforeAutospacing="0" w:after="120" w:afterAutospacing="0" w:line="240" w:lineRule="auto"/>
              <w:ind w:left="0" w:right="0"/>
              <w:jc w:val="center"/>
              <w:rPr>
                <w:rFonts w:hint="default" w:ascii="Arial" w:hAnsi="Arial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auto"/>
                <w:sz w:val="24"/>
                <w:szCs w:val="24"/>
                <w:lang w:val="en-US" w:eastAsia="zh-CN"/>
              </w:rPr>
              <w:t>SNRPB2</w:t>
            </w:r>
          </w:p>
        </w:tc>
        <w:tc>
          <w:tcPr>
            <w:tcW w:w="3534" w:type="dxa"/>
            <w:tcBorders>
              <w:top w:val="single" w:color="auto" w:sz="6" w:space="0"/>
            </w:tcBorders>
          </w:tcPr>
          <w:p>
            <w:pPr>
              <w:keepNext w:val="0"/>
              <w:keepLines w:val="0"/>
              <w:suppressLineNumbers w:val="0"/>
              <w:spacing w:before="120" w:beforeAutospacing="0" w:after="120" w:afterAutospacing="0" w:line="240" w:lineRule="auto"/>
              <w:ind w:left="0" w:right="0"/>
              <w:jc w:val="center"/>
              <w:rPr>
                <w:rFonts w:hint="default" w:ascii="Arial" w:hAnsi="Arial" w:eastAsia="TimesNewRomanPSMT" w:cs="Arial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t>CTGTGGAACAGACTGCAACAACC</w:t>
            </w:r>
          </w:p>
        </w:tc>
        <w:tc>
          <w:tcPr>
            <w:tcW w:w="3697" w:type="dxa"/>
            <w:tcBorders>
              <w:top w:val="single" w:color="auto" w:sz="6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120" w:beforeAutospacing="0" w:after="120" w:afterAutospacing="0" w:line="240" w:lineRule="auto"/>
              <w:ind w:left="0" w:leftChars="0" w:right="0" w:rightChars="0"/>
              <w:jc w:val="center"/>
              <w:rPr>
                <w:rFonts w:hint="default" w:ascii="Arial" w:hAnsi="Arial" w:eastAsia="宋体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t>ACCTGAGGATTTGGTGTTGAATTTC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91" w:type="dxa"/>
          </w:tcPr>
          <w:p>
            <w:pPr>
              <w:keepNext w:val="0"/>
              <w:keepLines w:val="0"/>
              <w:suppressLineNumbers w:val="0"/>
              <w:spacing w:before="120" w:beforeAutospacing="0" w:after="120" w:afterAutospacing="0" w:line="240" w:lineRule="auto"/>
              <w:ind w:left="0" w:right="0"/>
              <w:jc w:val="center"/>
              <w:rPr>
                <w:rFonts w:hint="default" w:ascii="Arial" w:hAnsi="Arial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auto"/>
                <w:sz w:val="24"/>
                <w:szCs w:val="24"/>
                <w:lang w:val="en-US" w:eastAsia="zh-CN"/>
              </w:rPr>
              <w:t>SNHG4</w:t>
            </w:r>
          </w:p>
        </w:tc>
        <w:tc>
          <w:tcPr>
            <w:tcW w:w="3534" w:type="dxa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240" w:lineRule="auto"/>
              <w:ind w:left="0" w:right="0"/>
              <w:jc w:val="center"/>
              <w:rPr>
                <w:rFonts w:hint="default" w:ascii="Arial" w:hAnsi="Arial" w:eastAsia="TimesNewRomanPSMT" w:cs="Arial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GCAGGTGACAGTCTGCATGT</w:t>
            </w:r>
          </w:p>
        </w:tc>
        <w:tc>
          <w:tcPr>
            <w:tcW w:w="369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240" w:lineRule="auto"/>
              <w:ind w:left="0" w:leftChars="0" w:right="0" w:rightChars="0"/>
              <w:jc w:val="center"/>
              <w:rPr>
                <w:rFonts w:hint="default" w:ascii="Arial" w:hAnsi="Arial" w:eastAsia="宋体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TTTTAAGTCCCCTACCCCCATC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91" w:type="dxa"/>
          </w:tcPr>
          <w:p>
            <w:pPr>
              <w:keepNext w:val="0"/>
              <w:keepLines w:val="0"/>
              <w:suppressLineNumbers w:val="0"/>
              <w:spacing w:before="120" w:beforeAutospacing="0" w:after="120" w:afterAutospacing="0" w:line="240" w:lineRule="auto"/>
              <w:ind w:left="0" w:right="0"/>
              <w:jc w:val="center"/>
              <w:rPr>
                <w:rFonts w:hint="default" w:ascii="Arial" w:hAnsi="Arial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auto"/>
                <w:sz w:val="24"/>
                <w:szCs w:val="24"/>
                <w:lang w:val="en-US" w:eastAsia="zh-CN"/>
              </w:rPr>
              <w:t>MiR-204-5p</w:t>
            </w:r>
          </w:p>
        </w:tc>
        <w:tc>
          <w:tcPr>
            <w:tcW w:w="3534" w:type="dxa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240" w:lineRule="auto"/>
              <w:ind w:left="0" w:right="0"/>
              <w:jc w:val="center"/>
              <w:rPr>
                <w:rFonts w:hint="default" w:ascii="Arial" w:hAnsi="Arial" w:eastAsia="TimesNewRomanPSMT" w:cs="Arial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shd w:val="clear" w:color="auto" w:fill="FFFFFF"/>
              </w:rPr>
              <w:t>TTCCCTTTGTCATCCTATGCCT</w:t>
            </w:r>
          </w:p>
        </w:tc>
        <w:tc>
          <w:tcPr>
            <w:tcW w:w="369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240" w:lineRule="auto"/>
              <w:ind w:left="0" w:leftChars="0" w:right="0" w:rightChars="0"/>
              <w:jc w:val="center"/>
              <w:rPr>
                <w:rFonts w:hint="default" w:ascii="Arial" w:hAnsi="Arial" w:eastAsia="TimesNewRomanPSMT" w:cs="Arial"/>
                <w:color w:val="auto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91" w:type="dxa"/>
          </w:tcPr>
          <w:p>
            <w:pPr>
              <w:keepNext w:val="0"/>
              <w:keepLines w:val="0"/>
              <w:suppressLineNumbers w:val="0"/>
              <w:spacing w:before="120" w:beforeAutospacing="0" w:after="120" w:afterAutospacing="0" w:line="240" w:lineRule="auto"/>
              <w:ind w:left="0" w:right="0"/>
              <w:jc w:val="center"/>
              <w:rPr>
                <w:rFonts w:hint="default" w:ascii="Arial" w:hAnsi="Arial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宋体" w:cs="Arial"/>
                <w:szCs w:val="24"/>
              </w:rPr>
              <w:t>β-a</w:t>
            </w:r>
            <w:r>
              <w:rPr>
                <w:rFonts w:hint="default" w:ascii="Arial" w:hAnsi="Arial" w:eastAsia="宋体" w:cs="Arial"/>
                <w:color w:val="auto"/>
                <w:sz w:val="24"/>
                <w:szCs w:val="24"/>
                <w:lang w:val="en-US" w:eastAsia="zh-CN"/>
              </w:rPr>
              <w:t xml:space="preserve">ctin </w:t>
            </w:r>
          </w:p>
        </w:tc>
        <w:tc>
          <w:tcPr>
            <w:tcW w:w="3534" w:type="dxa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240" w:lineRule="auto"/>
              <w:ind w:left="0" w:right="0"/>
              <w:jc w:val="center"/>
              <w:rPr>
                <w:rFonts w:hint="default"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sz w:val="24"/>
                <w:szCs w:val="24"/>
                <w:shd w:val="clear" w:color="auto" w:fill="FFFFFF"/>
              </w:rPr>
              <w:t>CACCATTGGCAATGAGCGGTTC</w:t>
            </w:r>
          </w:p>
        </w:tc>
        <w:tc>
          <w:tcPr>
            <w:tcW w:w="369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240" w:lineRule="auto"/>
              <w:ind w:left="0" w:leftChars="0" w:right="0" w:rightChars="0"/>
              <w:jc w:val="center"/>
              <w:rPr>
                <w:rFonts w:hint="default" w:ascii="Arial" w:hAnsi="Arial" w:eastAsia="TimesNewRomanPSMT" w:cs="Arial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eastAsia="TimesNewRomanPSMT" w:cs="Arial"/>
                <w:color w:val="auto"/>
                <w:kern w:val="0"/>
                <w:sz w:val="24"/>
                <w:szCs w:val="24"/>
                <w:lang w:bidi="ar"/>
              </w:rPr>
              <w:t>AGGTCTTTGCGGATGTCCACGT</w:t>
            </w:r>
          </w:p>
        </w:tc>
      </w:tr>
    </w:tbl>
    <w:p>
      <w:pPr>
        <w:rPr>
          <w:rFonts w:hint="default" w:ascii="Arial" w:hAnsi="Arial" w:cs="Arial"/>
          <w:sz w:val="24"/>
          <w:szCs w:val="24"/>
        </w:rPr>
      </w:pPr>
    </w:p>
    <w:p>
      <w:r>
        <w:br w:type="page"/>
      </w:r>
    </w:p>
    <w:p>
      <w:r>
        <w:drawing>
          <wp:inline distT="0" distB="0" distL="114300" distR="114300">
            <wp:extent cx="5236210" cy="2242185"/>
            <wp:effectExtent l="0" t="0" r="1016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224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Arial" w:hAnsi="Arial" w:eastAsia="宋体" w:cs="Arial"/>
          <w:szCs w:val="24"/>
          <w:lang w:val="en-US" w:eastAsia="zh-CN"/>
        </w:rPr>
      </w:pPr>
      <w:r>
        <w:rPr>
          <w:rFonts w:hint="default" w:ascii="Arial" w:hAnsi="Arial" w:cs="Arial"/>
          <w:b/>
          <w:bCs/>
        </w:rPr>
        <w:t>Figure S1. SNRPB2 is overexpressed and associated with poor prognosis in HCC.</w:t>
      </w:r>
      <w:r>
        <w:rPr>
          <w:rFonts w:hint="eastAsia" w:ascii="Arial" w:hAnsi="Arial" w:cs="Arial"/>
          <w:b/>
          <w:bCs/>
          <w:lang w:val="en-US" w:eastAsia="zh-CN"/>
        </w:rPr>
        <w:t xml:space="preserve"> </w:t>
      </w:r>
      <w:r>
        <w:rPr>
          <w:rFonts w:hint="eastAsia" w:ascii="Arial" w:hAnsi="Arial" w:cs="Arial"/>
          <w:b w:val="0"/>
          <w:bCs w:val="0"/>
          <w:lang w:val="en-US" w:eastAsia="zh-CN"/>
        </w:rPr>
        <w:t>(A)</w:t>
      </w:r>
      <w:r>
        <w:rPr>
          <w:rFonts w:hint="eastAsia" w:ascii="Arial" w:hAnsi="Arial" w:cs="Arial"/>
          <w:b/>
          <w:bCs/>
          <w:lang w:val="en-US" w:eastAsia="zh-CN"/>
        </w:rPr>
        <w:t xml:space="preserve"> </w:t>
      </w:r>
      <w:r>
        <w:rPr>
          <w:rFonts w:hint="eastAsia" w:ascii="Arial" w:hAnsi="Arial" w:eastAsia="宋体" w:cs="Arial"/>
          <w:szCs w:val="24"/>
          <w:lang w:val="en-US" w:eastAsia="zh-CN"/>
        </w:rPr>
        <w:t>SNRPB2</w:t>
      </w:r>
      <w:r>
        <w:rPr>
          <w:rFonts w:hint="default" w:ascii="Arial" w:hAnsi="Arial" w:eastAsia="宋体" w:cs="Arial"/>
          <w:szCs w:val="24"/>
        </w:rPr>
        <w:t xml:space="preserve"> mRNA expression level in normal live</w:t>
      </w:r>
      <w:r>
        <w:rPr>
          <w:rFonts w:hint="eastAsia" w:ascii="Arial" w:hAnsi="Arial" w:eastAsia="宋体" w:cs="Arial"/>
          <w:szCs w:val="24"/>
          <w:lang w:val="en-US" w:eastAsia="zh-CN"/>
        </w:rPr>
        <w:t>r cell</w:t>
      </w:r>
      <w:r>
        <w:rPr>
          <w:rFonts w:hint="default" w:ascii="Arial" w:hAnsi="Arial" w:eastAsia="宋体" w:cs="Arial"/>
          <w:szCs w:val="24"/>
        </w:rPr>
        <w:t xml:space="preserve"> and HCC cell lines from HPA database. </w:t>
      </w:r>
      <w:r>
        <w:rPr>
          <w:rFonts w:hint="eastAsia" w:ascii="Arial" w:hAnsi="Arial" w:eastAsia="宋体" w:cs="Arial"/>
          <w:szCs w:val="24"/>
          <w:lang w:val="en-US" w:eastAsia="zh-CN"/>
        </w:rPr>
        <w:t>(B) Calibration curves for predicting OS of HCC patients.</w:t>
      </w:r>
    </w:p>
    <w:p>
      <w:pPr>
        <w:rPr>
          <w:rFonts w:hint="eastAsia" w:ascii="Arial" w:hAnsi="Arial" w:eastAsia="宋体" w:cs="Arial"/>
          <w:szCs w:val="24"/>
          <w:lang w:val="en-US" w:eastAsia="zh-CN"/>
        </w:rPr>
      </w:pPr>
      <w:r>
        <w:rPr>
          <w:rFonts w:hint="eastAsia" w:ascii="Arial" w:hAnsi="Arial" w:eastAsia="宋体" w:cs="Arial"/>
          <w:szCs w:val="24"/>
          <w:lang w:val="en-US" w:eastAsia="zh-CN"/>
        </w:rPr>
        <w:br w:type="page"/>
      </w:r>
    </w:p>
    <w:p>
      <w:pPr>
        <w:spacing w:line="480" w:lineRule="auto"/>
      </w:pPr>
      <w:r>
        <w:drawing>
          <wp:inline distT="0" distB="0" distL="114300" distR="114300">
            <wp:extent cx="1801495" cy="1801495"/>
            <wp:effectExtent l="0" t="0" r="127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1495" cy="180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Figure S2. DEGs between high- and low-SNRPB2 expressing HCC patients.</w:t>
      </w:r>
    </w:p>
    <w:p>
      <w:pPr>
        <w:rPr>
          <w:rFonts w:hint="default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br w:type="page"/>
      </w:r>
    </w:p>
    <w:p>
      <w:pPr>
        <w:spacing w:line="480" w:lineRule="auto"/>
      </w:pPr>
      <w:r>
        <w:drawing>
          <wp:inline distT="0" distB="0" distL="114300" distR="114300">
            <wp:extent cx="4675505" cy="3989705"/>
            <wp:effectExtent l="0" t="0" r="952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5505" cy="398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Arial" w:hAnsi="Arial" w:cs="Arial"/>
          <w:b w:val="0"/>
          <w:bCs w:val="0"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Figure S3. Expression and prognostic values of miR-204-5p and SNHG4 in HCC.</w:t>
      </w:r>
      <w:r>
        <w:rPr>
          <w:rFonts w:hint="eastAsia" w:ascii="Arial" w:hAnsi="Arial" w:cs="Arial"/>
          <w:b/>
          <w:bCs/>
          <w:lang w:val="en-US" w:eastAsia="zh-CN"/>
        </w:rPr>
        <w:t xml:space="preserve"> </w:t>
      </w:r>
      <w:r>
        <w:rPr>
          <w:rFonts w:hint="eastAsia" w:ascii="Arial" w:hAnsi="Arial" w:cs="Arial"/>
          <w:b w:val="0"/>
          <w:bCs w:val="0"/>
          <w:lang w:val="en-US" w:eastAsia="zh-CN"/>
        </w:rPr>
        <w:t>(A) Correlation between miR-204-5p expression and the prognosis of HCC patients. (B) The mRNA expression level of miR-204-5p in HCC. (C) The mRNA expression level of SNHG4 in HCC. (D) Correlation between SNHG4 expression and the prognosis of HCC patients.</w:t>
      </w:r>
    </w:p>
    <w:p>
      <w:pPr>
        <w:rPr>
          <w:rFonts w:hint="eastAsia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 w:val="0"/>
          <w:bCs w:val="0"/>
          <w:lang w:val="en-US" w:eastAsia="zh-CN"/>
        </w:rPr>
        <w:br w:type="page"/>
      </w:r>
    </w:p>
    <w:p>
      <w:pPr>
        <w:spacing w:line="480" w:lineRule="auto"/>
      </w:pPr>
      <w:r>
        <w:drawing>
          <wp:inline distT="0" distB="0" distL="114300" distR="114300">
            <wp:extent cx="5269865" cy="2338070"/>
            <wp:effectExtent l="0" t="0" r="889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Figure S4. Prediction binding model of thiosangivamycin and SNRPB2.</w:t>
      </w:r>
      <w:r>
        <w:rPr>
          <w:rFonts w:hint="eastAsia" w:ascii="Arial" w:hAnsi="Arial" w:cs="Arial"/>
          <w:b/>
          <w:bCs/>
          <w:lang w:val="en-US" w:eastAsia="zh-CN"/>
        </w:rPr>
        <w:t xml:space="preserve"> </w:t>
      </w:r>
      <w:r>
        <w:rPr>
          <w:rFonts w:hint="eastAsia" w:ascii="Arial" w:hAnsi="Arial" w:cs="Arial"/>
          <w:b w:val="0"/>
          <w:bCs w:val="0"/>
          <w:lang w:val="en-US" w:eastAsia="zh-CN"/>
        </w:rPr>
        <w:t xml:space="preserve">(A) 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>Correlation analysis between drug</w:t>
      </w:r>
      <w:r>
        <w:rPr>
          <w:rFonts w:hint="default" w:ascii="Arial" w:hAnsi="Arial" w:cs="Arial"/>
        </w:rPr>
        <w:t xml:space="preserve"> sensitivity</w:t>
      </w:r>
      <w:r>
        <w:rPr>
          <w:rFonts w:hint="eastAsia" w:ascii="Arial" w:hAnsi="Arial" w:cs="Arial"/>
          <w:lang w:val="en-US" w:eastAsia="zh-CN"/>
        </w:rPr>
        <w:t xml:space="preserve"> of thiosangivamycin</w:t>
      </w:r>
      <w:r>
        <w:rPr>
          <w:rFonts w:hint="default" w:ascii="Arial" w:hAnsi="Arial" w:cs="Arial"/>
        </w:rPr>
        <w:t xml:space="preserve"> and mRNA expression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 xml:space="preserve"> of </w:t>
      </w:r>
      <w:r>
        <w:rPr>
          <w:rFonts w:hint="eastAsia" w:ascii="Arial" w:hAnsi="Arial" w:eastAsia="微软雅黑" w:cs="Arial"/>
          <w:color w:val="000000"/>
          <w:kern w:val="24"/>
          <w:szCs w:val="24"/>
          <w:lang w:val="en-US" w:eastAsia="zh-CN"/>
        </w:rPr>
        <w:t>SNRPB2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 xml:space="preserve"> based on </w:t>
      </w:r>
      <w:r>
        <w:rPr>
          <w:rFonts w:hint="default" w:ascii="Arial" w:hAnsi="Arial" w:cs="Arial"/>
        </w:rPr>
        <w:t>RNAactDrug database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 xml:space="preserve">. </w:t>
      </w:r>
      <w:r>
        <w:rPr>
          <w:rFonts w:hint="eastAsia" w:ascii="Arial" w:hAnsi="Arial" w:eastAsia="微软雅黑" w:cs="Arial"/>
          <w:color w:val="000000"/>
          <w:kern w:val="24"/>
          <w:szCs w:val="24"/>
          <w:lang w:val="en-US" w:eastAsia="zh-CN"/>
        </w:rPr>
        <w:t xml:space="preserve">(B) Prediction binding model of </w:t>
      </w:r>
      <w:r>
        <w:rPr>
          <w:rFonts w:hint="eastAsia" w:ascii="Arial" w:hAnsi="Arial" w:cs="Arial"/>
          <w:lang w:val="en-US" w:eastAsia="zh-CN"/>
        </w:rPr>
        <w:t>thiosangivamycin</w:t>
      </w:r>
      <w:r>
        <w:rPr>
          <w:rFonts w:hint="eastAsia" w:ascii="Arial" w:hAnsi="Arial" w:eastAsia="微软雅黑" w:cs="Arial"/>
          <w:color w:val="000000"/>
          <w:kern w:val="24"/>
          <w:szCs w:val="24"/>
          <w:lang w:val="en-US" w:eastAsia="zh-CN"/>
        </w:rPr>
        <w:t xml:space="preserve"> and SNRPB2 via dockeasy web tool.</w:t>
      </w:r>
    </w:p>
    <w:p>
      <w:pPr>
        <w:spacing w:line="480" w:lineRule="auto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kZTM5ZDVlYWFhMjkxODgzNWE1NTEyYWVlOTY2YzQifQ=="/>
  </w:docVars>
  <w:rsids>
    <w:rsidRoot w:val="5D7F006C"/>
    <w:rsid w:val="0AB62C05"/>
    <w:rsid w:val="0EF00C26"/>
    <w:rsid w:val="2020466B"/>
    <w:rsid w:val="2C156FDF"/>
    <w:rsid w:val="327073E9"/>
    <w:rsid w:val="33C76BF4"/>
    <w:rsid w:val="45803994"/>
    <w:rsid w:val="4CAF7ED2"/>
    <w:rsid w:val="5D7F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" w:cs="宋体"/>
      <w:kern w:val="2"/>
      <w:sz w:val="24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2023-11-22T22:56:00Z</dcterms:created>
  <dc:creator>29844</dc:creator>
  <cp:lastModifiedBy>29844</cp:lastModifiedBy>
  <dcterms:modified xsi:type="dcterms:W3CDTF">2024-01-26T00:36:49Z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F2F460BD5B4F4EE89B52735E9A415F02_13</vt:lpwstr>
  </property>
</Properties>
</file>