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E21E5" w14:textId="2FD713CE" w:rsidR="008768A1" w:rsidRPr="008768A1" w:rsidRDefault="008768A1">
      <w:pPr>
        <w:rPr>
          <w:rFonts w:ascii="Arial" w:hAnsi="Arial" w:cs="Arial"/>
          <w:b/>
          <w:bCs/>
          <w:sz w:val="24"/>
          <w:szCs w:val="28"/>
        </w:rPr>
      </w:pPr>
      <w:r w:rsidRPr="008768A1">
        <w:rPr>
          <w:rFonts w:ascii="Arial" w:hAnsi="Arial" w:cs="Arial"/>
          <w:b/>
          <w:bCs/>
          <w:sz w:val="24"/>
          <w:szCs w:val="28"/>
        </w:rPr>
        <w:t>Supplementary Figure 1</w:t>
      </w:r>
      <w:r w:rsidR="00F56D18">
        <w:rPr>
          <w:rFonts w:ascii="Arial" w:hAnsi="Arial" w:cs="Arial"/>
          <w:b/>
          <w:bCs/>
          <w:sz w:val="24"/>
          <w:szCs w:val="28"/>
        </w:rPr>
        <w:t xml:space="preserve"> </w:t>
      </w:r>
      <w:r w:rsidR="00F56D18" w:rsidRPr="00F56D18">
        <w:rPr>
          <w:rFonts w:ascii="Arial" w:hAnsi="Arial" w:cs="Arial"/>
          <w:sz w:val="24"/>
          <w:szCs w:val="28"/>
        </w:rPr>
        <w:t>The differences of SYT11 expression in various tumors and adjacent normal tissues</w:t>
      </w:r>
    </w:p>
    <w:p w14:paraId="6049A11D" w14:textId="47F73F2F" w:rsidR="00AA6F3D" w:rsidRDefault="008768A1">
      <w:r>
        <w:rPr>
          <w:noProof/>
        </w:rPr>
        <w:drawing>
          <wp:inline distT="0" distB="0" distL="0" distR="0" wp14:anchorId="6BA357AC" wp14:editId="712080BB">
            <wp:extent cx="5389576" cy="5303431"/>
            <wp:effectExtent l="0" t="0" r="190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16" cy="531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FC49D" w14:textId="7066B35E" w:rsidR="008768A1" w:rsidRDefault="008768A1"/>
    <w:p w14:paraId="2EFC1290" w14:textId="1760EA11" w:rsidR="008768A1" w:rsidRDefault="008768A1"/>
    <w:p w14:paraId="7C005A26" w14:textId="348F6B0D" w:rsidR="008768A1" w:rsidRDefault="008768A1"/>
    <w:p w14:paraId="7D0AA650" w14:textId="1C9B4E0A" w:rsidR="008768A1" w:rsidRDefault="008768A1"/>
    <w:p w14:paraId="0D0D9C98" w14:textId="5E3D2738" w:rsidR="008768A1" w:rsidRDefault="008768A1"/>
    <w:p w14:paraId="6B166B6E" w14:textId="56243DDE" w:rsidR="008768A1" w:rsidRDefault="008768A1"/>
    <w:p w14:paraId="47663E7F" w14:textId="3878679A" w:rsidR="008768A1" w:rsidRDefault="008768A1"/>
    <w:p w14:paraId="7E2B5423" w14:textId="148E48F7" w:rsidR="008768A1" w:rsidRDefault="008768A1"/>
    <w:p w14:paraId="3191E042" w14:textId="77777777" w:rsidR="008768A1" w:rsidRDefault="008768A1">
      <w:pPr>
        <w:rPr>
          <w:rFonts w:hint="eastAsia"/>
        </w:rPr>
      </w:pPr>
    </w:p>
    <w:p w14:paraId="38E0A0CC" w14:textId="1BCF7FF0" w:rsidR="008768A1" w:rsidRPr="00F56D18" w:rsidRDefault="008768A1" w:rsidP="008768A1">
      <w:pPr>
        <w:rPr>
          <w:rFonts w:ascii="Arial" w:hAnsi="Arial" w:cs="Arial"/>
          <w:sz w:val="24"/>
          <w:szCs w:val="28"/>
        </w:rPr>
      </w:pPr>
      <w:r w:rsidRPr="008768A1">
        <w:rPr>
          <w:rFonts w:ascii="Arial" w:hAnsi="Arial" w:cs="Arial"/>
          <w:b/>
          <w:bCs/>
          <w:sz w:val="24"/>
          <w:szCs w:val="28"/>
        </w:rPr>
        <w:t xml:space="preserve">Supplementary Figure </w:t>
      </w:r>
      <w:r w:rsidRPr="008768A1">
        <w:rPr>
          <w:rFonts w:ascii="Arial" w:hAnsi="Arial" w:cs="Arial"/>
          <w:b/>
          <w:bCs/>
          <w:sz w:val="24"/>
          <w:szCs w:val="28"/>
        </w:rPr>
        <w:t>2</w:t>
      </w:r>
      <w:r w:rsidR="00F56D18">
        <w:rPr>
          <w:rFonts w:ascii="Arial" w:hAnsi="Arial" w:cs="Arial"/>
          <w:b/>
          <w:bCs/>
          <w:sz w:val="24"/>
          <w:szCs w:val="28"/>
        </w:rPr>
        <w:t xml:space="preserve">. </w:t>
      </w:r>
      <w:r w:rsidR="00F56D18" w:rsidRPr="00F56D18">
        <w:rPr>
          <w:rFonts w:ascii="Arial" w:hAnsi="Arial" w:cs="Arial"/>
          <w:sz w:val="24"/>
          <w:szCs w:val="28"/>
        </w:rPr>
        <w:t>Pathological stage-dependent (stage I, II, III, IV and V) SYT11 expression level</w:t>
      </w:r>
      <w:r w:rsidR="00F56D18" w:rsidRPr="00F56D18">
        <w:t xml:space="preserve"> </w:t>
      </w:r>
      <w:r w:rsidR="00F56D18" w:rsidRPr="00F56D18">
        <w:rPr>
          <w:rFonts w:ascii="Arial" w:hAnsi="Arial" w:cs="Arial"/>
          <w:sz w:val="24"/>
          <w:szCs w:val="28"/>
        </w:rPr>
        <w:t>in various tumors</w:t>
      </w:r>
    </w:p>
    <w:p w14:paraId="4D1C80EB" w14:textId="727C844D" w:rsidR="008768A1" w:rsidRDefault="008768A1">
      <w:r>
        <w:rPr>
          <w:noProof/>
        </w:rPr>
        <w:drawing>
          <wp:inline distT="0" distB="0" distL="0" distR="0" wp14:anchorId="339B5A2B" wp14:editId="5DF74770">
            <wp:extent cx="4853364" cy="5760287"/>
            <wp:effectExtent l="0" t="0" r="444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99" cy="5765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C7E67" w14:textId="24004820" w:rsidR="008768A1" w:rsidRDefault="008768A1"/>
    <w:p w14:paraId="39DBB0FE" w14:textId="3C21D10C" w:rsidR="008768A1" w:rsidRDefault="008768A1"/>
    <w:p w14:paraId="785D8BDA" w14:textId="37CB29E0" w:rsidR="008768A1" w:rsidRDefault="008768A1"/>
    <w:p w14:paraId="08123DA3" w14:textId="3ED33FBA" w:rsidR="008768A1" w:rsidRDefault="008768A1"/>
    <w:p w14:paraId="49408E2C" w14:textId="4C9B1263" w:rsidR="008768A1" w:rsidRDefault="008768A1"/>
    <w:p w14:paraId="741D4916" w14:textId="2289CB21" w:rsidR="008768A1" w:rsidRDefault="008768A1"/>
    <w:p w14:paraId="43EAD4EF" w14:textId="302B6C7E" w:rsidR="008768A1" w:rsidRPr="00F56D18" w:rsidRDefault="008768A1">
      <w:pPr>
        <w:rPr>
          <w:rFonts w:ascii="Arial" w:hAnsi="Arial" w:cs="Arial"/>
          <w:sz w:val="24"/>
          <w:szCs w:val="28"/>
        </w:rPr>
      </w:pPr>
      <w:r w:rsidRPr="008768A1">
        <w:rPr>
          <w:rFonts w:ascii="Arial" w:hAnsi="Arial" w:cs="Arial"/>
          <w:b/>
          <w:bCs/>
          <w:sz w:val="24"/>
          <w:szCs w:val="28"/>
        </w:rPr>
        <w:lastRenderedPageBreak/>
        <w:t xml:space="preserve">Supplementary Figure </w:t>
      </w:r>
      <w:r w:rsidRPr="008768A1">
        <w:rPr>
          <w:rFonts w:ascii="Arial" w:hAnsi="Arial" w:cs="Arial"/>
          <w:b/>
          <w:bCs/>
          <w:sz w:val="24"/>
          <w:szCs w:val="28"/>
        </w:rPr>
        <w:t>3</w:t>
      </w:r>
      <w:r w:rsidR="00F56D18">
        <w:rPr>
          <w:rFonts w:ascii="Arial" w:hAnsi="Arial" w:cs="Arial"/>
          <w:b/>
          <w:bCs/>
          <w:sz w:val="24"/>
          <w:szCs w:val="28"/>
        </w:rPr>
        <w:t xml:space="preserve"> </w:t>
      </w:r>
      <w:r w:rsidR="00F56D18" w:rsidRPr="00F56D18">
        <w:rPr>
          <w:rFonts w:ascii="Arial" w:hAnsi="Arial" w:cs="Arial"/>
          <w:sz w:val="24"/>
          <w:szCs w:val="28"/>
        </w:rPr>
        <w:t>Overall survival analysis in various cancer types from TCGA database</w:t>
      </w:r>
    </w:p>
    <w:p w14:paraId="1375DB9D" w14:textId="1A703079" w:rsidR="008768A1" w:rsidRDefault="008768A1">
      <w:r>
        <w:rPr>
          <w:noProof/>
        </w:rPr>
        <w:drawing>
          <wp:inline distT="0" distB="0" distL="0" distR="0" wp14:anchorId="08008E0C" wp14:editId="4001A6FE">
            <wp:extent cx="5699295" cy="7831795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719" cy="7848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004F66" w14:textId="03B9571C" w:rsidR="008768A1" w:rsidRDefault="008768A1"/>
    <w:p w14:paraId="6DABFE82" w14:textId="59817C4D" w:rsidR="008768A1" w:rsidRPr="00F56D18" w:rsidRDefault="008768A1" w:rsidP="008768A1">
      <w:pPr>
        <w:rPr>
          <w:rFonts w:ascii="Arial" w:hAnsi="Arial" w:cs="Arial"/>
          <w:sz w:val="24"/>
          <w:szCs w:val="28"/>
        </w:rPr>
      </w:pPr>
      <w:r w:rsidRPr="008768A1">
        <w:rPr>
          <w:rFonts w:ascii="Arial" w:hAnsi="Arial" w:cs="Arial"/>
          <w:b/>
          <w:bCs/>
          <w:sz w:val="24"/>
          <w:szCs w:val="28"/>
        </w:rPr>
        <w:lastRenderedPageBreak/>
        <w:t xml:space="preserve">Supplementary Figure </w:t>
      </w:r>
      <w:r w:rsidRPr="008768A1">
        <w:rPr>
          <w:rFonts w:ascii="Arial" w:hAnsi="Arial" w:cs="Arial"/>
          <w:b/>
          <w:bCs/>
          <w:sz w:val="24"/>
          <w:szCs w:val="28"/>
        </w:rPr>
        <w:t>4</w:t>
      </w:r>
      <w:r w:rsidR="00F56D18">
        <w:rPr>
          <w:rFonts w:ascii="Arial" w:hAnsi="Arial" w:cs="Arial"/>
          <w:b/>
          <w:bCs/>
          <w:sz w:val="24"/>
          <w:szCs w:val="28"/>
        </w:rPr>
        <w:t xml:space="preserve"> </w:t>
      </w:r>
      <w:r w:rsidR="00F56D18" w:rsidRPr="00F56D18">
        <w:rPr>
          <w:rFonts w:ascii="Arial" w:hAnsi="Arial" w:cs="Arial"/>
          <w:sz w:val="24"/>
          <w:szCs w:val="28"/>
        </w:rPr>
        <w:t>D</w:t>
      </w:r>
      <w:r w:rsidR="00F56D18" w:rsidRPr="00F56D18">
        <w:rPr>
          <w:rFonts w:ascii="Arial" w:hAnsi="Arial" w:cs="Arial"/>
          <w:sz w:val="24"/>
          <w:szCs w:val="28"/>
        </w:rPr>
        <w:t>isease-free survival analysis in various cancer types from TCGA database</w:t>
      </w:r>
    </w:p>
    <w:p w14:paraId="31E3FCBE" w14:textId="6E4472FD" w:rsidR="008768A1" w:rsidRDefault="008768A1">
      <w:pPr>
        <w:rPr>
          <w:rFonts w:hint="eastAsia"/>
        </w:rPr>
      </w:pPr>
      <w:r>
        <w:rPr>
          <w:noProof/>
        </w:rPr>
        <w:drawing>
          <wp:inline distT="0" distB="0" distL="0" distR="0" wp14:anchorId="19CBD418" wp14:editId="01F212BB">
            <wp:extent cx="5715935" cy="7858022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441" cy="7869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768A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A1"/>
    <w:rsid w:val="00430D41"/>
    <w:rsid w:val="008768A1"/>
    <w:rsid w:val="008B3432"/>
    <w:rsid w:val="00AA6F3D"/>
    <w:rsid w:val="00F5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A9E2A"/>
  <w15:chartTrackingRefBased/>
  <w15:docId w15:val="{DCF0ED2D-C5C9-4CF6-95CE-41A7E972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2023-11-24T01:21:00Z</dcterms:created>
  <dcterms:modified xsi:type="dcterms:W3CDTF">2023-11-24T01:27:00Z</dcterms:modified>
</cp:coreProperties>
</file>