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C89704" w14:textId="77777777" w:rsidR="00842D67" w:rsidRDefault="00842D67" w:rsidP="00842D67">
      <w:pPr>
        <w:jc w:val="both"/>
        <w:rPr>
          <w:sz w:val="24"/>
          <w:szCs w:val="24"/>
        </w:rPr>
      </w:pPr>
      <w:r w:rsidRPr="002B1763">
        <w:rPr>
          <w:b/>
          <w:bCs/>
          <w:sz w:val="28"/>
          <w:szCs w:val="28"/>
        </w:rPr>
        <w:t xml:space="preserve">Appendix </w:t>
      </w:r>
      <w:r w:rsidRPr="002B1763">
        <w:rPr>
          <w:b/>
          <w:bCs/>
          <w:sz w:val="24"/>
          <w:szCs w:val="24"/>
        </w:rPr>
        <w:t>A:</w:t>
      </w:r>
      <w:r>
        <w:rPr>
          <w:sz w:val="24"/>
          <w:szCs w:val="24"/>
        </w:rPr>
        <w:t xml:space="preserve"> Debt</w:t>
      </w:r>
    </w:p>
    <w:p w14:paraId="1356825F" w14:textId="77777777" w:rsidR="00842D67" w:rsidRDefault="00842D67" w:rsidP="00842D67">
      <w:pPr>
        <w:jc w:val="both"/>
        <w:rPr>
          <w:sz w:val="24"/>
          <w:szCs w:val="24"/>
        </w:rPr>
      </w:pPr>
      <w:r w:rsidRPr="00982C7E">
        <w:rPr>
          <w:sz w:val="24"/>
          <w:szCs w:val="24"/>
        </w:rPr>
        <w:t>T</w:t>
      </w:r>
      <w:r>
        <w:rPr>
          <w:sz w:val="24"/>
          <w:szCs w:val="24"/>
        </w:rPr>
        <w:t xml:space="preserve">his section </w:t>
      </w:r>
      <w:r w:rsidRPr="00982C7E">
        <w:rPr>
          <w:sz w:val="24"/>
          <w:szCs w:val="24"/>
        </w:rPr>
        <w:t xml:space="preserve">presents debt-to-GDP </w:t>
      </w:r>
      <w:r>
        <w:rPr>
          <w:sz w:val="24"/>
          <w:szCs w:val="24"/>
        </w:rPr>
        <w:t xml:space="preserve">series for EU, US and China regions. Moreover, it investigates </w:t>
      </w:r>
      <w:r w:rsidRPr="00982C7E">
        <w:rPr>
          <w:sz w:val="24"/>
          <w:szCs w:val="24"/>
        </w:rPr>
        <w:t xml:space="preserve">the heterogeneity of debt among </w:t>
      </w:r>
      <w:r>
        <w:rPr>
          <w:sz w:val="24"/>
          <w:szCs w:val="24"/>
        </w:rPr>
        <w:t>all three regions. Eventually it presents the impact of</w:t>
      </w:r>
      <w:r w:rsidRPr="00982C7E">
        <w:rPr>
          <w:sz w:val="24"/>
          <w:szCs w:val="24"/>
        </w:rPr>
        <w:t xml:space="preserve"> the inflation on debt-to-GDP</w:t>
      </w:r>
      <w:r>
        <w:rPr>
          <w:sz w:val="24"/>
          <w:szCs w:val="24"/>
        </w:rPr>
        <w:t>.</w:t>
      </w:r>
    </w:p>
    <w:p w14:paraId="78D42B2F" w14:textId="77777777" w:rsidR="00842D67" w:rsidRPr="00982C7E" w:rsidRDefault="00842D67" w:rsidP="00842D67">
      <w:pPr>
        <w:jc w:val="both"/>
        <w:rPr>
          <w:b/>
          <w:bCs/>
          <w:sz w:val="24"/>
          <w:szCs w:val="24"/>
        </w:rPr>
      </w:pPr>
      <w:r w:rsidRPr="00982C7E">
        <w:rPr>
          <w:b/>
          <w:bCs/>
          <w:sz w:val="24"/>
          <w:szCs w:val="24"/>
        </w:rPr>
        <w:t>Debt-to-GDP time series</w:t>
      </w:r>
    </w:p>
    <w:p w14:paraId="7E899E82" w14:textId="77777777" w:rsidR="00842D67" w:rsidRPr="00982C7E" w:rsidRDefault="00842D67" w:rsidP="00842D67">
      <w:pPr>
        <w:jc w:val="both"/>
        <w:rPr>
          <w:sz w:val="24"/>
          <w:szCs w:val="24"/>
        </w:rPr>
      </w:pPr>
      <w:r w:rsidRPr="00982C7E">
        <w:rPr>
          <w:sz w:val="24"/>
          <w:szCs w:val="24"/>
        </w:rPr>
        <w:t>Right at the beginning of our time series the</w:t>
      </w:r>
      <w:r>
        <w:rPr>
          <w:sz w:val="24"/>
          <w:szCs w:val="24"/>
        </w:rPr>
        <w:t xml:space="preserve"> quantitative</w:t>
      </w:r>
      <w:r w:rsidRPr="00982C7E">
        <w:rPr>
          <w:sz w:val="24"/>
          <w:szCs w:val="24"/>
        </w:rPr>
        <w:t xml:space="preserve"> differences among the three regions are</w:t>
      </w:r>
      <w:r>
        <w:rPr>
          <w:sz w:val="24"/>
          <w:szCs w:val="24"/>
        </w:rPr>
        <w:t xml:space="preserve"> </w:t>
      </w:r>
      <w:r w:rsidRPr="00982C7E">
        <w:rPr>
          <w:sz w:val="24"/>
          <w:szCs w:val="24"/>
        </w:rPr>
        <w:t>evident: from the start of 1997, both the US and EU public debt-GDP ratios float way</w:t>
      </w:r>
      <w:r>
        <w:rPr>
          <w:sz w:val="24"/>
          <w:szCs w:val="24"/>
        </w:rPr>
        <w:t xml:space="preserve"> </w:t>
      </w:r>
      <w:r w:rsidRPr="00982C7E">
        <w:rPr>
          <w:sz w:val="24"/>
          <w:szCs w:val="24"/>
        </w:rPr>
        <w:t>higher than China.</w:t>
      </w:r>
    </w:p>
    <w:p w14:paraId="0092EBEC" w14:textId="77777777" w:rsidR="00842D67" w:rsidRPr="00982C7E" w:rsidRDefault="00842D67" w:rsidP="00842D67">
      <w:pPr>
        <w:jc w:val="both"/>
        <w:rPr>
          <w:sz w:val="24"/>
          <w:szCs w:val="24"/>
        </w:rPr>
      </w:pPr>
      <w:r w:rsidRPr="00982C7E">
        <w:rPr>
          <w:sz w:val="24"/>
          <w:szCs w:val="24"/>
        </w:rPr>
        <w:t>The US and the EU start diverging from one another after the 2008 financial crash, when</w:t>
      </w:r>
      <w:r>
        <w:rPr>
          <w:sz w:val="24"/>
          <w:szCs w:val="24"/>
        </w:rPr>
        <w:t xml:space="preserve"> </w:t>
      </w:r>
      <w:r w:rsidRPr="00982C7E">
        <w:rPr>
          <w:sz w:val="24"/>
          <w:szCs w:val="24"/>
        </w:rPr>
        <w:t>the US debt-to-GDP ratio rises to the top, leaving both China and Europe far behind.</w:t>
      </w:r>
    </w:p>
    <w:p w14:paraId="1F71789B" w14:textId="77777777" w:rsidR="00842D67" w:rsidRPr="00982C7E" w:rsidRDefault="00842D67" w:rsidP="00842D67">
      <w:pPr>
        <w:jc w:val="both"/>
        <w:rPr>
          <w:sz w:val="24"/>
          <w:szCs w:val="24"/>
        </w:rPr>
      </w:pPr>
      <w:r w:rsidRPr="00982C7E">
        <w:rPr>
          <w:sz w:val="24"/>
          <w:szCs w:val="24"/>
        </w:rPr>
        <w:t>Interestingly, after the Financial Crisis the US ratio keeps on growing steadily but slowly</w:t>
      </w:r>
      <w:r>
        <w:rPr>
          <w:sz w:val="24"/>
          <w:szCs w:val="24"/>
        </w:rPr>
        <w:t xml:space="preserve"> </w:t>
      </w:r>
      <w:r w:rsidRPr="00982C7E">
        <w:rPr>
          <w:sz w:val="24"/>
          <w:szCs w:val="24"/>
        </w:rPr>
        <w:t>due to the monetary and fiscal policies adopted by the country to balance the debt and the</w:t>
      </w:r>
      <w:r>
        <w:rPr>
          <w:sz w:val="24"/>
          <w:szCs w:val="24"/>
        </w:rPr>
        <w:t xml:space="preserve"> </w:t>
      </w:r>
      <w:r w:rsidRPr="00982C7E">
        <w:rPr>
          <w:sz w:val="24"/>
          <w:szCs w:val="24"/>
        </w:rPr>
        <w:t>GDP. The steadiness is kept until 2020 when the US experience the highest percentage increase in the debt ratio. This increase might be due to the poor regulamentation</w:t>
      </w:r>
      <w:r>
        <w:rPr>
          <w:sz w:val="24"/>
          <w:szCs w:val="24"/>
        </w:rPr>
        <w:t xml:space="preserve"> </w:t>
      </w:r>
      <w:r w:rsidRPr="00982C7E">
        <w:rPr>
          <w:sz w:val="24"/>
          <w:szCs w:val="24"/>
        </w:rPr>
        <w:t>concerning</w:t>
      </w:r>
      <w:r>
        <w:rPr>
          <w:sz w:val="24"/>
          <w:szCs w:val="24"/>
        </w:rPr>
        <w:t xml:space="preserve"> </w:t>
      </w:r>
      <w:r w:rsidRPr="00982C7E">
        <w:rPr>
          <w:sz w:val="24"/>
          <w:szCs w:val="24"/>
        </w:rPr>
        <w:t>employment, which consequently lowers the GDP of the nation entailing a rise in public</w:t>
      </w:r>
      <w:r>
        <w:rPr>
          <w:sz w:val="24"/>
          <w:szCs w:val="24"/>
        </w:rPr>
        <w:t xml:space="preserve"> </w:t>
      </w:r>
      <w:r w:rsidRPr="00982C7E">
        <w:rPr>
          <w:sz w:val="24"/>
          <w:szCs w:val="24"/>
        </w:rPr>
        <w:t>debt-GDP ratio (Reinhart, Rogoff, 2010).</w:t>
      </w:r>
    </w:p>
    <w:p w14:paraId="5F2C8ACE" w14:textId="77777777" w:rsidR="00842D67" w:rsidRDefault="00842D67" w:rsidP="00842D67">
      <w:pPr>
        <w:jc w:val="both"/>
        <w:rPr>
          <w:sz w:val="24"/>
          <w:szCs w:val="24"/>
        </w:rPr>
      </w:pPr>
      <w:r w:rsidRPr="00982C7E">
        <w:rPr>
          <w:sz w:val="24"/>
          <w:szCs w:val="24"/>
        </w:rPr>
        <w:t xml:space="preserve">On the other hand, when </w:t>
      </w:r>
      <w:r>
        <w:rPr>
          <w:sz w:val="24"/>
          <w:szCs w:val="24"/>
        </w:rPr>
        <w:t>the</w:t>
      </w:r>
      <w:r w:rsidRPr="00982C7E">
        <w:rPr>
          <w:sz w:val="24"/>
          <w:szCs w:val="24"/>
        </w:rPr>
        <w:t xml:space="preserve"> time series starts China is </w:t>
      </w:r>
      <w:r>
        <w:rPr>
          <w:sz w:val="24"/>
          <w:szCs w:val="24"/>
        </w:rPr>
        <w:t xml:space="preserve">still </w:t>
      </w:r>
      <w:r w:rsidRPr="00982C7E">
        <w:rPr>
          <w:sz w:val="24"/>
          <w:szCs w:val="24"/>
        </w:rPr>
        <w:t>a developing economy, and</w:t>
      </w:r>
      <w:r>
        <w:rPr>
          <w:sz w:val="24"/>
          <w:szCs w:val="24"/>
        </w:rPr>
        <w:t xml:space="preserve"> </w:t>
      </w:r>
      <w:r w:rsidRPr="00982C7E">
        <w:rPr>
          <w:sz w:val="24"/>
          <w:szCs w:val="24"/>
        </w:rPr>
        <w:t>due to this, the GDP grows slowly. Therefore, the debt-to-GDP ratio of China cannot be</w:t>
      </w:r>
      <w:r>
        <w:rPr>
          <w:sz w:val="24"/>
          <w:szCs w:val="24"/>
        </w:rPr>
        <w:t xml:space="preserve"> </w:t>
      </w:r>
      <w:r w:rsidRPr="00982C7E">
        <w:rPr>
          <w:sz w:val="24"/>
          <w:szCs w:val="24"/>
        </w:rPr>
        <w:t>compared to the powerhouses that are the European Union and the United States to this</w:t>
      </w:r>
      <w:r>
        <w:rPr>
          <w:sz w:val="24"/>
          <w:szCs w:val="24"/>
        </w:rPr>
        <w:t xml:space="preserve"> </w:t>
      </w:r>
      <w:r w:rsidRPr="00982C7E">
        <w:rPr>
          <w:sz w:val="24"/>
          <w:szCs w:val="24"/>
        </w:rPr>
        <w:t>day (Barth et al., 2009).</w:t>
      </w:r>
    </w:p>
    <w:p w14:paraId="4AD5E487" w14:textId="77777777" w:rsidR="00842D67" w:rsidRDefault="00842D67" w:rsidP="00842D67">
      <w:pPr>
        <w:pStyle w:val="ListParagraph"/>
        <w:keepNext/>
        <w:spacing w:before="240" w:after="0" w:line="360" w:lineRule="auto"/>
        <w:ind w:left="57"/>
        <w:jc w:val="center"/>
      </w:pPr>
      <w:r w:rsidRPr="00982C7E">
        <w:rPr>
          <w:noProof/>
          <w:sz w:val="24"/>
          <w:szCs w:val="24"/>
        </w:rPr>
        <w:drawing>
          <wp:inline distT="0" distB="0" distL="0" distR="0" wp14:anchorId="0B7F0657" wp14:editId="2322E8FC">
            <wp:extent cx="3810112" cy="2547606"/>
            <wp:effectExtent l="0" t="0" r="0" b="0"/>
            <wp:docPr id="698832508" name="Immagine 1" descr="Immagine che contiene testo, schermata, linea, Diagramm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832508" name="Immagine 1" descr="Immagine che contiene testo, schermata, linea, Diagramma&#10;&#10;Descrizione generata automaticamente"/>
                    <pic:cNvPicPr/>
                  </pic:nvPicPr>
                  <pic:blipFill rotWithShape="1">
                    <a:blip r:embed="rId4"/>
                    <a:srcRect t="4698"/>
                    <a:stretch/>
                  </pic:blipFill>
                  <pic:spPr bwMode="auto">
                    <a:xfrm>
                      <a:off x="0" y="0"/>
                      <a:ext cx="3810112" cy="2547606"/>
                    </a:xfrm>
                    <a:prstGeom prst="rect">
                      <a:avLst/>
                    </a:prstGeom>
                    <a:ln>
                      <a:noFill/>
                    </a:ln>
                    <a:extLst>
                      <a:ext uri="{53640926-AAD7-44D8-BBD7-CCE9431645EC}">
                        <a14:shadowObscured xmlns:a14="http://schemas.microsoft.com/office/drawing/2010/main"/>
                      </a:ext>
                    </a:extLst>
                  </pic:spPr>
                </pic:pic>
              </a:graphicData>
            </a:graphic>
          </wp:inline>
        </w:drawing>
      </w:r>
    </w:p>
    <w:p w14:paraId="0AACEF8E" w14:textId="77777777" w:rsidR="00842D67" w:rsidRPr="005D30BB" w:rsidRDefault="00842D67" w:rsidP="00842D67">
      <w:pPr>
        <w:pStyle w:val="Caption"/>
        <w:jc w:val="center"/>
        <w:rPr>
          <w:b w:val="0"/>
          <w:bCs w:val="0"/>
          <w:color w:val="auto"/>
        </w:rPr>
      </w:pPr>
      <w:r w:rsidRPr="005D30BB">
        <w:rPr>
          <w:b w:val="0"/>
          <w:bCs w:val="0"/>
          <w:color w:val="auto"/>
          <w:sz w:val="20"/>
          <w:szCs w:val="20"/>
        </w:rPr>
        <w:t xml:space="preserve">Figure </w:t>
      </w:r>
      <w:r w:rsidRPr="005D30BB">
        <w:rPr>
          <w:b w:val="0"/>
          <w:bCs w:val="0"/>
          <w:color w:val="auto"/>
          <w:sz w:val="20"/>
          <w:szCs w:val="20"/>
        </w:rPr>
        <w:fldChar w:fldCharType="begin"/>
      </w:r>
      <w:r w:rsidRPr="005D30BB">
        <w:rPr>
          <w:b w:val="0"/>
          <w:bCs w:val="0"/>
          <w:color w:val="auto"/>
          <w:sz w:val="20"/>
          <w:szCs w:val="20"/>
        </w:rPr>
        <w:instrText xml:space="preserve"> SEQ Figure \* ARABIC </w:instrText>
      </w:r>
      <w:r w:rsidRPr="005D30BB">
        <w:rPr>
          <w:b w:val="0"/>
          <w:bCs w:val="0"/>
          <w:color w:val="auto"/>
          <w:sz w:val="20"/>
          <w:szCs w:val="20"/>
        </w:rPr>
        <w:fldChar w:fldCharType="separate"/>
      </w:r>
      <w:r>
        <w:rPr>
          <w:b w:val="0"/>
          <w:bCs w:val="0"/>
          <w:noProof/>
          <w:color w:val="auto"/>
          <w:sz w:val="20"/>
          <w:szCs w:val="20"/>
        </w:rPr>
        <w:t>4</w:t>
      </w:r>
      <w:r w:rsidRPr="005D30BB">
        <w:rPr>
          <w:b w:val="0"/>
          <w:bCs w:val="0"/>
          <w:color w:val="auto"/>
          <w:sz w:val="20"/>
          <w:szCs w:val="20"/>
        </w:rPr>
        <w:fldChar w:fldCharType="end"/>
      </w:r>
      <w:r w:rsidRPr="005D30BB">
        <w:rPr>
          <w:b w:val="0"/>
          <w:bCs w:val="0"/>
          <w:color w:val="auto"/>
          <w:sz w:val="20"/>
          <w:szCs w:val="20"/>
        </w:rPr>
        <w:t xml:space="preserve"> -Public debt over GDP ratio throughout the years in the three Countries</w:t>
      </w:r>
    </w:p>
    <w:p w14:paraId="276ECC44" w14:textId="77777777" w:rsidR="00842D67" w:rsidRDefault="00842D67" w:rsidP="00842D67">
      <w:pPr>
        <w:rPr>
          <w:b/>
          <w:bCs/>
          <w:sz w:val="24"/>
          <w:szCs w:val="24"/>
        </w:rPr>
      </w:pPr>
    </w:p>
    <w:p w14:paraId="609F1096" w14:textId="77777777" w:rsidR="00842D67" w:rsidRDefault="00842D67" w:rsidP="00842D67">
      <w:pPr>
        <w:rPr>
          <w:b/>
          <w:bCs/>
          <w:sz w:val="24"/>
          <w:szCs w:val="24"/>
        </w:rPr>
      </w:pPr>
      <w:r w:rsidRPr="00982C7E">
        <w:rPr>
          <w:b/>
          <w:bCs/>
          <w:sz w:val="24"/>
          <w:szCs w:val="24"/>
        </w:rPr>
        <w:t>Regions’ Debt-GDP heterogeneity</w:t>
      </w:r>
    </w:p>
    <w:p w14:paraId="514C3A0F" w14:textId="77777777" w:rsidR="00842D67" w:rsidRPr="00982C7E" w:rsidRDefault="00842D67" w:rsidP="00842D67">
      <w:pPr>
        <w:jc w:val="both"/>
        <w:rPr>
          <w:b/>
          <w:bCs/>
          <w:sz w:val="24"/>
          <w:szCs w:val="24"/>
        </w:rPr>
      </w:pPr>
      <w:r w:rsidRPr="00982C7E">
        <w:rPr>
          <w:sz w:val="24"/>
          <w:szCs w:val="24"/>
        </w:rPr>
        <w:t>Figure 5 shows the heterogeneity among the three regions. The public debt-to-GDP ratio</w:t>
      </w:r>
      <w:r>
        <w:rPr>
          <w:b/>
          <w:bCs/>
          <w:sz w:val="24"/>
          <w:szCs w:val="24"/>
        </w:rPr>
        <w:t xml:space="preserve"> </w:t>
      </w:r>
      <w:r w:rsidRPr="00982C7E">
        <w:rPr>
          <w:sz w:val="24"/>
          <w:szCs w:val="24"/>
        </w:rPr>
        <w:t>has high heterogeneity among them, in particular between China and the two developed</w:t>
      </w:r>
      <w:r>
        <w:rPr>
          <w:b/>
          <w:bCs/>
          <w:sz w:val="24"/>
          <w:szCs w:val="24"/>
        </w:rPr>
        <w:t xml:space="preserve"> </w:t>
      </w:r>
      <w:r w:rsidRPr="00982C7E">
        <w:rPr>
          <w:sz w:val="24"/>
          <w:szCs w:val="24"/>
        </w:rPr>
        <w:t>economies of US and EU. Moreover, a high heterogeneity can be observed within the US.</w:t>
      </w:r>
    </w:p>
    <w:p w14:paraId="745C3D0B" w14:textId="77777777" w:rsidR="00842D67" w:rsidRDefault="00842D67" w:rsidP="00842D67">
      <w:pPr>
        <w:jc w:val="both"/>
        <w:rPr>
          <w:sz w:val="24"/>
          <w:szCs w:val="24"/>
        </w:rPr>
      </w:pPr>
      <w:r w:rsidRPr="00982C7E">
        <w:rPr>
          <w:sz w:val="24"/>
          <w:szCs w:val="24"/>
        </w:rPr>
        <w:t>In line with Eberhardt and Presbitero (2015), our results show the differences among the</w:t>
      </w:r>
      <w:r>
        <w:rPr>
          <w:sz w:val="24"/>
          <w:szCs w:val="24"/>
        </w:rPr>
        <w:t xml:space="preserve"> </w:t>
      </w:r>
      <w:r w:rsidRPr="00982C7E">
        <w:rPr>
          <w:sz w:val="24"/>
          <w:szCs w:val="24"/>
        </w:rPr>
        <w:t>regions. China trying to catch-up with well-established economies, that on the other hand</w:t>
      </w:r>
      <w:r>
        <w:rPr>
          <w:sz w:val="24"/>
          <w:szCs w:val="24"/>
        </w:rPr>
        <w:t xml:space="preserve"> </w:t>
      </w:r>
      <w:r w:rsidRPr="00982C7E">
        <w:rPr>
          <w:sz w:val="24"/>
          <w:szCs w:val="24"/>
        </w:rPr>
        <w:t>float way higher in regards of debt-to-GDP ratio. Looking, instead, at the within hetero</w:t>
      </w:r>
      <w:r>
        <w:rPr>
          <w:sz w:val="24"/>
          <w:szCs w:val="24"/>
        </w:rPr>
        <w:t xml:space="preserve"> </w:t>
      </w:r>
      <w:r w:rsidRPr="00982C7E">
        <w:rPr>
          <w:sz w:val="24"/>
          <w:szCs w:val="24"/>
        </w:rPr>
        <w:t>geneity the biggest gap is in the US. This is due to the difficulties the country experienced</w:t>
      </w:r>
      <w:r>
        <w:rPr>
          <w:sz w:val="24"/>
          <w:szCs w:val="24"/>
        </w:rPr>
        <w:t xml:space="preserve"> </w:t>
      </w:r>
      <w:r w:rsidRPr="00982C7E">
        <w:rPr>
          <w:sz w:val="24"/>
          <w:szCs w:val="24"/>
        </w:rPr>
        <w:t>in the journey to recovery from the 2008 crisis before running into a new one.</w:t>
      </w:r>
    </w:p>
    <w:p w14:paraId="119EC8E8" w14:textId="77777777" w:rsidR="00842D67" w:rsidRDefault="00842D67" w:rsidP="00842D67">
      <w:pPr>
        <w:keepNext/>
        <w:jc w:val="center"/>
      </w:pPr>
      <w:r w:rsidRPr="00982C7E">
        <w:rPr>
          <w:noProof/>
          <w:sz w:val="24"/>
          <w:szCs w:val="24"/>
        </w:rPr>
        <w:drawing>
          <wp:inline distT="0" distB="0" distL="0" distR="0" wp14:anchorId="0D50D9ED" wp14:editId="71C50C6C">
            <wp:extent cx="4280109" cy="2875225"/>
            <wp:effectExtent l="0" t="0" r="0" b="0"/>
            <wp:docPr id="995928466" name="Immagine 1" descr="Immagine che contiene testo, linea, diagramma, Diagramm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928466" name="Immagine 1" descr="Immagine che contiene testo, linea, diagramma, Diagramma&#10;&#10;Descrizione generata automaticamente"/>
                    <pic:cNvPicPr/>
                  </pic:nvPicPr>
                  <pic:blipFill rotWithShape="1">
                    <a:blip r:embed="rId5"/>
                    <a:srcRect l="802" t="1519" r="1817" b="2097"/>
                    <a:stretch/>
                  </pic:blipFill>
                  <pic:spPr bwMode="auto">
                    <a:xfrm>
                      <a:off x="0" y="0"/>
                      <a:ext cx="4291542" cy="2882906"/>
                    </a:xfrm>
                    <a:prstGeom prst="rect">
                      <a:avLst/>
                    </a:prstGeom>
                    <a:ln>
                      <a:noFill/>
                    </a:ln>
                    <a:extLst>
                      <a:ext uri="{53640926-AAD7-44D8-BBD7-CCE9431645EC}">
                        <a14:shadowObscured xmlns:a14="http://schemas.microsoft.com/office/drawing/2010/main"/>
                      </a:ext>
                    </a:extLst>
                  </pic:spPr>
                </pic:pic>
              </a:graphicData>
            </a:graphic>
          </wp:inline>
        </w:drawing>
      </w:r>
    </w:p>
    <w:p w14:paraId="138E3424" w14:textId="77777777" w:rsidR="00842D67" w:rsidRPr="005D30BB" w:rsidRDefault="00842D67" w:rsidP="00842D67">
      <w:pPr>
        <w:pStyle w:val="Caption"/>
        <w:jc w:val="center"/>
        <w:rPr>
          <w:color w:val="auto"/>
        </w:rPr>
      </w:pPr>
      <w:r w:rsidRPr="005D30BB">
        <w:rPr>
          <w:color w:val="auto"/>
          <w:sz w:val="20"/>
          <w:szCs w:val="20"/>
        </w:rPr>
        <w:t xml:space="preserve">Figure </w:t>
      </w:r>
      <w:r w:rsidRPr="005D30BB">
        <w:rPr>
          <w:color w:val="auto"/>
          <w:sz w:val="20"/>
          <w:szCs w:val="20"/>
        </w:rPr>
        <w:fldChar w:fldCharType="begin"/>
      </w:r>
      <w:r w:rsidRPr="005D30BB">
        <w:rPr>
          <w:color w:val="auto"/>
          <w:sz w:val="20"/>
          <w:szCs w:val="20"/>
        </w:rPr>
        <w:instrText xml:space="preserve"> SEQ Figure \* ARABIC </w:instrText>
      </w:r>
      <w:r w:rsidRPr="005D30BB">
        <w:rPr>
          <w:color w:val="auto"/>
          <w:sz w:val="20"/>
          <w:szCs w:val="20"/>
        </w:rPr>
        <w:fldChar w:fldCharType="separate"/>
      </w:r>
      <w:r>
        <w:rPr>
          <w:noProof/>
          <w:color w:val="auto"/>
          <w:sz w:val="20"/>
          <w:szCs w:val="20"/>
        </w:rPr>
        <w:t>5</w:t>
      </w:r>
      <w:r w:rsidRPr="005D30BB">
        <w:rPr>
          <w:color w:val="auto"/>
          <w:sz w:val="20"/>
          <w:szCs w:val="20"/>
        </w:rPr>
        <w:fldChar w:fldCharType="end"/>
      </w:r>
      <w:r w:rsidRPr="005D30BB">
        <w:rPr>
          <w:color w:val="auto"/>
          <w:sz w:val="20"/>
          <w:szCs w:val="20"/>
        </w:rPr>
        <w:t xml:space="preserve"> -Heterogeneity across Countries</w:t>
      </w:r>
    </w:p>
    <w:p w14:paraId="517303F9" w14:textId="77777777" w:rsidR="00842D67" w:rsidRDefault="00842D67" w:rsidP="00842D67">
      <w:pPr>
        <w:jc w:val="both"/>
        <w:rPr>
          <w:b/>
          <w:bCs/>
          <w:sz w:val="24"/>
          <w:szCs w:val="24"/>
        </w:rPr>
      </w:pPr>
    </w:p>
    <w:p w14:paraId="446C3874" w14:textId="77777777" w:rsidR="00842D67" w:rsidRDefault="00842D67" w:rsidP="00842D67">
      <w:pPr>
        <w:jc w:val="both"/>
        <w:rPr>
          <w:b/>
          <w:bCs/>
          <w:sz w:val="24"/>
          <w:szCs w:val="24"/>
        </w:rPr>
      </w:pPr>
      <w:r>
        <w:rPr>
          <w:b/>
          <w:bCs/>
          <w:sz w:val="24"/>
          <w:szCs w:val="24"/>
        </w:rPr>
        <w:t>Impact of i</w:t>
      </w:r>
      <w:r w:rsidRPr="00982C7E">
        <w:rPr>
          <w:b/>
          <w:bCs/>
          <w:sz w:val="24"/>
          <w:szCs w:val="24"/>
        </w:rPr>
        <w:t>nflation on debt-to-GDP</w:t>
      </w:r>
    </w:p>
    <w:p w14:paraId="06BEA18C" w14:textId="77777777" w:rsidR="00842D67" w:rsidRPr="00982C7E" w:rsidRDefault="00842D67" w:rsidP="00842D67">
      <w:pPr>
        <w:jc w:val="both"/>
        <w:rPr>
          <w:b/>
          <w:bCs/>
          <w:sz w:val="24"/>
          <w:szCs w:val="24"/>
        </w:rPr>
      </w:pPr>
      <w:r w:rsidRPr="00982C7E">
        <w:rPr>
          <w:sz w:val="24"/>
          <w:szCs w:val="24"/>
        </w:rPr>
        <w:t>The regression below shows only the effect of a change in inflation for the EU and US.</w:t>
      </w:r>
      <w:r>
        <w:rPr>
          <w:sz w:val="24"/>
          <w:szCs w:val="24"/>
        </w:rPr>
        <w:t xml:space="preserve"> </w:t>
      </w:r>
      <w:r w:rsidRPr="00982C7E">
        <w:rPr>
          <w:sz w:val="24"/>
          <w:szCs w:val="24"/>
        </w:rPr>
        <w:t>The main regression graph would not allow for all the results to show due to China high</w:t>
      </w:r>
      <w:r>
        <w:rPr>
          <w:sz w:val="24"/>
          <w:szCs w:val="24"/>
        </w:rPr>
        <w:t xml:space="preserve"> </w:t>
      </w:r>
      <w:r w:rsidRPr="00982C7E">
        <w:rPr>
          <w:sz w:val="24"/>
          <w:szCs w:val="24"/>
        </w:rPr>
        <w:t>variability in inflation.</w:t>
      </w:r>
    </w:p>
    <w:p w14:paraId="5A481E72" w14:textId="77777777" w:rsidR="00842D67" w:rsidRDefault="00842D67" w:rsidP="00842D67">
      <w:pPr>
        <w:keepNext/>
        <w:jc w:val="center"/>
      </w:pPr>
      <w:r w:rsidRPr="00982C7E">
        <w:rPr>
          <w:noProof/>
          <w:sz w:val="24"/>
          <w:szCs w:val="24"/>
        </w:rPr>
        <w:lastRenderedPageBreak/>
        <w:drawing>
          <wp:inline distT="0" distB="0" distL="0" distR="0" wp14:anchorId="2F7A7556" wp14:editId="07F41F84">
            <wp:extent cx="3901327" cy="2727146"/>
            <wp:effectExtent l="0" t="0" r="0" b="0"/>
            <wp:docPr id="1923684132" name="Immagine 1" descr="Immagine che contiene testo, linea, diagramma, Diagramm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3684132" name="Immagine 1" descr="Immagine che contiene testo, linea, diagramma, Diagramma&#10;&#10;Descrizione generata automaticamente"/>
                    <pic:cNvPicPr/>
                  </pic:nvPicPr>
                  <pic:blipFill rotWithShape="1">
                    <a:blip r:embed="rId6"/>
                    <a:srcRect l="1569" t="1920" r="2606" b="1156"/>
                    <a:stretch/>
                  </pic:blipFill>
                  <pic:spPr bwMode="auto">
                    <a:xfrm>
                      <a:off x="0" y="0"/>
                      <a:ext cx="3912683" cy="2735084"/>
                    </a:xfrm>
                    <a:prstGeom prst="rect">
                      <a:avLst/>
                    </a:prstGeom>
                    <a:ln>
                      <a:noFill/>
                    </a:ln>
                    <a:extLst>
                      <a:ext uri="{53640926-AAD7-44D8-BBD7-CCE9431645EC}">
                        <a14:shadowObscured xmlns:a14="http://schemas.microsoft.com/office/drawing/2010/main"/>
                      </a:ext>
                    </a:extLst>
                  </pic:spPr>
                </pic:pic>
              </a:graphicData>
            </a:graphic>
          </wp:inline>
        </w:drawing>
      </w:r>
    </w:p>
    <w:p w14:paraId="1BC4EA29" w14:textId="77777777" w:rsidR="00842D67" w:rsidRPr="00982C7E" w:rsidRDefault="00842D67" w:rsidP="00842D67">
      <w:pPr>
        <w:pStyle w:val="Caption"/>
        <w:jc w:val="center"/>
        <w:rPr>
          <w:b w:val="0"/>
          <w:bCs w:val="0"/>
          <w:color w:val="auto"/>
        </w:rPr>
      </w:pPr>
      <w:r w:rsidRPr="00982C7E">
        <w:rPr>
          <w:b w:val="0"/>
          <w:bCs w:val="0"/>
          <w:color w:val="auto"/>
          <w:sz w:val="20"/>
          <w:szCs w:val="20"/>
        </w:rPr>
        <w:t xml:space="preserve">Figure </w:t>
      </w:r>
      <w:r w:rsidRPr="00982C7E">
        <w:rPr>
          <w:b w:val="0"/>
          <w:bCs w:val="0"/>
          <w:color w:val="auto"/>
          <w:sz w:val="20"/>
          <w:szCs w:val="20"/>
        </w:rPr>
        <w:fldChar w:fldCharType="begin"/>
      </w:r>
      <w:r w:rsidRPr="00982C7E">
        <w:rPr>
          <w:b w:val="0"/>
          <w:bCs w:val="0"/>
          <w:color w:val="auto"/>
          <w:sz w:val="20"/>
          <w:szCs w:val="20"/>
        </w:rPr>
        <w:instrText xml:space="preserve"> SEQ Figure \* ARABIC </w:instrText>
      </w:r>
      <w:r w:rsidRPr="00982C7E">
        <w:rPr>
          <w:b w:val="0"/>
          <w:bCs w:val="0"/>
          <w:color w:val="auto"/>
          <w:sz w:val="20"/>
          <w:szCs w:val="20"/>
        </w:rPr>
        <w:fldChar w:fldCharType="separate"/>
      </w:r>
      <w:r>
        <w:rPr>
          <w:b w:val="0"/>
          <w:bCs w:val="0"/>
          <w:noProof/>
          <w:color w:val="auto"/>
          <w:sz w:val="20"/>
          <w:szCs w:val="20"/>
        </w:rPr>
        <w:t>6</w:t>
      </w:r>
      <w:r w:rsidRPr="00982C7E">
        <w:rPr>
          <w:b w:val="0"/>
          <w:bCs w:val="0"/>
          <w:color w:val="auto"/>
          <w:sz w:val="20"/>
          <w:szCs w:val="20"/>
        </w:rPr>
        <w:fldChar w:fldCharType="end"/>
      </w:r>
      <w:r w:rsidRPr="00982C7E">
        <w:rPr>
          <w:b w:val="0"/>
          <w:bCs w:val="0"/>
          <w:color w:val="auto"/>
          <w:sz w:val="20"/>
          <w:szCs w:val="20"/>
        </w:rPr>
        <w:t xml:space="preserve"> - Regression of Inflation over Public Debt to GDP Ratio for the US and</w:t>
      </w:r>
    </w:p>
    <w:p w14:paraId="6C57EC33" w14:textId="77777777" w:rsidR="00842D67" w:rsidRDefault="00842D67" w:rsidP="00842D67">
      <w:pPr>
        <w:jc w:val="both"/>
        <w:rPr>
          <w:sz w:val="24"/>
          <w:szCs w:val="24"/>
        </w:rPr>
      </w:pPr>
      <w:r w:rsidRPr="00982C7E">
        <w:rPr>
          <w:sz w:val="24"/>
          <w:szCs w:val="24"/>
        </w:rPr>
        <w:t>For both the EU and US an increase in inflation helps the economy deflate the debt-to-GDP. In line with the literature only developed economies benefit of an increase in inflation</w:t>
      </w:r>
      <w:r>
        <w:rPr>
          <w:sz w:val="24"/>
          <w:szCs w:val="24"/>
        </w:rPr>
        <w:t xml:space="preserve"> </w:t>
      </w:r>
      <w:r w:rsidRPr="00982C7E">
        <w:rPr>
          <w:sz w:val="24"/>
          <w:szCs w:val="24"/>
        </w:rPr>
        <w:t xml:space="preserve">while emerging markets </w:t>
      </w:r>
      <w:r>
        <w:rPr>
          <w:sz w:val="24"/>
          <w:szCs w:val="24"/>
        </w:rPr>
        <w:t>“</w:t>
      </w:r>
      <w:r w:rsidRPr="00982C7E">
        <w:rPr>
          <w:sz w:val="24"/>
          <w:szCs w:val="24"/>
        </w:rPr>
        <w:t>prefer” traditional deflator instruments.</w:t>
      </w:r>
    </w:p>
    <w:p w14:paraId="040D6168" w14:textId="77777777" w:rsidR="00842D67" w:rsidRDefault="00842D67" w:rsidP="00842D67">
      <w:pPr>
        <w:rPr>
          <w:sz w:val="24"/>
          <w:szCs w:val="24"/>
        </w:rPr>
      </w:pPr>
      <w:r>
        <w:rPr>
          <w:sz w:val="24"/>
          <w:szCs w:val="24"/>
        </w:rPr>
        <w:br w:type="page"/>
      </w:r>
    </w:p>
    <w:p w14:paraId="105E9672" w14:textId="77777777" w:rsidR="00842D67" w:rsidRDefault="00842D67" w:rsidP="00842D67">
      <w:pPr>
        <w:pStyle w:val="ListParagraph"/>
        <w:spacing w:before="240" w:after="0" w:line="360" w:lineRule="auto"/>
        <w:ind w:left="57"/>
        <w:jc w:val="both"/>
        <w:rPr>
          <w:sz w:val="24"/>
          <w:szCs w:val="24"/>
        </w:rPr>
      </w:pPr>
      <w:r w:rsidRPr="005D30BB">
        <w:rPr>
          <w:b/>
          <w:bCs/>
          <w:sz w:val="28"/>
          <w:szCs w:val="28"/>
        </w:rPr>
        <w:lastRenderedPageBreak/>
        <w:t>Appendix</w:t>
      </w:r>
      <w:r w:rsidRPr="005D30BB">
        <w:rPr>
          <w:sz w:val="28"/>
          <w:szCs w:val="28"/>
        </w:rPr>
        <w:t xml:space="preserve"> </w:t>
      </w:r>
      <w:r w:rsidRPr="005F72C0">
        <w:rPr>
          <w:b/>
          <w:bCs/>
          <w:sz w:val="24"/>
          <w:szCs w:val="24"/>
        </w:rPr>
        <w:t>B:</w:t>
      </w:r>
      <w:r>
        <w:rPr>
          <w:sz w:val="24"/>
          <w:szCs w:val="24"/>
        </w:rPr>
        <w:t xml:space="preserve"> Model’s Checks</w:t>
      </w:r>
    </w:p>
    <w:p w14:paraId="17BE47B8" w14:textId="77777777" w:rsidR="00842D67" w:rsidRDefault="00842D67" w:rsidP="00842D67">
      <w:pPr>
        <w:pStyle w:val="ListParagraph"/>
        <w:spacing w:before="240" w:after="0" w:line="360" w:lineRule="auto"/>
        <w:ind w:left="57"/>
        <w:jc w:val="both"/>
        <w:rPr>
          <w:sz w:val="24"/>
          <w:szCs w:val="24"/>
        </w:rPr>
      </w:pPr>
      <w:r w:rsidRPr="005D30BB">
        <w:rPr>
          <w:sz w:val="24"/>
          <w:szCs w:val="24"/>
        </w:rPr>
        <w:t>Appendix B presents first the correlation matrix, following the results of the Hausmann</w:t>
      </w:r>
      <w:r>
        <w:rPr>
          <w:sz w:val="24"/>
          <w:szCs w:val="24"/>
        </w:rPr>
        <w:t xml:space="preserve"> </w:t>
      </w:r>
      <w:r w:rsidRPr="005D30BB">
        <w:rPr>
          <w:sz w:val="24"/>
          <w:szCs w:val="24"/>
        </w:rPr>
        <w:t>test and eventually, the VIF analysis</w:t>
      </w:r>
      <w:r>
        <w:rPr>
          <w:sz w:val="24"/>
          <w:szCs w:val="24"/>
        </w:rPr>
        <w:t>.</w:t>
      </w:r>
    </w:p>
    <w:p w14:paraId="79D20913" w14:textId="77777777" w:rsidR="00842D67" w:rsidRDefault="00842D67" w:rsidP="00842D67">
      <w:pPr>
        <w:pStyle w:val="ListParagraph"/>
        <w:spacing w:before="240" w:after="0" w:line="360" w:lineRule="auto"/>
        <w:ind w:left="57"/>
        <w:jc w:val="both"/>
        <w:rPr>
          <w:sz w:val="24"/>
          <w:szCs w:val="24"/>
        </w:rPr>
      </w:pPr>
    </w:p>
    <w:tbl>
      <w:tblPr>
        <w:tblStyle w:val="TableGrid"/>
        <w:tblW w:w="95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9"/>
        <w:gridCol w:w="1208"/>
        <w:gridCol w:w="1058"/>
        <w:gridCol w:w="1386"/>
        <w:gridCol w:w="1176"/>
        <w:gridCol w:w="1364"/>
        <w:gridCol w:w="1669"/>
      </w:tblGrid>
      <w:tr w:rsidR="00842D67" w:rsidRPr="00C46E6C" w14:paraId="455C1B3C" w14:textId="77777777" w:rsidTr="00D32CF6">
        <w:trPr>
          <w:trHeight w:val="577"/>
        </w:trPr>
        <w:tc>
          <w:tcPr>
            <w:tcW w:w="1640" w:type="dxa"/>
            <w:vAlign w:val="center"/>
          </w:tcPr>
          <w:p w14:paraId="09B316B1" w14:textId="77777777" w:rsidR="00842D67" w:rsidRPr="00C46E6C" w:rsidRDefault="00842D67" w:rsidP="00D32CF6">
            <w:pPr>
              <w:pStyle w:val="ListParagraph"/>
              <w:ind w:left="0"/>
              <w:jc w:val="center"/>
              <w:rPr>
                <w:rFonts w:cstheme="minorHAnsi"/>
                <w:i/>
                <w:iCs/>
                <w:sz w:val="21"/>
                <w:szCs w:val="21"/>
              </w:rPr>
            </w:pPr>
          </w:p>
        </w:tc>
        <w:tc>
          <w:tcPr>
            <w:tcW w:w="1240" w:type="dxa"/>
            <w:tcBorders>
              <w:top w:val="single" w:sz="4" w:space="0" w:color="auto"/>
              <w:bottom w:val="single" w:sz="4" w:space="0" w:color="auto"/>
            </w:tcBorders>
            <w:vAlign w:val="center"/>
          </w:tcPr>
          <w:p w14:paraId="367A3049" w14:textId="77777777" w:rsidR="00842D67" w:rsidRPr="00C46E6C" w:rsidRDefault="00842D67" w:rsidP="00D32CF6">
            <w:pPr>
              <w:pStyle w:val="ListParagraph"/>
              <w:ind w:left="0"/>
              <w:jc w:val="center"/>
              <w:rPr>
                <w:rFonts w:cstheme="minorHAnsi"/>
                <w:i/>
                <w:iCs/>
                <w:sz w:val="21"/>
                <w:szCs w:val="21"/>
              </w:rPr>
            </w:pPr>
            <w:r w:rsidRPr="00C46E6C">
              <w:rPr>
                <w:rFonts w:cstheme="minorHAnsi"/>
                <w:i/>
                <w:iCs/>
                <w:sz w:val="21"/>
                <w:szCs w:val="21"/>
              </w:rPr>
              <w:t>Debt_GDP</w:t>
            </w:r>
          </w:p>
        </w:tc>
        <w:tc>
          <w:tcPr>
            <w:tcW w:w="1071" w:type="dxa"/>
            <w:tcBorders>
              <w:top w:val="single" w:sz="4" w:space="0" w:color="auto"/>
              <w:bottom w:val="single" w:sz="4" w:space="0" w:color="auto"/>
            </w:tcBorders>
            <w:vAlign w:val="center"/>
          </w:tcPr>
          <w:p w14:paraId="089B2BE7" w14:textId="77777777" w:rsidR="00842D67" w:rsidRPr="00C46E6C" w:rsidRDefault="00842D67" w:rsidP="00D32CF6">
            <w:pPr>
              <w:pStyle w:val="ListParagraph"/>
              <w:ind w:left="0"/>
              <w:jc w:val="center"/>
              <w:rPr>
                <w:rFonts w:cstheme="minorHAnsi"/>
                <w:i/>
                <w:iCs/>
                <w:sz w:val="21"/>
                <w:szCs w:val="21"/>
              </w:rPr>
            </w:pPr>
            <w:r w:rsidRPr="00C46E6C">
              <w:rPr>
                <w:rFonts w:cstheme="minorHAnsi"/>
                <w:i/>
                <w:iCs/>
                <w:sz w:val="21"/>
                <w:szCs w:val="21"/>
              </w:rPr>
              <w:t>CPI</w:t>
            </w:r>
          </w:p>
        </w:tc>
        <w:tc>
          <w:tcPr>
            <w:tcW w:w="1338" w:type="dxa"/>
            <w:tcBorders>
              <w:top w:val="single" w:sz="4" w:space="0" w:color="auto"/>
              <w:bottom w:val="single" w:sz="4" w:space="0" w:color="auto"/>
            </w:tcBorders>
            <w:vAlign w:val="center"/>
          </w:tcPr>
          <w:p w14:paraId="43EFE60E" w14:textId="77777777" w:rsidR="00842D67" w:rsidRPr="00C46E6C" w:rsidRDefault="00842D67" w:rsidP="00D32CF6">
            <w:pPr>
              <w:pStyle w:val="ListParagraph"/>
              <w:ind w:left="0"/>
              <w:jc w:val="center"/>
              <w:rPr>
                <w:rFonts w:cstheme="minorHAnsi"/>
                <w:i/>
                <w:iCs/>
                <w:sz w:val="21"/>
                <w:szCs w:val="21"/>
              </w:rPr>
            </w:pPr>
            <w:r w:rsidRPr="00C46E6C">
              <w:rPr>
                <w:rFonts w:cstheme="minorHAnsi"/>
                <w:i/>
                <w:iCs/>
                <w:sz w:val="21"/>
                <w:szCs w:val="21"/>
              </w:rPr>
              <w:t>Tax_revenues</w:t>
            </w:r>
          </w:p>
        </w:tc>
        <w:tc>
          <w:tcPr>
            <w:tcW w:w="1228" w:type="dxa"/>
            <w:tcBorders>
              <w:top w:val="single" w:sz="4" w:space="0" w:color="auto"/>
              <w:bottom w:val="single" w:sz="4" w:space="0" w:color="auto"/>
            </w:tcBorders>
            <w:vAlign w:val="center"/>
          </w:tcPr>
          <w:p w14:paraId="65597635" w14:textId="77777777" w:rsidR="00842D67" w:rsidRPr="00C46E6C" w:rsidRDefault="00842D67" w:rsidP="00D32CF6">
            <w:pPr>
              <w:pStyle w:val="ListParagraph"/>
              <w:ind w:left="0"/>
              <w:jc w:val="center"/>
              <w:rPr>
                <w:rFonts w:cstheme="minorHAnsi"/>
                <w:i/>
                <w:iCs/>
                <w:sz w:val="21"/>
                <w:szCs w:val="21"/>
              </w:rPr>
            </w:pPr>
            <w:r w:rsidRPr="00C46E6C">
              <w:rPr>
                <w:rFonts w:cstheme="minorHAnsi"/>
                <w:i/>
                <w:iCs/>
                <w:sz w:val="21"/>
                <w:szCs w:val="21"/>
              </w:rPr>
              <w:t>Spending</w:t>
            </w:r>
          </w:p>
        </w:tc>
        <w:tc>
          <w:tcPr>
            <w:tcW w:w="1374" w:type="dxa"/>
            <w:tcBorders>
              <w:top w:val="single" w:sz="4" w:space="0" w:color="auto"/>
              <w:bottom w:val="single" w:sz="4" w:space="0" w:color="auto"/>
            </w:tcBorders>
            <w:vAlign w:val="center"/>
          </w:tcPr>
          <w:p w14:paraId="3418C844" w14:textId="77777777" w:rsidR="00842D67" w:rsidRPr="00C46E6C" w:rsidRDefault="00842D67" w:rsidP="00D32CF6">
            <w:pPr>
              <w:pStyle w:val="ListParagraph"/>
              <w:ind w:left="0"/>
              <w:jc w:val="center"/>
              <w:rPr>
                <w:rFonts w:cstheme="minorHAnsi"/>
                <w:i/>
                <w:iCs/>
                <w:sz w:val="21"/>
                <w:szCs w:val="21"/>
              </w:rPr>
            </w:pPr>
            <w:r w:rsidRPr="00C46E6C">
              <w:rPr>
                <w:rFonts w:cstheme="minorHAnsi"/>
                <w:i/>
                <w:iCs/>
                <w:sz w:val="21"/>
                <w:szCs w:val="21"/>
              </w:rPr>
              <w:t>Interest_rate</w:t>
            </w:r>
          </w:p>
        </w:tc>
        <w:tc>
          <w:tcPr>
            <w:tcW w:w="1639" w:type="dxa"/>
            <w:tcBorders>
              <w:top w:val="single" w:sz="4" w:space="0" w:color="auto"/>
              <w:bottom w:val="single" w:sz="4" w:space="0" w:color="auto"/>
            </w:tcBorders>
            <w:vAlign w:val="center"/>
          </w:tcPr>
          <w:p w14:paraId="35C79998" w14:textId="77777777" w:rsidR="00842D67" w:rsidRPr="00C46E6C" w:rsidRDefault="00842D67" w:rsidP="00D32CF6">
            <w:pPr>
              <w:pStyle w:val="ListParagraph"/>
              <w:ind w:left="0"/>
              <w:jc w:val="center"/>
              <w:rPr>
                <w:rFonts w:cstheme="minorHAnsi"/>
                <w:i/>
                <w:iCs/>
                <w:sz w:val="21"/>
                <w:szCs w:val="21"/>
              </w:rPr>
            </w:pPr>
            <w:r w:rsidRPr="00C46E6C">
              <w:rPr>
                <w:rFonts w:cstheme="minorHAnsi"/>
                <w:i/>
                <w:iCs/>
                <w:sz w:val="21"/>
                <w:szCs w:val="21"/>
              </w:rPr>
              <w:t>Gross_Cap_Form</w:t>
            </w:r>
          </w:p>
        </w:tc>
      </w:tr>
      <w:tr w:rsidR="00842D67" w:rsidRPr="00C46E6C" w14:paraId="2D595325" w14:textId="77777777" w:rsidTr="00D32CF6">
        <w:trPr>
          <w:trHeight w:val="288"/>
        </w:trPr>
        <w:tc>
          <w:tcPr>
            <w:tcW w:w="1640" w:type="dxa"/>
            <w:tcBorders>
              <w:right w:val="single" w:sz="4" w:space="0" w:color="auto"/>
            </w:tcBorders>
            <w:vAlign w:val="center"/>
          </w:tcPr>
          <w:p w14:paraId="798D9D6B" w14:textId="77777777" w:rsidR="00842D67" w:rsidRPr="00C46E6C" w:rsidRDefault="00842D67" w:rsidP="00D32CF6">
            <w:pPr>
              <w:pStyle w:val="ListParagraph"/>
              <w:ind w:left="0"/>
              <w:jc w:val="center"/>
              <w:rPr>
                <w:rFonts w:cstheme="minorHAnsi"/>
                <w:i/>
                <w:iCs/>
                <w:sz w:val="21"/>
                <w:szCs w:val="21"/>
              </w:rPr>
            </w:pPr>
            <w:r w:rsidRPr="00C46E6C">
              <w:rPr>
                <w:rFonts w:cstheme="minorHAnsi"/>
                <w:i/>
                <w:iCs/>
                <w:sz w:val="21"/>
                <w:szCs w:val="21"/>
              </w:rPr>
              <w:t>Debt_GDP</w:t>
            </w:r>
          </w:p>
        </w:tc>
        <w:tc>
          <w:tcPr>
            <w:tcW w:w="1240" w:type="dxa"/>
            <w:tcBorders>
              <w:top w:val="single" w:sz="4" w:space="0" w:color="auto"/>
              <w:left w:val="single" w:sz="4" w:space="0" w:color="auto"/>
            </w:tcBorders>
            <w:vAlign w:val="center"/>
          </w:tcPr>
          <w:p w14:paraId="48DCFCCB" w14:textId="77777777" w:rsidR="00842D67" w:rsidRPr="00C46E6C" w:rsidRDefault="00842D67" w:rsidP="00D32CF6">
            <w:pPr>
              <w:pStyle w:val="ListParagraph"/>
              <w:ind w:left="0"/>
              <w:jc w:val="center"/>
              <w:rPr>
                <w:rFonts w:cstheme="minorHAnsi"/>
                <w:i/>
                <w:iCs/>
                <w:sz w:val="21"/>
                <w:szCs w:val="21"/>
              </w:rPr>
            </w:pPr>
            <w:r w:rsidRPr="00C46E6C">
              <w:rPr>
                <w:rFonts w:cstheme="minorHAnsi"/>
                <w:i/>
                <w:iCs/>
                <w:sz w:val="21"/>
                <w:szCs w:val="21"/>
              </w:rPr>
              <w:t>1</w:t>
            </w:r>
          </w:p>
        </w:tc>
        <w:tc>
          <w:tcPr>
            <w:tcW w:w="1071" w:type="dxa"/>
            <w:tcBorders>
              <w:top w:val="single" w:sz="4" w:space="0" w:color="auto"/>
            </w:tcBorders>
            <w:vAlign w:val="center"/>
          </w:tcPr>
          <w:p w14:paraId="60DAD960" w14:textId="77777777" w:rsidR="00842D67" w:rsidRPr="00C46E6C" w:rsidRDefault="00842D67" w:rsidP="00D32CF6">
            <w:pPr>
              <w:pStyle w:val="ListParagraph"/>
              <w:ind w:left="0"/>
              <w:jc w:val="center"/>
              <w:rPr>
                <w:rFonts w:cstheme="minorHAnsi"/>
                <w:i/>
                <w:iCs/>
                <w:sz w:val="21"/>
                <w:szCs w:val="21"/>
              </w:rPr>
            </w:pPr>
          </w:p>
        </w:tc>
        <w:tc>
          <w:tcPr>
            <w:tcW w:w="1338" w:type="dxa"/>
            <w:tcBorders>
              <w:top w:val="single" w:sz="4" w:space="0" w:color="auto"/>
            </w:tcBorders>
            <w:vAlign w:val="center"/>
          </w:tcPr>
          <w:p w14:paraId="46D22BB7" w14:textId="77777777" w:rsidR="00842D67" w:rsidRPr="00C46E6C" w:rsidRDefault="00842D67" w:rsidP="00D32CF6">
            <w:pPr>
              <w:pStyle w:val="ListParagraph"/>
              <w:ind w:left="0"/>
              <w:jc w:val="center"/>
              <w:rPr>
                <w:rFonts w:cstheme="minorHAnsi"/>
                <w:i/>
                <w:iCs/>
                <w:sz w:val="21"/>
                <w:szCs w:val="21"/>
              </w:rPr>
            </w:pPr>
          </w:p>
        </w:tc>
        <w:tc>
          <w:tcPr>
            <w:tcW w:w="1228" w:type="dxa"/>
            <w:tcBorders>
              <w:top w:val="single" w:sz="4" w:space="0" w:color="auto"/>
            </w:tcBorders>
            <w:vAlign w:val="center"/>
          </w:tcPr>
          <w:p w14:paraId="07E3DE48" w14:textId="77777777" w:rsidR="00842D67" w:rsidRPr="00C46E6C" w:rsidRDefault="00842D67" w:rsidP="00D32CF6">
            <w:pPr>
              <w:pStyle w:val="ListParagraph"/>
              <w:ind w:left="0"/>
              <w:jc w:val="center"/>
              <w:rPr>
                <w:rFonts w:cstheme="minorHAnsi"/>
                <w:i/>
                <w:iCs/>
                <w:sz w:val="21"/>
                <w:szCs w:val="21"/>
              </w:rPr>
            </w:pPr>
          </w:p>
        </w:tc>
        <w:tc>
          <w:tcPr>
            <w:tcW w:w="1374" w:type="dxa"/>
            <w:tcBorders>
              <w:top w:val="single" w:sz="4" w:space="0" w:color="auto"/>
            </w:tcBorders>
            <w:vAlign w:val="center"/>
          </w:tcPr>
          <w:p w14:paraId="4BD3189E" w14:textId="77777777" w:rsidR="00842D67" w:rsidRPr="00C46E6C" w:rsidRDefault="00842D67" w:rsidP="00D32CF6">
            <w:pPr>
              <w:pStyle w:val="ListParagraph"/>
              <w:ind w:left="0"/>
              <w:jc w:val="center"/>
              <w:rPr>
                <w:rFonts w:cstheme="minorHAnsi"/>
                <w:i/>
                <w:iCs/>
                <w:sz w:val="21"/>
                <w:szCs w:val="21"/>
              </w:rPr>
            </w:pPr>
          </w:p>
        </w:tc>
        <w:tc>
          <w:tcPr>
            <w:tcW w:w="1639" w:type="dxa"/>
            <w:tcBorders>
              <w:top w:val="single" w:sz="4" w:space="0" w:color="auto"/>
            </w:tcBorders>
            <w:vAlign w:val="center"/>
          </w:tcPr>
          <w:p w14:paraId="7C644288" w14:textId="77777777" w:rsidR="00842D67" w:rsidRPr="00C46E6C" w:rsidRDefault="00842D67" w:rsidP="00D32CF6">
            <w:pPr>
              <w:pStyle w:val="ListParagraph"/>
              <w:ind w:left="0"/>
              <w:jc w:val="center"/>
              <w:rPr>
                <w:rFonts w:cstheme="minorHAnsi"/>
                <w:i/>
                <w:iCs/>
                <w:sz w:val="21"/>
                <w:szCs w:val="21"/>
              </w:rPr>
            </w:pPr>
          </w:p>
        </w:tc>
      </w:tr>
      <w:tr w:rsidR="00842D67" w:rsidRPr="00C46E6C" w14:paraId="6AE8ABF7" w14:textId="77777777" w:rsidTr="00D32CF6">
        <w:trPr>
          <w:trHeight w:val="288"/>
        </w:trPr>
        <w:tc>
          <w:tcPr>
            <w:tcW w:w="1640" w:type="dxa"/>
            <w:tcBorders>
              <w:right w:val="single" w:sz="4" w:space="0" w:color="auto"/>
            </w:tcBorders>
            <w:vAlign w:val="center"/>
          </w:tcPr>
          <w:p w14:paraId="56D7701B" w14:textId="77777777" w:rsidR="00842D67" w:rsidRPr="00C46E6C" w:rsidRDefault="00842D67" w:rsidP="00D32CF6">
            <w:pPr>
              <w:pStyle w:val="ListParagraph"/>
              <w:ind w:left="0"/>
              <w:jc w:val="center"/>
              <w:rPr>
                <w:rFonts w:cstheme="minorHAnsi"/>
                <w:i/>
                <w:iCs/>
                <w:sz w:val="21"/>
                <w:szCs w:val="21"/>
              </w:rPr>
            </w:pPr>
            <w:r w:rsidRPr="00C46E6C">
              <w:rPr>
                <w:rFonts w:cstheme="minorHAnsi"/>
                <w:i/>
                <w:iCs/>
                <w:sz w:val="21"/>
                <w:szCs w:val="21"/>
              </w:rPr>
              <w:t>CPI</w:t>
            </w:r>
          </w:p>
        </w:tc>
        <w:tc>
          <w:tcPr>
            <w:tcW w:w="1240" w:type="dxa"/>
            <w:tcBorders>
              <w:left w:val="single" w:sz="4" w:space="0" w:color="auto"/>
            </w:tcBorders>
            <w:vAlign w:val="center"/>
          </w:tcPr>
          <w:p w14:paraId="21F4A875" w14:textId="77777777" w:rsidR="00842D67" w:rsidRPr="00C46E6C" w:rsidRDefault="00842D67" w:rsidP="00D32CF6">
            <w:pPr>
              <w:pStyle w:val="ListParagraph"/>
              <w:ind w:left="0"/>
              <w:jc w:val="center"/>
              <w:rPr>
                <w:rFonts w:cstheme="minorHAnsi"/>
                <w:i/>
                <w:iCs/>
                <w:sz w:val="21"/>
                <w:szCs w:val="21"/>
              </w:rPr>
            </w:pPr>
            <w:r w:rsidRPr="00C46E6C">
              <w:rPr>
                <w:rFonts w:cstheme="minorHAnsi"/>
                <w:i/>
                <w:iCs/>
                <w:sz w:val="21"/>
                <w:szCs w:val="21"/>
              </w:rPr>
              <w:t>0.152926</w:t>
            </w:r>
          </w:p>
        </w:tc>
        <w:tc>
          <w:tcPr>
            <w:tcW w:w="1071" w:type="dxa"/>
            <w:vAlign w:val="center"/>
          </w:tcPr>
          <w:p w14:paraId="41EF5284" w14:textId="77777777" w:rsidR="00842D67" w:rsidRPr="00C46E6C" w:rsidRDefault="00842D67" w:rsidP="00D32CF6">
            <w:pPr>
              <w:pStyle w:val="ListParagraph"/>
              <w:ind w:left="0"/>
              <w:jc w:val="center"/>
              <w:rPr>
                <w:rFonts w:cstheme="minorHAnsi"/>
                <w:i/>
                <w:iCs/>
                <w:sz w:val="21"/>
                <w:szCs w:val="21"/>
              </w:rPr>
            </w:pPr>
            <w:r w:rsidRPr="00C46E6C">
              <w:rPr>
                <w:rFonts w:cstheme="minorHAnsi"/>
                <w:i/>
                <w:iCs/>
                <w:sz w:val="21"/>
                <w:szCs w:val="21"/>
              </w:rPr>
              <w:t>1</w:t>
            </w:r>
          </w:p>
        </w:tc>
        <w:tc>
          <w:tcPr>
            <w:tcW w:w="1338" w:type="dxa"/>
            <w:vAlign w:val="center"/>
          </w:tcPr>
          <w:p w14:paraId="153D6CC5" w14:textId="77777777" w:rsidR="00842D67" w:rsidRPr="00C46E6C" w:rsidRDefault="00842D67" w:rsidP="00D32CF6">
            <w:pPr>
              <w:pStyle w:val="ListParagraph"/>
              <w:ind w:left="0"/>
              <w:jc w:val="center"/>
              <w:rPr>
                <w:rFonts w:cstheme="minorHAnsi"/>
                <w:i/>
                <w:iCs/>
                <w:sz w:val="21"/>
                <w:szCs w:val="21"/>
              </w:rPr>
            </w:pPr>
          </w:p>
        </w:tc>
        <w:tc>
          <w:tcPr>
            <w:tcW w:w="1228" w:type="dxa"/>
            <w:vAlign w:val="center"/>
          </w:tcPr>
          <w:p w14:paraId="70827ABC" w14:textId="77777777" w:rsidR="00842D67" w:rsidRPr="00C46E6C" w:rsidRDefault="00842D67" w:rsidP="00D32CF6">
            <w:pPr>
              <w:pStyle w:val="ListParagraph"/>
              <w:ind w:left="0"/>
              <w:jc w:val="center"/>
              <w:rPr>
                <w:rFonts w:cstheme="minorHAnsi"/>
                <w:i/>
                <w:iCs/>
                <w:sz w:val="21"/>
                <w:szCs w:val="21"/>
              </w:rPr>
            </w:pPr>
          </w:p>
        </w:tc>
        <w:tc>
          <w:tcPr>
            <w:tcW w:w="1374" w:type="dxa"/>
            <w:vAlign w:val="center"/>
          </w:tcPr>
          <w:p w14:paraId="58AB6ED7" w14:textId="77777777" w:rsidR="00842D67" w:rsidRPr="00C46E6C" w:rsidRDefault="00842D67" w:rsidP="00D32CF6">
            <w:pPr>
              <w:pStyle w:val="ListParagraph"/>
              <w:ind w:left="0"/>
              <w:jc w:val="center"/>
              <w:rPr>
                <w:rFonts w:cstheme="minorHAnsi"/>
                <w:i/>
                <w:iCs/>
                <w:sz w:val="21"/>
                <w:szCs w:val="21"/>
              </w:rPr>
            </w:pPr>
          </w:p>
        </w:tc>
        <w:tc>
          <w:tcPr>
            <w:tcW w:w="1639" w:type="dxa"/>
            <w:vAlign w:val="center"/>
          </w:tcPr>
          <w:p w14:paraId="43C8015A" w14:textId="77777777" w:rsidR="00842D67" w:rsidRPr="00C46E6C" w:rsidRDefault="00842D67" w:rsidP="00D32CF6">
            <w:pPr>
              <w:pStyle w:val="ListParagraph"/>
              <w:ind w:left="0"/>
              <w:jc w:val="center"/>
              <w:rPr>
                <w:rFonts w:cstheme="minorHAnsi"/>
                <w:i/>
                <w:iCs/>
                <w:sz w:val="21"/>
                <w:szCs w:val="21"/>
              </w:rPr>
            </w:pPr>
          </w:p>
        </w:tc>
      </w:tr>
      <w:tr w:rsidR="00842D67" w:rsidRPr="00C46E6C" w14:paraId="2A5A5ECF" w14:textId="77777777" w:rsidTr="00D32CF6">
        <w:trPr>
          <w:trHeight w:val="288"/>
        </w:trPr>
        <w:tc>
          <w:tcPr>
            <w:tcW w:w="1640" w:type="dxa"/>
            <w:tcBorders>
              <w:right w:val="single" w:sz="4" w:space="0" w:color="auto"/>
            </w:tcBorders>
            <w:vAlign w:val="center"/>
          </w:tcPr>
          <w:p w14:paraId="7B1A0D80" w14:textId="77777777" w:rsidR="00842D67" w:rsidRPr="00C46E6C" w:rsidRDefault="00842D67" w:rsidP="00D32CF6">
            <w:pPr>
              <w:pStyle w:val="ListParagraph"/>
              <w:ind w:left="0"/>
              <w:jc w:val="center"/>
              <w:rPr>
                <w:rFonts w:cstheme="minorHAnsi"/>
                <w:i/>
                <w:iCs/>
                <w:sz w:val="21"/>
                <w:szCs w:val="21"/>
              </w:rPr>
            </w:pPr>
            <w:r w:rsidRPr="00C46E6C">
              <w:rPr>
                <w:rFonts w:cstheme="minorHAnsi"/>
                <w:i/>
                <w:iCs/>
                <w:sz w:val="21"/>
                <w:szCs w:val="21"/>
              </w:rPr>
              <w:t>Tax_revenues</w:t>
            </w:r>
          </w:p>
        </w:tc>
        <w:tc>
          <w:tcPr>
            <w:tcW w:w="1240" w:type="dxa"/>
            <w:tcBorders>
              <w:left w:val="single" w:sz="4" w:space="0" w:color="auto"/>
            </w:tcBorders>
            <w:vAlign w:val="center"/>
          </w:tcPr>
          <w:p w14:paraId="3184E18F" w14:textId="77777777" w:rsidR="00842D67" w:rsidRPr="00C46E6C" w:rsidRDefault="00842D67" w:rsidP="00D32CF6">
            <w:pPr>
              <w:pStyle w:val="ListParagraph"/>
              <w:ind w:left="0"/>
              <w:jc w:val="center"/>
              <w:rPr>
                <w:rFonts w:cstheme="minorHAnsi"/>
                <w:i/>
                <w:iCs/>
                <w:sz w:val="21"/>
                <w:szCs w:val="21"/>
              </w:rPr>
            </w:pPr>
            <w:r w:rsidRPr="00C46E6C">
              <w:rPr>
                <w:rFonts w:cstheme="minorHAnsi"/>
                <w:i/>
                <w:iCs/>
                <w:sz w:val="21"/>
                <w:szCs w:val="21"/>
              </w:rPr>
              <w:t>0.315479</w:t>
            </w:r>
          </w:p>
        </w:tc>
        <w:tc>
          <w:tcPr>
            <w:tcW w:w="1071" w:type="dxa"/>
            <w:vAlign w:val="center"/>
          </w:tcPr>
          <w:p w14:paraId="51CE00BE" w14:textId="77777777" w:rsidR="00842D67" w:rsidRPr="00C46E6C" w:rsidRDefault="00842D67" w:rsidP="00D32CF6">
            <w:pPr>
              <w:pStyle w:val="ListParagraph"/>
              <w:ind w:left="0"/>
              <w:jc w:val="center"/>
              <w:rPr>
                <w:rFonts w:cstheme="minorHAnsi"/>
                <w:i/>
                <w:iCs/>
                <w:sz w:val="21"/>
                <w:szCs w:val="21"/>
              </w:rPr>
            </w:pPr>
            <w:r w:rsidRPr="00C46E6C">
              <w:rPr>
                <w:rFonts w:cstheme="minorHAnsi"/>
                <w:i/>
                <w:iCs/>
                <w:sz w:val="21"/>
                <w:szCs w:val="21"/>
              </w:rPr>
              <w:t>0.086628</w:t>
            </w:r>
          </w:p>
        </w:tc>
        <w:tc>
          <w:tcPr>
            <w:tcW w:w="1338" w:type="dxa"/>
            <w:vAlign w:val="center"/>
          </w:tcPr>
          <w:p w14:paraId="66FF5209" w14:textId="77777777" w:rsidR="00842D67" w:rsidRPr="00C46E6C" w:rsidRDefault="00842D67" w:rsidP="00D32CF6">
            <w:pPr>
              <w:pStyle w:val="ListParagraph"/>
              <w:ind w:left="0"/>
              <w:jc w:val="center"/>
              <w:rPr>
                <w:rFonts w:cstheme="minorHAnsi"/>
                <w:i/>
                <w:iCs/>
                <w:sz w:val="21"/>
                <w:szCs w:val="21"/>
              </w:rPr>
            </w:pPr>
            <w:r w:rsidRPr="00C46E6C">
              <w:rPr>
                <w:rFonts w:cstheme="minorHAnsi"/>
                <w:i/>
                <w:iCs/>
                <w:sz w:val="21"/>
                <w:szCs w:val="21"/>
              </w:rPr>
              <w:t>1</w:t>
            </w:r>
          </w:p>
        </w:tc>
        <w:tc>
          <w:tcPr>
            <w:tcW w:w="1228" w:type="dxa"/>
            <w:vAlign w:val="center"/>
          </w:tcPr>
          <w:p w14:paraId="6BFB1B61" w14:textId="77777777" w:rsidR="00842D67" w:rsidRPr="00C46E6C" w:rsidRDefault="00842D67" w:rsidP="00D32CF6">
            <w:pPr>
              <w:pStyle w:val="ListParagraph"/>
              <w:ind w:left="0"/>
              <w:jc w:val="center"/>
              <w:rPr>
                <w:rFonts w:cstheme="minorHAnsi"/>
                <w:i/>
                <w:iCs/>
                <w:sz w:val="21"/>
                <w:szCs w:val="21"/>
              </w:rPr>
            </w:pPr>
          </w:p>
        </w:tc>
        <w:tc>
          <w:tcPr>
            <w:tcW w:w="1374" w:type="dxa"/>
            <w:vAlign w:val="center"/>
          </w:tcPr>
          <w:p w14:paraId="1B563899" w14:textId="77777777" w:rsidR="00842D67" w:rsidRPr="00C46E6C" w:rsidRDefault="00842D67" w:rsidP="00D32CF6">
            <w:pPr>
              <w:pStyle w:val="ListParagraph"/>
              <w:ind w:left="0"/>
              <w:jc w:val="center"/>
              <w:rPr>
                <w:rFonts w:cstheme="minorHAnsi"/>
                <w:i/>
                <w:iCs/>
                <w:sz w:val="21"/>
                <w:szCs w:val="21"/>
              </w:rPr>
            </w:pPr>
          </w:p>
        </w:tc>
        <w:tc>
          <w:tcPr>
            <w:tcW w:w="1639" w:type="dxa"/>
            <w:vAlign w:val="center"/>
          </w:tcPr>
          <w:p w14:paraId="55C60FD6" w14:textId="77777777" w:rsidR="00842D67" w:rsidRPr="00C46E6C" w:rsidRDefault="00842D67" w:rsidP="00D32CF6">
            <w:pPr>
              <w:pStyle w:val="ListParagraph"/>
              <w:ind w:left="0"/>
              <w:jc w:val="center"/>
              <w:rPr>
                <w:rFonts w:cstheme="minorHAnsi"/>
                <w:i/>
                <w:iCs/>
                <w:sz w:val="21"/>
                <w:szCs w:val="21"/>
              </w:rPr>
            </w:pPr>
          </w:p>
        </w:tc>
      </w:tr>
      <w:tr w:rsidR="00842D67" w:rsidRPr="00C46E6C" w14:paraId="0691A987" w14:textId="77777777" w:rsidTr="00D32CF6">
        <w:trPr>
          <w:trHeight w:val="272"/>
        </w:trPr>
        <w:tc>
          <w:tcPr>
            <w:tcW w:w="1640" w:type="dxa"/>
            <w:tcBorders>
              <w:right w:val="single" w:sz="4" w:space="0" w:color="auto"/>
            </w:tcBorders>
            <w:vAlign w:val="center"/>
          </w:tcPr>
          <w:p w14:paraId="67F3EB69" w14:textId="77777777" w:rsidR="00842D67" w:rsidRPr="00C46E6C" w:rsidRDefault="00842D67" w:rsidP="00D32CF6">
            <w:pPr>
              <w:pStyle w:val="ListParagraph"/>
              <w:ind w:left="0"/>
              <w:jc w:val="center"/>
              <w:rPr>
                <w:rFonts w:cstheme="minorHAnsi"/>
                <w:i/>
                <w:iCs/>
                <w:sz w:val="21"/>
                <w:szCs w:val="21"/>
              </w:rPr>
            </w:pPr>
            <w:r w:rsidRPr="00C46E6C">
              <w:rPr>
                <w:rFonts w:cstheme="minorHAnsi"/>
                <w:i/>
                <w:iCs/>
                <w:sz w:val="21"/>
                <w:szCs w:val="21"/>
              </w:rPr>
              <w:t>Spending</w:t>
            </w:r>
          </w:p>
        </w:tc>
        <w:tc>
          <w:tcPr>
            <w:tcW w:w="1240" w:type="dxa"/>
            <w:tcBorders>
              <w:left w:val="single" w:sz="4" w:space="0" w:color="auto"/>
            </w:tcBorders>
            <w:vAlign w:val="center"/>
          </w:tcPr>
          <w:p w14:paraId="139B0E8A" w14:textId="77777777" w:rsidR="00842D67" w:rsidRPr="00C46E6C" w:rsidRDefault="00842D67" w:rsidP="00D32CF6">
            <w:pPr>
              <w:pStyle w:val="ListParagraph"/>
              <w:ind w:left="0"/>
              <w:jc w:val="center"/>
              <w:rPr>
                <w:rFonts w:cstheme="minorHAnsi"/>
                <w:i/>
                <w:iCs/>
                <w:sz w:val="21"/>
                <w:szCs w:val="21"/>
              </w:rPr>
            </w:pPr>
            <w:r w:rsidRPr="00C46E6C">
              <w:rPr>
                <w:rFonts w:cstheme="minorHAnsi"/>
                <w:i/>
                <w:iCs/>
                <w:sz w:val="21"/>
                <w:szCs w:val="21"/>
              </w:rPr>
              <w:t>0.262154</w:t>
            </w:r>
          </w:p>
        </w:tc>
        <w:tc>
          <w:tcPr>
            <w:tcW w:w="1071" w:type="dxa"/>
            <w:vAlign w:val="center"/>
          </w:tcPr>
          <w:p w14:paraId="3E896D1E" w14:textId="77777777" w:rsidR="00842D67" w:rsidRPr="00C46E6C" w:rsidRDefault="00842D67" w:rsidP="00D32CF6">
            <w:pPr>
              <w:pStyle w:val="ListParagraph"/>
              <w:ind w:left="0"/>
              <w:jc w:val="center"/>
              <w:rPr>
                <w:rFonts w:cstheme="minorHAnsi"/>
                <w:i/>
                <w:iCs/>
                <w:sz w:val="21"/>
                <w:szCs w:val="21"/>
              </w:rPr>
            </w:pPr>
            <w:r w:rsidRPr="00C46E6C">
              <w:rPr>
                <w:rFonts w:cstheme="minorHAnsi"/>
                <w:i/>
                <w:iCs/>
                <w:sz w:val="21"/>
                <w:szCs w:val="21"/>
              </w:rPr>
              <w:t>0.094814</w:t>
            </w:r>
          </w:p>
        </w:tc>
        <w:tc>
          <w:tcPr>
            <w:tcW w:w="1338" w:type="dxa"/>
            <w:vAlign w:val="center"/>
          </w:tcPr>
          <w:p w14:paraId="392BFF73" w14:textId="77777777" w:rsidR="00842D67" w:rsidRPr="00C46E6C" w:rsidRDefault="00842D67" w:rsidP="00D32CF6">
            <w:pPr>
              <w:pStyle w:val="ListParagraph"/>
              <w:ind w:left="0"/>
              <w:jc w:val="center"/>
              <w:rPr>
                <w:rFonts w:cstheme="minorHAnsi"/>
                <w:i/>
                <w:iCs/>
                <w:sz w:val="21"/>
                <w:szCs w:val="21"/>
              </w:rPr>
            </w:pPr>
            <w:r w:rsidRPr="00C46E6C">
              <w:rPr>
                <w:rFonts w:cstheme="minorHAnsi"/>
                <w:i/>
                <w:iCs/>
                <w:sz w:val="21"/>
                <w:szCs w:val="21"/>
              </w:rPr>
              <w:t>0.88808</w:t>
            </w:r>
          </w:p>
        </w:tc>
        <w:tc>
          <w:tcPr>
            <w:tcW w:w="1228" w:type="dxa"/>
            <w:vAlign w:val="center"/>
          </w:tcPr>
          <w:p w14:paraId="67F3B9AA" w14:textId="77777777" w:rsidR="00842D67" w:rsidRPr="00C46E6C" w:rsidRDefault="00842D67" w:rsidP="00D32CF6">
            <w:pPr>
              <w:pStyle w:val="ListParagraph"/>
              <w:ind w:left="0"/>
              <w:jc w:val="center"/>
              <w:rPr>
                <w:rFonts w:cstheme="minorHAnsi"/>
                <w:i/>
                <w:iCs/>
                <w:sz w:val="21"/>
                <w:szCs w:val="21"/>
              </w:rPr>
            </w:pPr>
            <w:r w:rsidRPr="00C46E6C">
              <w:rPr>
                <w:rFonts w:cstheme="minorHAnsi"/>
                <w:i/>
                <w:iCs/>
                <w:sz w:val="21"/>
                <w:szCs w:val="21"/>
              </w:rPr>
              <w:t>1</w:t>
            </w:r>
          </w:p>
        </w:tc>
        <w:tc>
          <w:tcPr>
            <w:tcW w:w="1374" w:type="dxa"/>
            <w:vAlign w:val="center"/>
          </w:tcPr>
          <w:p w14:paraId="0C269543" w14:textId="77777777" w:rsidR="00842D67" w:rsidRPr="00C46E6C" w:rsidRDefault="00842D67" w:rsidP="00D32CF6">
            <w:pPr>
              <w:pStyle w:val="ListParagraph"/>
              <w:ind w:left="0"/>
              <w:jc w:val="center"/>
              <w:rPr>
                <w:rFonts w:cstheme="minorHAnsi"/>
                <w:i/>
                <w:iCs/>
                <w:sz w:val="21"/>
                <w:szCs w:val="21"/>
              </w:rPr>
            </w:pPr>
          </w:p>
        </w:tc>
        <w:tc>
          <w:tcPr>
            <w:tcW w:w="1639" w:type="dxa"/>
            <w:vAlign w:val="center"/>
          </w:tcPr>
          <w:p w14:paraId="3F38F166" w14:textId="77777777" w:rsidR="00842D67" w:rsidRPr="00C46E6C" w:rsidRDefault="00842D67" w:rsidP="00D32CF6">
            <w:pPr>
              <w:pStyle w:val="ListParagraph"/>
              <w:ind w:left="0"/>
              <w:jc w:val="center"/>
              <w:rPr>
                <w:rFonts w:cstheme="minorHAnsi"/>
                <w:i/>
                <w:iCs/>
                <w:sz w:val="21"/>
                <w:szCs w:val="21"/>
              </w:rPr>
            </w:pPr>
          </w:p>
        </w:tc>
      </w:tr>
      <w:tr w:rsidR="00842D67" w:rsidRPr="00C46E6C" w14:paraId="46D84EA1" w14:textId="77777777" w:rsidTr="00D32CF6">
        <w:trPr>
          <w:trHeight w:val="288"/>
        </w:trPr>
        <w:tc>
          <w:tcPr>
            <w:tcW w:w="1640" w:type="dxa"/>
            <w:tcBorders>
              <w:right w:val="single" w:sz="4" w:space="0" w:color="auto"/>
            </w:tcBorders>
            <w:vAlign w:val="center"/>
          </w:tcPr>
          <w:p w14:paraId="1D2160DC" w14:textId="77777777" w:rsidR="00842D67" w:rsidRPr="00C46E6C" w:rsidRDefault="00842D67" w:rsidP="00D32CF6">
            <w:pPr>
              <w:pStyle w:val="ListParagraph"/>
              <w:ind w:left="0"/>
              <w:jc w:val="center"/>
              <w:rPr>
                <w:rFonts w:cstheme="minorHAnsi"/>
                <w:i/>
                <w:iCs/>
                <w:sz w:val="21"/>
                <w:szCs w:val="21"/>
              </w:rPr>
            </w:pPr>
            <w:r w:rsidRPr="00C46E6C">
              <w:rPr>
                <w:rFonts w:cstheme="minorHAnsi"/>
                <w:i/>
                <w:iCs/>
                <w:sz w:val="21"/>
                <w:szCs w:val="21"/>
              </w:rPr>
              <w:t>Interest_rate</w:t>
            </w:r>
          </w:p>
        </w:tc>
        <w:tc>
          <w:tcPr>
            <w:tcW w:w="1240" w:type="dxa"/>
            <w:tcBorders>
              <w:left w:val="single" w:sz="4" w:space="0" w:color="auto"/>
            </w:tcBorders>
            <w:vAlign w:val="center"/>
          </w:tcPr>
          <w:p w14:paraId="248D8FF8" w14:textId="77777777" w:rsidR="00842D67" w:rsidRPr="00C46E6C" w:rsidRDefault="00842D67" w:rsidP="00D32CF6">
            <w:pPr>
              <w:pStyle w:val="ListParagraph"/>
              <w:ind w:left="0"/>
              <w:jc w:val="center"/>
              <w:rPr>
                <w:rFonts w:cstheme="minorHAnsi"/>
                <w:i/>
                <w:iCs/>
                <w:sz w:val="21"/>
                <w:szCs w:val="21"/>
              </w:rPr>
            </w:pPr>
            <w:r w:rsidRPr="00C46E6C">
              <w:rPr>
                <w:rFonts w:cstheme="minorHAnsi"/>
                <w:i/>
                <w:iCs/>
                <w:sz w:val="21"/>
                <w:szCs w:val="21"/>
              </w:rPr>
              <w:t>-0.2714</w:t>
            </w:r>
          </w:p>
        </w:tc>
        <w:tc>
          <w:tcPr>
            <w:tcW w:w="1071" w:type="dxa"/>
            <w:vAlign w:val="center"/>
          </w:tcPr>
          <w:p w14:paraId="65D8F1D6" w14:textId="77777777" w:rsidR="00842D67" w:rsidRPr="00C46E6C" w:rsidRDefault="00842D67" w:rsidP="00D32CF6">
            <w:pPr>
              <w:pStyle w:val="ListParagraph"/>
              <w:ind w:left="0"/>
              <w:jc w:val="center"/>
              <w:rPr>
                <w:rFonts w:cstheme="minorHAnsi"/>
                <w:i/>
                <w:iCs/>
                <w:sz w:val="21"/>
                <w:szCs w:val="21"/>
              </w:rPr>
            </w:pPr>
            <w:r w:rsidRPr="00C46E6C">
              <w:rPr>
                <w:rFonts w:cstheme="minorHAnsi"/>
                <w:i/>
                <w:iCs/>
                <w:sz w:val="21"/>
                <w:szCs w:val="21"/>
              </w:rPr>
              <w:t>-0.05632</w:t>
            </w:r>
          </w:p>
        </w:tc>
        <w:tc>
          <w:tcPr>
            <w:tcW w:w="1338" w:type="dxa"/>
            <w:vAlign w:val="center"/>
          </w:tcPr>
          <w:p w14:paraId="4EC2894A" w14:textId="77777777" w:rsidR="00842D67" w:rsidRPr="00C46E6C" w:rsidRDefault="00842D67" w:rsidP="00D32CF6">
            <w:pPr>
              <w:pStyle w:val="ListParagraph"/>
              <w:ind w:left="0"/>
              <w:jc w:val="center"/>
              <w:rPr>
                <w:rFonts w:cstheme="minorHAnsi"/>
                <w:i/>
                <w:iCs/>
                <w:sz w:val="21"/>
                <w:szCs w:val="21"/>
              </w:rPr>
            </w:pPr>
            <w:r w:rsidRPr="00C46E6C">
              <w:rPr>
                <w:rFonts w:cstheme="minorHAnsi"/>
                <w:i/>
                <w:iCs/>
                <w:sz w:val="21"/>
                <w:szCs w:val="21"/>
              </w:rPr>
              <w:t>-0.0363</w:t>
            </w:r>
          </w:p>
        </w:tc>
        <w:tc>
          <w:tcPr>
            <w:tcW w:w="1228" w:type="dxa"/>
            <w:vAlign w:val="center"/>
          </w:tcPr>
          <w:p w14:paraId="1819C0F7" w14:textId="77777777" w:rsidR="00842D67" w:rsidRPr="00C46E6C" w:rsidRDefault="00842D67" w:rsidP="00D32CF6">
            <w:pPr>
              <w:pStyle w:val="ListParagraph"/>
              <w:ind w:left="0"/>
              <w:jc w:val="center"/>
              <w:rPr>
                <w:rFonts w:cstheme="minorHAnsi"/>
                <w:i/>
                <w:iCs/>
                <w:sz w:val="21"/>
                <w:szCs w:val="21"/>
              </w:rPr>
            </w:pPr>
            <w:r w:rsidRPr="00C46E6C">
              <w:rPr>
                <w:rFonts w:cstheme="minorHAnsi"/>
                <w:i/>
                <w:iCs/>
                <w:sz w:val="21"/>
                <w:szCs w:val="21"/>
              </w:rPr>
              <w:t>-0.18967</w:t>
            </w:r>
          </w:p>
        </w:tc>
        <w:tc>
          <w:tcPr>
            <w:tcW w:w="1374" w:type="dxa"/>
            <w:vAlign w:val="center"/>
          </w:tcPr>
          <w:p w14:paraId="2F0C787B" w14:textId="77777777" w:rsidR="00842D67" w:rsidRPr="00C46E6C" w:rsidRDefault="00842D67" w:rsidP="00D32CF6">
            <w:pPr>
              <w:pStyle w:val="ListParagraph"/>
              <w:ind w:left="0"/>
              <w:jc w:val="center"/>
              <w:rPr>
                <w:rFonts w:cstheme="minorHAnsi"/>
                <w:i/>
                <w:iCs/>
                <w:sz w:val="21"/>
                <w:szCs w:val="21"/>
              </w:rPr>
            </w:pPr>
            <w:r w:rsidRPr="00C46E6C">
              <w:rPr>
                <w:rFonts w:cstheme="minorHAnsi"/>
                <w:i/>
                <w:iCs/>
                <w:sz w:val="21"/>
                <w:szCs w:val="21"/>
              </w:rPr>
              <w:t>1</w:t>
            </w:r>
          </w:p>
        </w:tc>
        <w:tc>
          <w:tcPr>
            <w:tcW w:w="1639" w:type="dxa"/>
            <w:vAlign w:val="center"/>
          </w:tcPr>
          <w:p w14:paraId="0C76DBBB" w14:textId="77777777" w:rsidR="00842D67" w:rsidRPr="00C46E6C" w:rsidRDefault="00842D67" w:rsidP="00D32CF6">
            <w:pPr>
              <w:pStyle w:val="ListParagraph"/>
              <w:ind w:left="0"/>
              <w:jc w:val="center"/>
              <w:rPr>
                <w:rFonts w:cstheme="minorHAnsi"/>
                <w:i/>
                <w:iCs/>
                <w:sz w:val="21"/>
                <w:szCs w:val="21"/>
              </w:rPr>
            </w:pPr>
          </w:p>
        </w:tc>
      </w:tr>
      <w:tr w:rsidR="00842D67" w:rsidRPr="00C46E6C" w14:paraId="49693F0C" w14:textId="77777777" w:rsidTr="00D32CF6">
        <w:trPr>
          <w:trHeight w:val="577"/>
        </w:trPr>
        <w:tc>
          <w:tcPr>
            <w:tcW w:w="1640" w:type="dxa"/>
            <w:tcBorders>
              <w:right w:val="single" w:sz="4" w:space="0" w:color="auto"/>
            </w:tcBorders>
            <w:vAlign w:val="center"/>
          </w:tcPr>
          <w:p w14:paraId="734D4B14" w14:textId="77777777" w:rsidR="00842D67" w:rsidRPr="00C46E6C" w:rsidRDefault="00842D67" w:rsidP="00D32CF6">
            <w:pPr>
              <w:pStyle w:val="ListParagraph"/>
              <w:ind w:left="0"/>
              <w:jc w:val="center"/>
              <w:rPr>
                <w:rFonts w:cstheme="minorHAnsi"/>
                <w:i/>
                <w:iCs/>
                <w:sz w:val="21"/>
                <w:szCs w:val="21"/>
              </w:rPr>
            </w:pPr>
            <w:r w:rsidRPr="00C46E6C">
              <w:rPr>
                <w:rFonts w:cstheme="minorHAnsi"/>
                <w:i/>
                <w:iCs/>
                <w:sz w:val="21"/>
                <w:szCs w:val="21"/>
              </w:rPr>
              <w:t>Gross_Cap_Form</w:t>
            </w:r>
          </w:p>
        </w:tc>
        <w:tc>
          <w:tcPr>
            <w:tcW w:w="1240" w:type="dxa"/>
            <w:tcBorders>
              <w:left w:val="single" w:sz="4" w:space="0" w:color="auto"/>
            </w:tcBorders>
            <w:vAlign w:val="center"/>
          </w:tcPr>
          <w:p w14:paraId="7746413D" w14:textId="77777777" w:rsidR="00842D67" w:rsidRPr="00C46E6C" w:rsidRDefault="00842D67" w:rsidP="00D32CF6">
            <w:pPr>
              <w:pStyle w:val="ListParagraph"/>
              <w:ind w:left="0"/>
              <w:jc w:val="center"/>
              <w:rPr>
                <w:rFonts w:cstheme="minorHAnsi"/>
                <w:i/>
                <w:iCs/>
                <w:sz w:val="21"/>
                <w:szCs w:val="21"/>
              </w:rPr>
            </w:pPr>
            <w:r w:rsidRPr="00C46E6C">
              <w:rPr>
                <w:rFonts w:cstheme="minorHAnsi"/>
                <w:i/>
                <w:iCs/>
                <w:sz w:val="21"/>
                <w:szCs w:val="21"/>
              </w:rPr>
              <w:t>-0.74288</w:t>
            </w:r>
          </w:p>
        </w:tc>
        <w:tc>
          <w:tcPr>
            <w:tcW w:w="1071" w:type="dxa"/>
            <w:vAlign w:val="center"/>
          </w:tcPr>
          <w:p w14:paraId="5D41AE7B" w14:textId="77777777" w:rsidR="00842D67" w:rsidRPr="00C46E6C" w:rsidRDefault="00842D67" w:rsidP="00D32CF6">
            <w:pPr>
              <w:pStyle w:val="ListParagraph"/>
              <w:ind w:left="0"/>
              <w:jc w:val="center"/>
              <w:rPr>
                <w:rFonts w:cstheme="minorHAnsi"/>
                <w:i/>
                <w:iCs/>
                <w:sz w:val="21"/>
                <w:szCs w:val="21"/>
              </w:rPr>
            </w:pPr>
            <w:r w:rsidRPr="00C46E6C">
              <w:rPr>
                <w:rFonts w:cstheme="minorHAnsi"/>
                <w:i/>
                <w:iCs/>
                <w:sz w:val="21"/>
                <w:szCs w:val="21"/>
              </w:rPr>
              <w:t>-0.19204</w:t>
            </w:r>
          </w:p>
        </w:tc>
        <w:tc>
          <w:tcPr>
            <w:tcW w:w="1338" w:type="dxa"/>
            <w:vAlign w:val="center"/>
          </w:tcPr>
          <w:p w14:paraId="3BCF7F1F" w14:textId="77777777" w:rsidR="00842D67" w:rsidRPr="00C46E6C" w:rsidRDefault="00842D67" w:rsidP="00D32CF6">
            <w:pPr>
              <w:pStyle w:val="ListParagraph"/>
              <w:ind w:left="0"/>
              <w:jc w:val="center"/>
              <w:rPr>
                <w:rFonts w:cstheme="minorHAnsi"/>
                <w:i/>
                <w:iCs/>
                <w:sz w:val="21"/>
                <w:szCs w:val="21"/>
              </w:rPr>
            </w:pPr>
            <w:r w:rsidRPr="00C46E6C">
              <w:rPr>
                <w:rFonts w:cstheme="minorHAnsi"/>
                <w:i/>
                <w:iCs/>
                <w:sz w:val="21"/>
                <w:szCs w:val="21"/>
              </w:rPr>
              <w:t>-0.50809</w:t>
            </w:r>
          </w:p>
        </w:tc>
        <w:tc>
          <w:tcPr>
            <w:tcW w:w="1228" w:type="dxa"/>
            <w:vAlign w:val="center"/>
          </w:tcPr>
          <w:p w14:paraId="224CAB52" w14:textId="77777777" w:rsidR="00842D67" w:rsidRPr="00C46E6C" w:rsidRDefault="00842D67" w:rsidP="00D32CF6">
            <w:pPr>
              <w:pStyle w:val="ListParagraph"/>
              <w:ind w:left="0"/>
              <w:jc w:val="center"/>
              <w:rPr>
                <w:rFonts w:cstheme="minorHAnsi"/>
                <w:i/>
                <w:iCs/>
                <w:sz w:val="21"/>
                <w:szCs w:val="21"/>
              </w:rPr>
            </w:pPr>
            <w:r w:rsidRPr="00C46E6C">
              <w:rPr>
                <w:rFonts w:cstheme="minorHAnsi"/>
                <w:i/>
                <w:iCs/>
                <w:sz w:val="21"/>
                <w:szCs w:val="21"/>
              </w:rPr>
              <w:t>-0.35239</w:t>
            </w:r>
          </w:p>
        </w:tc>
        <w:tc>
          <w:tcPr>
            <w:tcW w:w="1374" w:type="dxa"/>
            <w:vAlign w:val="center"/>
          </w:tcPr>
          <w:p w14:paraId="72552135" w14:textId="77777777" w:rsidR="00842D67" w:rsidRPr="00C46E6C" w:rsidRDefault="00842D67" w:rsidP="00D32CF6">
            <w:pPr>
              <w:pStyle w:val="ListParagraph"/>
              <w:ind w:left="0"/>
              <w:jc w:val="center"/>
              <w:rPr>
                <w:rFonts w:cstheme="minorHAnsi"/>
                <w:i/>
                <w:iCs/>
                <w:sz w:val="21"/>
                <w:szCs w:val="21"/>
              </w:rPr>
            </w:pPr>
            <w:r w:rsidRPr="00C46E6C">
              <w:rPr>
                <w:rFonts w:cstheme="minorHAnsi"/>
                <w:i/>
                <w:iCs/>
                <w:sz w:val="21"/>
                <w:szCs w:val="21"/>
              </w:rPr>
              <w:t>-0.05354</w:t>
            </w:r>
          </w:p>
        </w:tc>
        <w:tc>
          <w:tcPr>
            <w:tcW w:w="1639" w:type="dxa"/>
            <w:vAlign w:val="center"/>
          </w:tcPr>
          <w:p w14:paraId="46E7E5D7" w14:textId="77777777" w:rsidR="00842D67" w:rsidRPr="00C46E6C" w:rsidRDefault="00842D67" w:rsidP="00D32CF6">
            <w:pPr>
              <w:pStyle w:val="ListParagraph"/>
              <w:ind w:left="0"/>
              <w:jc w:val="center"/>
              <w:rPr>
                <w:rFonts w:cstheme="minorHAnsi"/>
                <w:i/>
                <w:iCs/>
                <w:sz w:val="21"/>
                <w:szCs w:val="21"/>
              </w:rPr>
            </w:pPr>
            <w:r w:rsidRPr="00C46E6C">
              <w:rPr>
                <w:rFonts w:cstheme="minorHAnsi"/>
                <w:i/>
                <w:iCs/>
                <w:sz w:val="21"/>
                <w:szCs w:val="21"/>
              </w:rPr>
              <w:t>1</w:t>
            </w:r>
          </w:p>
        </w:tc>
      </w:tr>
    </w:tbl>
    <w:p w14:paraId="65A4964F" w14:textId="77777777" w:rsidR="00842D67" w:rsidRPr="00B6779E" w:rsidRDefault="00842D67" w:rsidP="00842D67">
      <w:pPr>
        <w:pStyle w:val="Caption"/>
        <w:jc w:val="center"/>
        <w:rPr>
          <w:b w:val="0"/>
          <w:bCs w:val="0"/>
          <w:color w:val="auto"/>
        </w:rPr>
      </w:pPr>
      <w:r w:rsidRPr="00B6779E">
        <w:rPr>
          <w:b w:val="0"/>
          <w:bCs w:val="0"/>
          <w:color w:val="auto"/>
          <w:sz w:val="20"/>
          <w:szCs w:val="20"/>
        </w:rPr>
        <w:t xml:space="preserve">Table </w:t>
      </w:r>
      <w:r w:rsidRPr="00B6779E">
        <w:rPr>
          <w:b w:val="0"/>
          <w:bCs w:val="0"/>
          <w:color w:val="auto"/>
          <w:sz w:val="20"/>
          <w:szCs w:val="20"/>
        </w:rPr>
        <w:fldChar w:fldCharType="begin"/>
      </w:r>
      <w:r w:rsidRPr="00B6779E">
        <w:rPr>
          <w:b w:val="0"/>
          <w:bCs w:val="0"/>
          <w:color w:val="auto"/>
          <w:sz w:val="20"/>
          <w:szCs w:val="20"/>
        </w:rPr>
        <w:instrText xml:space="preserve"> SEQ Table \* ARABIC </w:instrText>
      </w:r>
      <w:r w:rsidRPr="00B6779E">
        <w:rPr>
          <w:b w:val="0"/>
          <w:bCs w:val="0"/>
          <w:color w:val="auto"/>
          <w:sz w:val="20"/>
          <w:szCs w:val="20"/>
        </w:rPr>
        <w:fldChar w:fldCharType="separate"/>
      </w:r>
      <w:r>
        <w:rPr>
          <w:b w:val="0"/>
          <w:bCs w:val="0"/>
          <w:noProof/>
          <w:color w:val="auto"/>
          <w:sz w:val="20"/>
          <w:szCs w:val="20"/>
        </w:rPr>
        <w:t>4</w:t>
      </w:r>
      <w:r w:rsidRPr="00B6779E">
        <w:rPr>
          <w:b w:val="0"/>
          <w:bCs w:val="0"/>
          <w:color w:val="auto"/>
          <w:sz w:val="20"/>
          <w:szCs w:val="20"/>
        </w:rPr>
        <w:fldChar w:fldCharType="end"/>
      </w:r>
      <w:r w:rsidRPr="00B6779E">
        <w:rPr>
          <w:b w:val="0"/>
          <w:bCs w:val="0"/>
          <w:color w:val="auto"/>
          <w:sz w:val="20"/>
          <w:szCs w:val="20"/>
        </w:rPr>
        <w:t>- Correlation matrix</w:t>
      </w:r>
    </w:p>
    <w:p w14:paraId="76274490" w14:textId="77777777" w:rsidR="00842D67" w:rsidRDefault="00842D67" w:rsidP="00842D67">
      <w:pPr>
        <w:pStyle w:val="ListParagraph"/>
        <w:spacing w:before="240" w:after="0" w:line="360" w:lineRule="auto"/>
        <w:ind w:left="57"/>
        <w:jc w:val="both"/>
        <w:rPr>
          <w:sz w:val="24"/>
          <w:szCs w:val="24"/>
        </w:rPr>
      </w:pPr>
      <w:r w:rsidRPr="00B6779E">
        <w:rPr>
          <w:sz w:val="24"/>
          <w:szCs w:val="24"/>
        </w:rPr>
        <w:t>The strongest correlation is between tax revenue and government expenditure (both</w:t>
      </w:r>
      <w:r>
        <w:rPr>
          <w:sz w:val="24"/>
          <w:szCs w:val="24"/>
        </w:rPr>
        <w:t xml:space="preserve"> </w:t>
      </w:r>
      <w:r w:rsidRPr="00B6779E">
        <w:rPr>
          <w:sz w:val="24"/>
          <w:szCs w:val="24"/>
        </w:rPr>
        <w:t>independent variables), reaching the value of 0.8888</w:t>
      </w:r>
      <w:r>
        <w:rPr>
          <w:sz w:val="24"/>
          <w:szCs w:val="24"/>
        </w:rPr>
        <w:t xml:space="preserve">. </w:t>
      </w:r>
    </w:p>
    <w:p w14:paraId="5B7E4FC8" w14:textId="77777777" w:rsidR="00842D67" w:rsidRDefault="00842D67" w:rsidP="00842D67">
      <w:pPr>
        <w:pStyle w:val="ListParagraph"/>
        <w:spacing w:before="240" w:after="0" w:line="360" w:lineRule="auto"/>
        <w:ind w:left="57"/>
        <w:jc w:val="both"/>
        <w:rPr>
          <w:sz w:val="24"/>
          <w:szCs w:val="24"/>
        </w:rPr>
      </w:pPr>
      <w:r w:rsidRPr="00B6779E">
        <w:rPr>
          <w:sz w:val="24"/>
          <w:szCs w:val="24"/>
        </w:rPr>
        <w:t>The relationship between government expenditure and government tax revenue is important</w:t>
      </w:r>
      <w:r>
        <w:rPr>
          <w:sz w:val="24"/>
          <w:szCs w:val="24"/>
        </w:rPr>
        <w:t xml:space="preserve"> </w:t>
      </w:r>
      <w:r w:rsidRPr="00B6779E">
        <w:rPr>
          <w:sz w:val="24"/>
          <w:szCs w:val="24"/>
        </w:rPr>
        <w:t>for fiscal policymaking and macroeconomic management. The nature and composition</w:t>
      </w:r>
      <w:r>
        <w:rPr>
          <w:sz w:val="24"/>
          <w:szCs w:val="24"/>
        </w:rPr>
        <w:t xml:space="preserve"> </w:t>
      </w:r>
      <w:r w:rsidRPr="00B6779E">
        <w:rPr>
          <w:sz w:val="24"/>
          <w:szCs w:val="24"/>
        </w:rPr>
        <w:t>of government expenditure influence economic growth and social welfare. Therefore,</w:t>
      </w:r>
      <w:r>
        <w:rPr>
          <w:sz w:val="24"/>
          <w:szCs w:val="24"/>
        </w:rPr>
        <w:t xml:space="preserve"> </w:t>
      </w:r>
      <w:r w:rsidRPr="00B6779E">
        <w:rPr>
          <w:sz w:val="24"/>
          <w:szCs w:val="24"/>
        </w:rPr>
        <w:t>government</w:t>
      </w:r>
      <w:r>
        <w:rPr>
          <w:sz w:val="24"/>
          <w:szCs w:val="24"/>
        </w:rPr>
        <w:t xml:space="preserve"> </w:t>
      </w:r>
      <w:r w:rsidRPr="00B6779E">
        <w:rPr>
          <w:sz w:val="24"/>
          <w:szCs w:val="24"/>
        </w:rPr>
        <w:t>expenditure, influences government tax revenues as well</w:t>
      </w:r>
      <w:r>
        <w:rPr>
          <w:sz w:val="24"/>
          <w:szCs w:val="24"/>
        </w:rPr>
        <w:t>.</w:t>
      </w:r>
    </w:p>
    <w:p w14:paraId="17C79515" w14:textId="77777777" w:rsidR="00842D67" w:rsidRDefault="00842D67" w:rsidP="00842D67">
      <w:pPr>
        <w:pStyle w:val="ListParagraph"/>
        <w:spacing w:before="240" w:after="0" w:line="360" w:lineRule="auto"/>
        <w:ind w:left="57"/>
        <w:jc w:val="both"/>
        <w:rPr>
          <w:b/>
          <w:bCs/>
          <w:sz w:val="24"/>
          <w:szCs w:val="24"/>
        </w:rPr>
      </w:pPr>
    </w:p>
    <w:p w14:paraId="5EAF0FE8" w14:textId="77777777" w:rsidR="00842D67" w:rsidRPr="00B6779E" w:rsidRDefault="00842D67" w:rsidP="00842D67">
      <w:pPr>
        <w:pStyle w:val="ListParagraph"/>
        <w:spacing w:before="240" w:after="0" w:line="360" w:lineRule="auto"/>
        <w:ind w:left="57"/>
        <w:jc w:val="both"/>
        <w:rPr>
          <w:sz w:val="24"/>
          <w:szCs w:val="24"/>
        </w:rPr>
      </w:pPr>
      <w:r w:rsidRPr="00B6779E">
        <w:rPr>
          <w:sz w:val="24"/>
          <w:szCs w:val="24"/>
        </w:rPr>
        <w:t>For the sake of completeness and to check robustness we carry out the Hausmnn test (see Table 5 ). This test is used to decide which of the two models is statistically valid.</w:t>
      </w:r>
    </w:p>
    <w:p w14:paraId="7D0229D8" w14:textId="77777777" w:rsidR="00842D67" w:rsidRDefault="00842D67" w:rsidP="00842D67">
      <w:pPr>
        <w:pStyle w:val="ListParagraph"/>
        <w:spacing w:before="240" w:after="0" w:line="360" w:lineRule="auto"/>
        <w:ind w:left="57"/>
        <w:jc w:val="both"/>
        <w:rPr>
          <w:sz w:val="24"/>
          <w:szCs w:val="24"/>
        </w:rPr>
      </w:pPr>
      <w:r w:rsidRPr="00B6779E">
        <w:rPr>
          <w:sz w:val="24"/>
          <w:szCs w:val="24"/>
        </w:rPr>
        <w:t>The null hypothesis is that the preferred model is the random effects model, whereas the alternative hypothesis is that the preferred model is the fixed effects model.</w:t>
      </w:r>
    </w:p>
    <w:p w14:paraId="570C3941" w14:textId="77777777" w:rsidR="00842D67" w:rsidRDefault="00842D67" w:rsidP="00842D67">
      <w:pPr>
        <w:pStyle w:val="ListParagraph"/>
        <w:spacing w:before="240" w:after="0" w:line="360" w:lineRule="auto"/>
        <w:ind w:left="57"/>
        <w:jc w:val="both"/>
        <w:rPr>
          <w:sz w:val="24"/>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24"/>
        <w:gridCol w:w="1530"/>
        <w:gridCol w:w="1531"/>
        <w:gridCol w:w="1530"/>
        <w:gridCol w:w="1531"/>
      </w:tblGrid>
      <w:tr w:rsidR="00842D67" w:rsidRPr="00C46E6C" w14:paraId="07190EA7" w14:textId="77777777" w:rsidTr="00D32CF6">
        <w:trPr>
          <w:trHeight w:val="371"/>
          <w:jc w:val="center"/>
        </w:trPr>
        <w:tc>
          <w:tcPr>
            <w:tcW w:w="1524" w:type="dxa"/>
            <w:tcBorders>
              <w:top w:val="single" w:sz="4" w:space="0" w:color="auto"/>
            </w:tcBorders>
            <w:vAlign w:val="center"/>
          </w:tcPr>
          <w:p w14:paraId="0AFD6123" w14:textId="77777777" w:rsidR="00842D67" w:rsidRPr="00C46E6C" w:rsidRDefault="00842D67" w:rsidP="00D32CF6">
            <w:pPr>
              <w:pStyle w:val="ListParagraph"/>
              <w:ind w:left="0"/>
              <w:jc w:val="center"/>
              <w:rPr>
                <w:i/>
                <w:iCs/>
                <w:sz w:val="20"/>
                <w:szCs w:val="20"/>
              </w:rPr>
            </w:pPr>
          </w:p>
        </w:tc>
        <w:tc>
          <w:tcPr>
            <w:tcW w:w="1530" w:type="dxa"/>
            <w:tcBorders>
              <w:top w:val="single" w:sz="4" w:space="0" w:color="auto"/>
            </w:tcBorders>
            <w:vAlign w:val="center"/>
          </w:tcPr>
          <w:p w14:paraId="35842C1F" w14:textId="77777777" w:rsidR="00842D67" w:rsidRPr="00C46E6C" w:rsidRDefault="00842D67" w:rsidP="00D32CF6">
            <w:pPr>
              <w:pStyle w:val="ListParagraph"/>
              <w:ind w:left="0"/>
              <w:jc w:val="center"/>
              <w:rPr>
                <w:i/>
                <w:iCs/>
                <w:sz w:val="20"/>
                <w:szCs w:val="20"/>
              </w:rPr>
            </w:pPr>
            <w:r w:rsidRPr="00C46E6C">
              <w:rPr>
                <w:i/>
                <w:iCs/>
                <w:sz w:val="20"/>
                <w:szCs w:val="20"/>
              </w:rPr>
              <w:t>Fixed</w:t>
            </w:r>
          </w:p>
        </w:tc>
        <w:tc>
          <w:tcPr>
            <w:tcW w:w="1531" w:type="dxa"/>
            <w:tcBorders>
              <w:top w:val="single" w:sz="4" w:space="0" w:color="auto"/>
            </w:tcBorders>
            <w:vAlign w:val="center"/>
          </w:tcPr>
          <w:p w14:paraId="2A9D61C7" w14:textId="77777777" w:rsidR="00842D67" w:rsidRPr="00C46E6C" w:rsidRDefault="00842D67" w:rsidP="00D32CF6">
            <w:pPr>
              <w:pStyle w:val="ListParagraph"/>
              <w:ind w:left="0"/>
              <w:jc w:val="center"/>
              <w:rPr>
                <w:i/>
                <w:iCs/>
                <w:sz w:val="20"/>
                <w:szCs w:val="20"/>
              </w:rPr>
            </w:pPr>
            <w:r w:rsidRPr="00C46E6C">
              <w:rPr>
                <w:i/>
                <w:iCs/>
                <w:sz w:val="20"/>
                <w:szCs w:val="20"/>
              </w:rPr>
              <w:t>Random</w:t>
            </w:r>
          </w:p>
        </w:tc>
        <w:tc>
          <w:tcPr>
            <w:tcW w:w="1530" w:type="dxa"/>
            <w:tcBorders>
              <w:top w:val="single" w:sz="4" w:space="0" w:color="auto"/>
            </w:tcBorders>
            <w:vAlign w:val="center"/>
          </w:tcPr>
          <w:p w14:paraId="72BCD1D4" w14:textId="77777777" w:rsidR="00842D67" w:rsidRPr="00C46E6C" w:rsidRDefault="00842D67" w:rsidP="00D32CF6">
            <w:pPr>
              <w:pStyle w:val="ListParagraph"/>
              <w:ind w:left="0"/>
              <w:jc w:val="center"/>
              <w:rPr>
                <w:i/>
                <w:iCs/>
                <w:sz w:val="20"/>
                <w:szCs w:val="20"/>
              </w:rPr>
            </w:pPr>
            <w:r w:rsidRPr="00C46E6C">
              <w:rPr>
                <w:i/>
                <w:iCs/>
                <w:sz w:val="20"/>
                <w:szCs w:val="20"/>
              </w:rPr>
              <w:t>Var (Diff)</w:t>
            </w:r>
          </w:p>
        </w:tc>
        <w:tc>
          <w:tcPr>
            <w:tcW w:w="1531" w:type="dxa"/>
            <w:tcBorders>
              <w:top w:val="single" w:sz="4" w:space="0" w:color="auto"/>
            </w:tcBorders>
            <w:vAlign w:val="center"/>
          </w:tcPr>
          <w:p w14:paraId="50CA973E" w14:textId="77777777" w:rsidR="00842D67" w:rsidRPr="00C46E6C" w:rsidRDefault="00842D67" w:rsidP="00D32CF6">
            <w:pPr>
              <w:pStyle w:val="ListParagraph"/>
              <w:ind w:left="0"/>
              <w:jc w:val="center"/>
              <w:rPr>
                <w:i/>
                <w:iCs/>
                <w:sz w:val="20"/>
                <w:szCs w:val="20"/>
              </w:rPr>
            </w:pPr>
            <w:r w:rsidRPr="00C46E6C">
              <w:rPr>
                <w:i/>
                <w:iCs/>
                <w:sz w:val="20"/>
                <w:szCs w:val="20"/>
              </w:rPr>
              <w:t>Prob.</w:t>
            </w:r>
          </w:p>
        </w:tc>
      </w:tr>
      <w:tr w:rsidR="00842D67" w:rsidRPr="00C46E6C" w14:paraId="089C87B6" w14:textId="77777777" w:rsidTr="00D32CF6">
        <w:trPr>
          <w:trHeight w:val="619"/>
          <w:jc w:val="center"/>
        </w:trPr>
        <w:tc>
          <w:tcPr>
            <w:tcW w:w="1524" w:type="dxa"/>
            <w:vAlign w:val="center"/>
          </w:tcPr>
          <w:p w14:paraId="6753CA13" w14:textId="77777777" w:rsidR="00842D67" w:rsidRPr="00C46E6C" w:rsidRDefault="00842D67" w:rsidP="00D32CF6">
            <w:pPr>
              <w:pStyle w:val="ListParagraph"/>
              <w:ind w:left="0"/>
              <w:jc w:val="center"/>
              <w:rPr>
                <w:i/>
                <w:iCs/>
                <w:sz w:val="20"/>
                <w:szCs w:val="20"/>
              </w:rPr>
            </w:pPr>
            <w:r>
              <w:rPr>
                <w:i/>
                <w:iCs/>
                <w:sz w:val="20"/>
                <w:szCs w:val="20"/>
              </w:rPr>
              <w:sym w:font="Symbol" w:char="F070"/>
            </w:r>
          </w:p>
        </w:tc>
        <w:tc>
          <w:tcPr>
            <w:tcW w:w="1530" w:type="dxa"/>
            <w:vAlign w:val="center"/>
          </w:tcPr>
          <w:p w14:paraId="147C1797" w14:textId="77777777" w:rsidR="00842D67" w:rsidRPr="00C46E6C" w:rsidRDefault="00842D67" w:rsidP="00D32CF6">
            <w:pPr>
              <w:pStyle w:val="ListParagraph"/>
              <w:ind w:left="0"/>
              <w:jc w:val="center"/>
              <w:rPr>
                <w:i/>
                <w:iCs/>
                <w:sz w:val="20"/>
                <w:szCs w:val="20"/>
              </w:rPr>
            </w:pPr>
            <w:r>
              <w:rPr>
                <w:i/>
                <w:iCs/>
                <w:sz w:val="20"/>
                <w:szCs w:val="20"/>
              </w:rPr>
              <w:t>0.001440</w:t>
            </w:r>
          </w:p>
        </w:tc>
        <w:tc>
          <w:tcPr>
            <w:tcW w:w="1531" w:type="dxa"/>
            <w:vAlign w:val="center"/>
          </w:tcPr>
          <w:p w14:paraId="77A1C9C7" w14:textId="77777777" w:rsidR="00842D67" w:rsidRPr="00C46E6C" w:rsidRDefault="00842D67" w:rsidP="00D32CF6">
            <w:pPr>
              <w:pStyle w:val="ListParagraph"/>
              <w:ind w:left="0"/>
              <w:jc w:val="center"/>
              <w:rPr>
                <w:i/>
                <w:iCs/>
                <w:sz w:val="20"/>
                <w:szCs w:val="20"/>
              </w:rPr>
            </w:pPr>
            <w:r>
              <w:rPr>
                <w:i/>
                <w:iCs/>
                <w:sz w:val="20"/>
                <w:szCs w:val="20"/>
              </w:rPr>
              <w:t>0.001692</w:t>
            </w:r>
          </w:p>
        </w:tc>
        <w:tc>
          <w:tcPr>
            <w:tcW w:w="1530" w:type="dxa"/>
            <w:vAlign w:val="center"/>
          </w:tcPr>
          <w:p w14:paraId="14C6D3E7" w14:textId="77777777" w:rsidR="00842D67" w:rsidRPr="00C46E6C" w:rsidRDefault="00842D67" w:rsidP="00D32CF6">
            <w:pPr>
              <w:pStyle w:val="ListParagraph"/>
              <w:ind w:left="0"/>
              <w:jc w:val="center"/>
              <w:rPr>
                <w:i/>
                <w:iCs/>
                <w:sz w:val="20"/>
                <w:szCs w:val="20"/>
              </w:rPr>
            </w:pPr>
            <w:r w:rsidRPr="00C46E6C">
              <w:rPr>
                <w:i/>
                <w:iCs/>
                <w:sz w:val="20"/>
                <w:szCs w:val="20"/>
              </w:rPr>
              <w:t>0.0</w:t>
            </w:r>
          </w:p>
        </w:tc>
        <w:tc>
          <w:tcPr>
            <w:tcW w:w="1531" w:type="dxa"/>
            <w:vAlign w:val="center"/>
          </w:tcPr>
          <w:p w14:paraId="2ABBFB18" w14:textId="77777777" w:rsidR="00842D67" w:rsidRPr="00C46E6C" w:rsidRDefault="00842D67" w:rsidP="00D32CF6">
            <w:pPr>
              <w:pStyle w:val="ListParagraph"/>
              <w:ind w:left="0"/>
              <w:jc w:val="center"/>
              <w:rPr>
                <w:i/>
                <w:iCs/>
                <w:sz w:val="20"/>
                <w:szCs w:val="20"/>
              </w:rPr>
            </w:pPr>
            <w:r w:rsidRPr="00C46E6C">
              <w:rPr>
                <w:i/>
                <w:iCs/>
                <w:sz w:val="20"/>
                <w:szCs w:val="20"/>
              </w:rPr>
              <w:t>0.000</w:t>
            </w:r>
          </w:p>
        </w:tc>
      </w:tr>
      <w:tr w:rsidR="00842D67" w:rsidRPr="00C46E6C" w14:paraId="38FD73D0" w14:textId="77777777" w:rsidTr="00D32CF6">
        <w:trPr>
          <w:trHeight w:val="634"/>
          <w:jc w:val="center"/>
        </w:trPr>
        <w:tc>
          <w:tcPr>
            <w:tcW w:w="1524" w:type="dxa"/>
            <w:vAlign w:val="center"/>
          </w:tcPr>
          <w:p w14:paraId="780F093C" w14:textId="77777777" w:rsidR="00842D67" w:rsidRPr="00C46E6C" w:rsidRDefault="00842D67" w:rsidP="00D32CF6">
            <w:pPr>
              <w:pStyle w:val="ListParagraph"/>
              <w:ind w:left="0"/>
              <w:jc w:val="center"/>
              <w:rPr>
                <w:i/>
                <w:iCs/>
                <w:sz w:val="20"/>
                <w:szCs w:val="20"/>
              </w:rPr>
            </w:pPr>
            <w:r>
              <w:rPr>
                <w:i/>
                <w:iCs/>
                <w:sz w:val="20"/>
                <w:szCs w:val="20"/>
              </w:rPr>
              <w:lastRenderedPageBreak/>
              <w:t>e</w:t>
            </w:r>
          </w:p>
        </w:tc>
        <w:tc>
          <w:tcPr>
            <w:tcW w:w="1530" w:type="dxa"/>
            <w:vAlign w:val="center"/>
          </w:tcPr>
          <w:p w14:paraId="73E244DF" w14:textId="77777777" w:rsidR="00842D67" w:rsidRPr="00C46E6C" w:rsidRDefault="00842D67" w:rsidP="00D32CF6">
            <w:pPr>
              <w:pStyle w:val="ListParagraph"/>
              <w:ind w:left="0"/>
              <w:jc w:val="center"/>
              <w:rPr>
                <w:i/>
                <w:iCs/>
                <w:sz w:val="20"/>
                <w:szCs w:val="20"/>
              </w:rPr>
            </w:pPr>
            <w:r>
              <w:rPr>
                <w:i/>
                <w:iCs/>
                <w:sz w:val="20"/>
                <w:szCs w:val="20"/>
              </w:rPr>
              <w:t>0.001681</w:t>
            </w:r>
          </w:p>
        </w:tc>
        <w:tc>
          <w:tcPr>
            <w:tcW w:w="1531" w:type="dxa"/>
            <w:vAlign w:val="center"/>
          </w:tcPr>
          <w:p w14:paraId="4A790570" w14:textId="77777777" w:rsidR="00842D67" w:rsidRPr="00C46E6C" w:rsidRDefault="00842D67" w:rsidP="00D32CF6">
            <w:pPr>
              <w:pStyle w:val="ListParagraph"/>
              <w:ind w:left="0"/>
              <w:jc w:val="center"/>
              <w:rPr>
                <w:i/>
                <w:iCs/>
                <w:sz w:val="20"/>
                <w:szCs w:val="20"/>
              </w:rPr>
            </w:pPr>
            <w:r>
              <w:rPr>
                <w:i/>
                <w:iCs/>
                <w:sz w:val="20"/>
                <w:szCs w:val="20"/>
              </w:rPr>
              <w:t>0.002872</w:t>
            </w:r>
          </w:p>
        </w:tc>
        <w:tc>
          <w:tcPr>
            <w:tcW w:w="1530" w:type="dxa"/>
            <w:vAlign w:val="center"/>
          </w:tcPr>
          <w:p w14:paraId="1FD27F38" w14:textId="77777777" w:rsidR="00842D67" w:rsidRPr="00C46E6C" w:rsidRDefault="00842D67" w:rsidP="00D32CF6">
            <w:pPr>
              <w:pStyle w:val="ListParagraph"/>
              <w:ind w:left="0"/>
              <w:jc w:val="center"/>
              <w:rPr>
                <w:i/>
                <w:iCs/>
                <w:sz w:val="20"/>
                <w:szCs w:val="20"/>
              </w:rPr>
            </w:pPr>
            <w:r w:rsidRPr="00C46E6C">
              <w:rPr>
                <w:i/>
                <w:iCs/>
                <w:sz w:val="20"/>
                <w:szCs w:val="20"/>
              </w:rPr>
              <w:t>0.0</w:t>
            </w:r>
          </w:p>
        </w:tc>
        <w:tc>
          <w:tcPr>
            <w:tcW w:w="1531" w:type="dxa"/>
            <w:vAlign w:val="center"/>
          </w:tcPr>
          <w:p w14:paraId="69673F8A" w14:textId="77777777" w:rsidR="00842D67" w:rsidRPr="00C46E6C" w:rsidRDefault="00842D67" w:rsidP="00D32CF6">
            <w:pPr>
              <w:pStyle w:val="ListParagraph"/>
              <w:ind w:left="0"/>
              <w:jc w:val="center"/>
              <w:rPr>
                <w:i/>
                <w:iCs/>
                <w:sz w:val="20"/>
                <w:szCs w:val="20"/>
              </w:rPr>
            </w:pPr>
            <w:r w:rsidRPr="00C46E6C">
              <w:rPr>
                <w:i/>
                <w:iCs/>
                <w:sz w:val="20"/>
                <w:szCs w:val="20"/>
              </w:rPr>
              <w:t>0.000</w:t>
            </w:r>
          </w:p>
        </w:tc>
      </w:tr>
      <w:tr w:rsidR="00842D67" w:rsidRPr="00C46E6C" w14:paraId="61B6ACFD" w14:textId="77777777" w:rsidTr="00D32CF6">
        <w:trPr>
          <w:trHeight w:val="619"/>
          <w:jc w:val="center"/>
        </w:trPr>
        <w:tc>
          <w:tcPr>
            <w:tcW w:w="1524" w:type="dxa"/>
            <w:tcBorders>
              <w:bottom w:val="single" w:sz="4" w:space="0" w:color="auto"/>
            </w:tcBorders>
            <w:vAlign w:val="center"/>
          </w:tcPr>
          <w:p w14:paraId="6E50D4DE" w14:textId="77777777" w:rsidR="00842D67" w:rsidRPr="00C46E6C" w:rsidRDefault="00842D67" w:rsidP="00D32CF6">
            <w:pPr>
              <w:pStyle w:val="ListParagraph"/>
              <w:ind w:left="0"/>
              <w:jc w:val="center"/>
              <w:rPr>
                <w:i/>
                <w:iCs/>
                <w:sz w:val="20"/>
                <w:szCs w:val="20"/>
              </w:rPr>
            </w:pPr>
            <w:r>
              <w:rPr>
                <w:i/>
                <w:iCs/>
                <w:sz w:val="20"/>
                <w:szCs w:val="20"/>
              </w:rPr>
              <w:t>t</w:t>
            </w:r>
          </w:p>
        </w:tc>
        <w:tc>
          <w:tcPr>
            <w:tcW w:w="1530" w:type="dxa"/>
            <w:tcBorders>
              <w:bottom w:val="single" w:sz="4" w:space="0" w:color="auto"/>
            </w:tcBorders>
            <w:vAlign w:val="center"/>
          </w:tcPr>
          <w:p w14:paraId="2E032E7A" w14:textId="77777777" w:rsidR="00842D67" w:rsidRPr="00C46E6C" w:rsidRDefault="00842D67" w:rsidP="00D32CF6">
            <w:pPr>
              <w:pStyle w:val="ListParagraph"/>
              <w:ind w:left="0"/>
              <w:jc w:val="center"/>
              <w:rPr>
                <w:i/>
                <w:iCs/>
                <w:sz w:val="20"/>
                <w:szCs w:val="20"/>
              </w:rPr>
            </w:pPr>
            <w:r>
              <w:rPr>
                <w:i/>
                <w:iCs/>
                <w:sz w:val="20"/>
                <w:szCs w:val="20"/>
              </w:rPr>
              <w:t>0.003713</w:t>
            </w:r>
          </w:p>
        </w:tc>
        <w:tc>
          <w:tcPr>
            <w:tcW w:w="1531" w:type="dxa"/>
            <w:tcBorders>
              <w:bottom w:val="single" w:sz="4" w:space="0" w:color="auto"/>
            </w:tcBorders>
            <w:vAlign w:val="center"/>
          </w:tcPr>
          <w:p w14:paraId="4B1AD277" w14:textId="77777777" w:rsidR="00842D67" w:rsidRPr="00C46E6C" w:rsidRDefault="00842D67" w:rsidP="00D32CF6">
            <w:pPr>
              <w:pStyle w:val="ListParagraph"/>
              <w:ind w:left="0"/>
              <w:jc w:val="center"/>
              <w:rPr>
                <w:i/>
                <w:iCs/>
                <w:sz w:val="20"/>
                <w:szCs w:val="20"/>
              </w:rPr>
            </w:pPr>
            <w:r>
              <w:rPr>
                <w:i/>
                <w:iCs/>
                <w:sz w:val="20"/>
                <w:szCs w:val="20"/>
              </w:rPr>
              <w:t>0.001499</w:t>
            </w:r>
          </w:p>
        </w:tc>
        <w:tc>
          <w:tcPr>
            <w:tcW w:w="1530" w:type="dxa"/>
            <w:tcBorders>
              <w:bottom w:val="single" w:sz="4" w:space="0" w:color="auto"/>
            </w:tcBorders>
            <w:vAlign w:val="center"/>
          </w:tcPr>
          <w:p w14:paraId="5F08F865" w14:textId="77777777" w:rsidR="00842D67" w:rsidRPr="00C46E6C" w:rsidRDefault="00842D67" w:rsidP="00D32CF6">
            <w:pPr>
              <w:pStyle w:val="ListParagraph"/>
              <w:ind w:left="0"/>
              <w:jc w:val="center"/>
              <w:rPr>
                <w:i/>
                <w:iCs/>
                <w:sz w:val="20"/>
                <w:szCs w:val="20"/>
              </w:rPr>
            </w:pPr>
            <w:r w:rsidRPr="00C46E6C">
              <w:rPr>
                <w:i/>
                <w:iCs/>
                <w:sz w:val="20"/>
                <w:szCs w:val="20"/>
              </w:rPr>
              <w:t>0.0</w:t>
            </w:r>
          </w:p>
        </w:tc>
        <w:tc>
          <w:tcPr>
            <w:tcW w:w="1531" w:type="dxa"/>
            <w:tcBorders>
              <w:bottom w:val="single" w:sz="4" w:space="0" w:color="auto"/>
            </w:tcBorders>
            <w:vAlign w:val="center"/>
          </w:tcPr>
          <w:p w14:paraId="762E1A5F" w14:textId="77777777" w:rsidR="00842D67" w:rsidRPr="00C46E6C" w:rsidRDefault="00842D67" w:rsidP="00D32CF6">
            <w:pPr>
              <w:pStyle w:val="ListParagraph"/>
              <w:ind w:left="0"/>
              <w:jc w:val="center"/>
              <w:rPr>
                <w:i/>
                <w:iCs/>
                <w:sz w:val="20"/>
                <w:szCs w:val="20"/>
              </w:rPr>
            </w:pPr>
            <w:r w:rsidRPr="00C46E6C">
              <w:rPr>
                <w:i/>
                <w:iCs/>
                <w:sz w:val="20"/>
                <w:szCs w:val="20"/>
              </w:rPr>
              <w:t>0.00034</w:t>
            </w:r>
          </w:p>
        </w:tc>
      </w:tr>
    </w:tbl>
    <w:p w14:paraId="38175721" w14:textId="77777777" w:rsidR="00842D67" w:rsidRPr="00B6779E" w:rsidRDefault="00842D67" w:rsidP="00842D67">
      <w:pPr>
        <w:pStyle w:val="Caption"/>
        <w:jc w:val="center"/>
        <w:rPr>
          <w:b w:val="0"/>
          <w:bCs w:val="0"/>
          <w:color w:val="auto"/>
          <w:sz w:val="20"/>
          <w:szCs w:val="20"/>
        </w:rPr>
      </w:pPr>
      <w:r w:rsidRPr="00B6779E">
        <w:rPr>
          <w:b w:val="0"/>
          <w:bCs w:val="0"/>
          <w:color w:val="auto"/>
          <w:sz w:val="20"/>
          <w:szCs w:val="20"/>
        </w:rPr>
        <w:t xml:space="preserve">Table </w:t>
      </w:r>
      <w:r w:rsidRPr="00B6779E">
        <w:rPr>
          <w:b w:val="0"/>
          <w:bCs w:val="0"/>
          <w:color w:val="auto"/>
          <w:sz w:val="20"/>
          <w:szCs w:val="20"/>
        </w:rPr>
        <w:fldChar w:fldCharType="begin"/>
      </w:r>
      <w:r w:rsidRPr="00B6779E">
        <w:rPr>
          <w:b w:val="0"/>
          <w:bCs w:val="0"/>
          <w:color w:val="auto"/>
          <w:sz w:val="20"/>
          <w:szCs w:val="20"/>
        </w:rPr>
        <w:instrText xml:space="preserve"> SEQ Table \* ARABIC </w:instrText>
      </w:r>
      <w:r w:rsidRPr="00B6779E">
        <w:rPr>
          <w:b w:val="0"/>
          <w:bCs w:val="0"/>
          <w:color w:val="auto"/>
          <w:sz w:val="20"/>
          <w:szCs w:val="20"/>
        </w:rPr>
        <w:fldChar w:fldCharType="separate"/>
      </w:r>
      <w:r>
        <w:rPr>
          <w:b w:val="0"/>
          <w:bCs w:val="0"/>
          <w:noProof/>
          <w:color w:val="auto"/>
          <w:sz w:val="20"/>
          <w:szCs w:val="20"/>
        </w:rPr>
        <w:t>5</w:t>
      </w:r>
      <w:r w:rsidRPr="00B6779E">
        <w:rPr>
          <w:b w:val="0"/>
          <w:bCs w:val="0"/>
          <w:color w:val="auto"/>
          <w:sz w:val="20"/>
          <w:szCs w:val="20"/>
        </w:rPr>
        <w:fldChar w:fldCharType="end"/>
      </w:r>
      <w:r w:rsidRPr="00B6779E">
        <w:rPr>
          <w:b w:val="0"/>
          <w:bCs w:val="0"/>
          <w:color w:val="auto"/>
          <w:sz w:val="20"/>
          <w:szCs w:val="20"/>
        </w:rPr>
        <w:t xml:space="preserve"> - The Hausmann Test Results.</w:t>
      </w:r>
    </w:p>
    <w:p w14:paraId="72765212" w14:textId="77777777" w:rsidR="00842D67" w:rsidRPr="00B6779E" w:rsidRDefault="00842D67" w:rsidP="00842D67">
      <w:pPr>
        <w:pStyle w:val="Caption"/>
        <w:jc w:val="center"/>
        <w:rPr>
          <w:b w:val="0"/>
          <w:bCs w:val="0"/>
          <w:color w:val="auto"/>
          <w:sz w:val="20"/>
          <w:szCs w:val="20"/>
        </w:rPr>
      </w:pPr>
      <w:r w:rsidRPr="00B6779E">
        <w:rPr>
          <w:b w:val="0"/>
          <w:bCs w:val="0"/>
          <w:color w:val="auto"/>
          <w:sz w:val="20"/>
          <w:szCs w:val="20"/>
        </w:rPr>
        <w:t>Note: Chi-sq 48.148 (2); Test Summary Prob 0.000</w:t>
      </w:r>
    </w:p>
    <w:p w14:paraId="40376883" w14:textId="77777777" w:rsidR="00842D67" w:rsidRPr="00B6779E" w:rsidRDefault="00842D67" w:rsidP="00842D67">
      <w:pPr>
        <w:pStyle w:val="ListParagraph"/>
        <w:spacing w:before="240" w:after="0" w:line="360" w:lineRule="auto"/>
        <w:ind w:left="57"/>
        <w:jc w:val="both"/>
        <w:rPr>
          <w:sz w:val="24"/>
          <w:szCs w:val="24"/>
        </w:rPr>
      </w:pPr>
      <w:r w:rsidRPr="00B6779E">
        <w:rPr>
          <w:sz w:val="24"/>
          <w:szCs w:val="24"/>
        </w:rPr>
        <w:t>As probability is .000 we reject the Null Hypothesis (where the Null Hypothesis is that the preferred model is the Random Effects one). This confirms that the Fixed Effects method is the right one to use in this case (Green, 2008).</w:t>
      </w:r>
    </w:p>
    <w:p w14:paraId="28B139B1" w14:textId="77777777" w:rsidR="00842D67" w:rsidRPr="00B6779E" w:rsidRDefault="00842D67" w:rsidP="00842D67">
      <w:pPr>
        <w:pStyle w:val="ListParagraph"/>
        <w:spacing w:before="240" w:after="0" w:line="360" w:lineRule="auto"/>
        <w:ind w:left="57"/>
        <w:jc w:val="both"/>
        <w:rPr>
          <w:sz w:val="24"/>
          <w:szCs w:val="24"/>
        </w:rPr>
      </w:pPr>
      <w:r w:rsidRPr="00B6779E">
        <w:rPr>
          <w:sz w:val="24"/>
          <w:szCs w:val="24"/>
        </w:rPr>
        <w:t xml:space="preserve">No correlation occurs between the unique errors and the regressors in the model are detected. </w:t>
      </w:r>
    </w:p>
    <w:p w14:paraId="31FEF572" w14:textId="77777777" w:rsidR="00842D67" w:rsidRPr="00B6779E" w:rsidRDefault="00842D67" w:rsidP="00842D67">
      <w:pPr>
        <w:pStyle w:val="ListParagraph"/>
        <w:spacing w:before="240" w:after="0" w:line="360" w:lineRule="auto"/>
        <w:ind w:left="57"/>
        <w:jc w:val="both"/>
        <w:rPr>
          <w:b/>
          <w:bCs/>
          <w:sz w:val="24"/>
          <w:szCs w:val="24"/>
        </w:rPr>
      </w:pPr>
      <w:r w:rsidRPr="00B6779E">
        <w:rPr>
          <w:b/>
          <w:bCs/>
          <w:sz w:val="24"/>
          <w:szCs w:val="24"/>
        </w:rPr>
        <w:t>Variance Inflation Factor (VIF)</w:t>
      </w:r>
    </w:p>
    <w:p w14:paraId="1D1AEE75" w14:textId="77777777" w:rsidR="00842D67" w:rsidRDefault="00842D67" w:rsidP="00842D67">
      <w:pPr>
        <w:pStyle w:val="ListParagraph"/>
        <w:spacing w:before="240" w:after="0" w:line="360" w:lineRule="auto"/>
        <w:ind w:left="57"/>
        <w:jc w:val="both"/>
        <w:rPr>
          <w:sz w:val="24"/>
          <w:szCs w:val="24"/>
        </w:rPr>
      </w:pPr>
      <w:r w:rsidRPr="00B6779E">
        <w:rPr>
          <w:sz w:val="24"/>
          <w:szCs w:val="24"/>
        </w:rPr>
        <w:t>Eventually, we check for multicollinearity for a given predictor, by computing a score</w:t>
      </w:r>
      <w:r>
        <w:rPr>
          <w:sz w:val="24"/>
          <w:szCs w:val="24"/>
        </w:rPr>
        <w:t xml:space="preserve"> </w:t>
      </w:r>
      <w:r w:rsidRPr="00B6779E">
        <w:rPr>
          <w:sz w:val="24"/>
          <w:szCs w:val="24"/>
        </w:rPr>
        <w:t>called the variance inflation factor (VIF) which measures how much the variance of a regression coefficient is inflated due to multicollinearity in the model. Table 6 presents the</w:t>
      </w:r>
      <w:r>
        <w:rPr>
          <w:sz w:val="24"/>
          <w:szCs w:val="24"/>
        </w:rPr>
        <w:t xml:space="preserve"> </w:t>
      </w:r>
      <w:r w:rsidRPr="00B6779E">
        <w:rPr>
          <w:sz w:val="24"/>
          <w:szCs w:val="24"/>
        </w:rPr>
        <w:t>results of the VIF analysis.</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41"/>
        <w:gridCol w:w="1741"/>
        <w:gridCol w:w="1800"/>
        <w:gridCol w:w="1790"/>
        <w:gridCol w:w="1886"/>
      </w:tblGrid>
      <w:tr w:rsidR="00842D67" w14:paraId="7A7C4AE2" w14:textId="77777777" w:rsidTr="00D32CF6">
        <w:trPr>
          <w:jc w:val="center"/>
        </w:trPr>
        <w:tc>
          <w:tcPr>
            <w:tcW w:w="1834" w:type="dxa"/>
            <w:tcBorders>
              <w:top w:val="single" w:sz="4" w:space="0" w:color="auto"/>
            </w:tcBorders>
            <w:vAlign w:val="center"/>
          </w:tcPr>
          <w:p w14:paraId="2D3AC264" w14:textId="77777777" w:rsidR="00842D67" w:rsidRDefault="00842D67" w:rsidP="00D32CF6">
            <w:pPr>
              <w:pStyle w:val="ListParagraph"/>
              <w:ind w:left="0"/>
              <w:jc w:val="center"/>
              <w:rPr>
                <w:sz w:val="24"/>
                <w:szCs w:val="24"/>
              </w:rPr>
            </w:pPr>
            <w:r>
              <w:rPr>
                <w:sz w:val="24"/>
                <w:szCs w:val="24"/>
              </w:rPr>
              <w:t>CPI</w:t>
            </w:r>
          </w:p>
        </w:tc>
        <w:tc>
          <w:tcPr>
            <w:tcW w:w="1835" w:type="dxa"/>
            <w:tcBorders>
              <w:top w:val="single" w:sz="4" w:space="0" w:color="auto"/>
            </w:tcBorders>
            <w:vAlign w:val="center"/>
          </w:tcPr>
          <w:p w14:paraId="42403F89" w14:textId="77777777" w:rsidR="00842D67" w:rsidRDefault="00842D67" w:rsidP="00D32CF6">
            <w:pPr>
              <w:pStyle w:val="ListParagraph"/>
              <w:ind w:left="0"/>
              <w:jc w:val="center"/>
              <w:rPr>
                <w:sz w:val="24"/>
                <w:szCs w:val="24"/>
              </w:rPr>
            </w:pPr>
            <w:r>
              <w:rPr>
                <w:sz w:val="24"/>
                <w:szCs w:val="24"/>
              </w:rPr>
              <w:t>Spending</w:t>
            </w:r>
          </w:p>
        </w:tc>
        <w:tc>
          <w:tcPr>
            <w:tcW w:w="1835" w:type="dxa"/>
            <w:tcBorders>
              <w:top w:val="single" w:sz="4" w:space="0" w:color="auto"/>
            </w:tcBorders>
            <w:vAlign w:val="center"/>
          </w:tcPr>
          <w:p w14:paraId="35D23001" w14:textId="77777777" w:rsidR="00842D67" w:rsidRDefault="00842D67" w:rsidP="00D32CF6">
            <w:pPr>
              <w:pStyle w:val="ListParagraph"/>
              <w:ind w:left="0"/>
              <w:jc w:val="center"/>
              <w:rPr>
                <w:sz w:val="24"/>
                <w:szCs w:val="24"/>
              </w:rPr>
            </w:pPr>
            <w:r>
              <w:rPr>
                <w:sz w:val="24"/>
                <w:szCs w:val="24"/>
              </w:rPr>
              <w:t>Tax_revenues</w:t>
            </w:r>
          </w:p>
        </w:tc>
        <w:tc>
          <w:tcPr>
            <w:tcW w:w="1835" w:type="dxa"/>
            <w:tcBorders>
              <w:top w:val="single" w:sz="4" w:space="0" w:color="auto"/>
            </w:tcBorders>
            <w:vAlign w:val="center"/>
          </w:tcPr>
          <w:p w14:paraId="5B8869E8" w14:textId="77777777" w:rsidR="00842D67" w:rsidRDefault="00842D67" w:rsidP="00D32CF6">
            <w:pPr>
              <w:pStyle w:val="ListParagraph"/>
              <w:ind w:left="0"/>
              <w:jc w:val="center"/>
              <w:rPr>
                <w:sz w:val="24"/>
                <w:szCs w:val="24"/>
              </w:rPr>
            </w:pPr>
            <w:r>
              <w:rPr>
                <w:sz w:val="24"/>
                <w:szCs w:val="24"/>
              </w:rPr>
              <w:t>Interest_rate</w:t>
            </w:r>
          </w:p>
        </w:tc>
        <w:tc>
          <w:tcPr>
            <w:tcW w:w="1835" w:type="dxa"/>
            <w:tcBorders>
              <w:top w:val="single" w:sz="4" w:space="0" w:color="auto"/>
            </w:tcBorders>
            <w:vAlign w:val="center"/>
          </w:tcPr>
          <w:p w14:paraId="1B53D76E" w14:textId="77777777" w:rsidR="00842D67" w:rsidRDefault="00842D67" w:rsidP="00D32CF6">
            <w:pPr>
              <w:pStyle w:val="ListParagraph"/>
              <w:ind w:left="0"/>
              <w:jc w:val="center"/>
              <w:rPr>
                <w:sz w:val="24"/>
                <w:szCs w:val="24"/>
              </w:rPr>
            </w:pPr>
            <w:r>
              <w:rPr>
                <w:sz w:val="24"/>
                <w:szCs w:val="24"/>
              </w:rPr>
              <w:t>Gross_Cap_Form</w:t>
            </w:r>
          </w:p>
        </w:tc>
      </w:tr>
      <w:tr w:rsidR="00842D67" w14:paraId="6D1DE51C" w14:textId="77777777" w:rsidTr="00D32CF6">
        <w:trPr>
          <w:jc w:val="center"/>
        </w:trPr>
        <w:tc>
          <w:tcPr>
            <w:tcW w:w="1834" w:type="dxa"/>
            <w:tcBorders>
              <w:bottom w:val="single" w:sz="4" w:space="0" w:color="auto"/>
            </w:tcBorders>
            <w:vAlign w:val="center"/>
          </w:tcPr>
          <w:p w14:paraId="0D51BB96" w14:textId="77777777" w:rsidR="00842D67" w:rsidRDefault="00842D67" w:rsidP="00D32CF6">
            <w:pPr>
              <w:pStyle w:val="ListParagraph"/>
              <w:ind w:left="0"/>
              <w:jc w:val="center"/>
              <w:rPr>
                <w:sz w:val="24"/>
                <w:szCs w:val="24"/>
              </w:rPr>
            </w:pPr>
            <w:r>
              <w:rPr>
                <w:sz w:val="24"/>
                <w:szCs w:val="24"/>
              </w:rPr>
              <w:t>1.048201</w:t>
            </w:r>
          </w:p>
        </w:tc>
        <w:tc>
          <w:tcPr>
            <w:tcW w:w="1835" w:type="dxa"/>
            <w:tcBorders>
              <w:bottom w:val="single" w:sz="4" w:space="0" w:color="auto"/>
            </w:tcBorders>
            <w:vAlign w:val="center"/>
          </w:tcPr>
          <w:p w14:paraId="13962A29" w14:textId="77777777" w:rsidR="00842D67" w:rsidRDefault="00842D67" w:rsidP="00D32CF6">
            <w:pPr>
              <w:pStyle w:val="ListParagraph"/>
              <w:ind w:left="0"/>
              <w:jc w:val="center"/>
              <w:rPr>
                <w:sz w:val="24"/>
                <w:szCs w:val="24"/>
              </w:rPr>
            </w:pPr>
            <w:r>
              <w:rPr>
                <w:sz w:val="24"/>
                <w:szCs w:val="24"/>
              </w:rPr>
              <w:t>3.749126</w:t>
            </w:r>
          </w:p>
        </w:tc>
        <w:tc>
          <w:tcPr>
            <w:tcW w:w="1835" w:type="dxa"/>
            <w:tcBorders>
              <w:bottom w:val="single" w:sz="4" w:space="0" w:color="auto"/>
            </w:tcBorders>
            <w:vAlign w:val="center"/>
          </w:tcPr>
          <w:p w14:paraId="02DC1102" w14:textId="77777777" w:rsidR="00842D67" w:rsidRDefault="00842D67" w:rsidP="00D32CF6">
            <w:pPr>
              <w:pStyle w:val="ListParagraph"/>
              <w:ind w:left="0"/>
              <w:jc w:val="center"/>
              <w:rPr>
                <w:sz w:val="24"/>
                <w:szCs w:val="24"/>
              </w:rPr>
            </w:pPr>
            <w:r>
              <w:rPr>
                <w:sz w:val="24"/>
                <w:szCs w:val="24"/>
              </w:rPr>
              <w:t>4.485482</w:t>
            </w:r>
          </w:p>
        </w:tc>
        <w:tc>
          <w:tcPr>
            <w:tcW w:w="1835" w:type="dxa"/>
            <w:tcBorders>
              <w:bottom w:val="single" w:sz="4" w:space="0" w:color="auto"/>
            </w:tcBorders>
            <w:vAlign w:val="center"/>
          </w:tcPr>
          <w:p w14:paraId="4F853059" w14:textId="77777777" w:rsidR="00842D67" w:rsidRDefault="00842D67" w:rsidP="00D32CF6">
            <w:pPr>
              <w:pStyle w:val="ListParagraph"/>
              <w:ind w:left="0"/>
              <w:jc w:val="center"/>
              <w:rPr>
                <w:sz w:val="24"/>
                <w:szCs w:val="24"/>
              </w:rPr>
            </w:pPr>
            <w:r>
              <w:rPr>
                <w:sz w:val="24"/>
                <w:szCs w:val="24"/>
              </w:rPr>
              <w:t>1.137553</w:t>
            </w:r>
          </w:p>
        </w:tc>
        <w:tc>
          <w:tcPr>
            <w:tcW w:w="1835" w:type="dxa"/>
            <w:tcBorders>
              <w:bottom w:val="single" w:sz="4" w:space="0" w:color="auto"/>
            </w:tcBorders>
            <w:vAlign w:val="center"/>
          </w:tcPr>
          <w:p w14:paraId="439CB022" w14:textId="77777777" w:rsidR="00842D67" w:rsidRDefault="00842D67" w:rsidP="00D32CF6">
            <w:pPr>
              <w:pStyle w:val="ListParagraph"/>
              <w:ind w:left="0"/>
              <w:jc w:val="center"/>
              <w:rPr>
                <w:sz w:val="24"/>
                <w:szCs w:val="24"/>
              </w:rPr>
            </w:pPr>
            <w:r>
              <w:rPr>
                <w:sz w:val="24"/>
                <w:szCs w:val="24"/>
              </w:rPr>
              <w:t>1.491945</w:t>
            </w:r>
          </w:p>
        </w:tc>
      </w:tr>
    </w:tbl>
    <w:p w14:paraId="2EEB5E6E" w14:textId="77777777" w:rsidR="00842D67" w:rsidRPr="00557FA8" w:rsidRDefault="00842D67" w:rsidP="00842D67">
      <w:pPr>
        <w:pStyle w:val="Caption"/>
        <w:jc w:val="center"/>
        <w:rPr>
          <w:b w:val="0"/>
          <w:bCs w:val="0"/>
          <w:color w:val="auto"/>
        </w:rPr>
      </w:pPr>
      <w:r w:rsidRPr="00557FA8">
        <w:rPr>
          <w:b w:val="0"/>
          <w:bCs w:val="0"/>
          <w:color w:val="auto"/>
          <w:sz w:val="20"/>
          <w:szCs w:val="20"/>
        </w:rPr>
        <w:t xml:space="preserve">Table </w:t>
      </w:r>
      <w:r w:rsidRPr="00557FA8">
        <w:rPr>
          <w:b w:val="0"/>
          <w:bCs w:val="0"/>
          <w:color w:val="auto"/>
          <w:sz w:val="20"/>
          <w:szCs w:val="20"/>
        </w:rPr>
        <w:fldChar w:fldCharType="begin"/>
      </w:r>
      <w:r w:rsidRPr="00557FA8">
        <w:rPr>
          <w:b w:val="0"/>
          <w:bCs w:val="0"/>
          <w:color w:val="auto"/>
          <w:sz w:val="20"/>
          <w:szCs w:val="20"/>
        </w:rPr>
        <w:instrText xml:space="preserve"> SEQ Table \* ARABIC </w:instrText>
      </w:r>
      <w:r w:rsidRPr="00557FA8">
        <w:rPr>
          <w:b w:val="0"/>
          <w:bCs w:val="0"/>
          <w:color w:val="auto"/>
          <w:sz w:val="20"/>
          <w:szCs w:val="20"/>
        </w:rPr>
        <w:fldChar w:fldCharType="separate"/>
      </w:r>
      <w:r>
        <w:rPr>
          <w:b w:val="0"/>
          <w:bCs w:val="0"/>
          <w:noProof/>
          <w:color w:val="auto"/>
          <w:sz w:val="20"/>
          <w:szCs w:val="20"/>
        </w:rPr>
        <w:t>6</w:t>
      </w:r>
      <w:r w:rsidRPr="00557FA8">
        <w:rPr>
          <w:b w:val="0"/>
          <w:bCs w:val="0"/>
          <w:color w:val="auto"/>
          <w:sz w:val="20"/>
          <w:szCs w:val="20"/>
        </w:rPr>
        <w:fldChar w:fldCharType="end"/>
      </w:r>
      <w:r w:rsidRPr="00557FA8">
        <w:rPr>
          <w:b w:val="0"/>
          <w:bCs w:val="0"/>
          <w:color w:val="auto"/>
          <w:sz w:val="20"/>
          <w:szCs w:val="20"/>
        </w:rPr>
        <w:t xml:space="preserve"> - VIF</w:t>
      </w:r>
    </w:p>
    <w:p w14:paraId="16927429" w14:textId="77777777" w:rsidR="00842D67" w:rsidRPr="00557FA8" w:rsidRDefault="00842D67" w:rsidP="00842D67">
      <w:pPr>
        <w:pStyle w:val="ListParagraph"/>
        <w:spacing w:before="240" w:after="0" w:line="360" w:lineRule="auto"/>
        <w:ind w:left="57"/>
        <w:jc w:val="both"/>
        <w:rPr>
          <w:sz w:val="24"/>
          <w:szCs w:val="24"/>
        </w:rPr>
      </w:pPr>
      <w:r w:rsidRPr="00557FA8">
        <w:rPr>
          <w:sz w:val="24"/>
          <w:szCs w:val="24"/>
        </w:rPr>
        <w:t>The smallest possible value of VIF is one (absence of multicollinearity). As a rule of</w:t>
      </w:r>
      <w:r>
        <w:rPr>
          <w:sz w:val="24"/>
          <w:szCs w:val="24"/>
        </w:rPr>
        <w:t xml:space="preserve"> </w:t>
      </w:r>
      <w:r w:rsidRPr="00557FA8">
        <w:rPr>
          <w:sz w:val="24"/>
          <w:szCs w:val="24"/>
        </w:rPr>
        <w:t>thumb, a VIF value that exceeds 5 or 10 indicates a problematic amount of collinearity (Yoo et al. 2014). We can therefore conclude that there is no multicollinearity among the</w:t>
      </w:r>
      <w:r>
        <w:rPr>
          <w:sz w:val="24"/>
          <w:szCs w:val="24"/>
        </w:rPr>
        <w:t xml:space="preserve"> </w:t>
      </w:r>
      <w:r w:rsidRPr="00557FA8">
        <w:rPr>
          <w:sz w:val="24"/>
          <w:szCs w:val="24"/>
        </w:rPr>
        <w:t>variables in our model.</w:t>
      </w:r>
    </w:p>
    <w:p w14:paraId="0EF0100B" w14:textId="77777777" w:rsidR="00F553FF" w:rsidRDefault="00F553FF"/>
    <w:sectPr w:rsidR="00F553FF" w:rsidSect="00C26328">
      <w:pgSz w:w="11906" w:h="16838"/>
      <w:pgMar w:top="1985" w:right="1474" w:bottom="1985" w:left="147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2D67"/>
    <w:rsid w:val="003C2EF4"/>
    <w:rsid w:val="00842D67"/>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89B43C"/>
  <w15:chartTrackingRefBased/>
  <w15:docId w15:val="{1D508C05-C8B5-4DCE-9C28-F84C4E1019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2D67"/>
    <w:pPr>
      <w:spacing w:after="200" w:line="276" w:lineRule="auto"/>
    </w:pPr>
    <w:rPr>
      <w:kern w:val="0"/>
      <w:lang w:val="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842D67"/>
    <w:pPr>
      <w:spacing w:line="240" w:lineRule="auto"/>
    </w:pPr>
    <w:rPr>
      <w:b/>
      <w:bCs/>
      <w:smallCaps/>
      <w:color w:val="44546A" w:themeColor="text2"/>
    </w:rPr>
  </w:style>
  <w:style w:type="table" w:styleId="TableGrid">
    <w:name w:val="Table Grid"/>
    <w:basedOn w:val="TableNormal"/>
    <w:uiPriority w:val="39"/>
    <w:rsid w:val="00842D67"/>
    <w:pPr>
      <w:spacing w:after="0" w:line="240" w:lineRule="auto"/>
    </w:pPr>
    <w:rPr>
      <w:kern w:val="0"/>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42D6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825</Words>
  <Characters>4709</Characters>
  <Application>Microsoft Office Word</Application>
  <DocSecurity>0</DocSecurity>
  <Lines>39</Lines>
  <Paragraphs>11</Paragraphs>
  <ScaleCrop>false</ScaleCrop>
  <Company>Springer Nature</Company>
  <LinksUpToDate>false</LinksUpToDate>
  <CharactersWithSpaces>5523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2024-02-01T06:28:00Z</dcterms:created>
  <dcterms:modified xsi:type="dcterms:W3CDTF">2024-02-01T06:28:00Z</dcterms:modified>
</cp:coreProperties>
</file>