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BB231" w14:textId="60952F28" w:rsidR="00C93A05" w:rsidRPr="00C93A05" w:rsidRDefault="009C666C" w:rsidP="00C93A05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C93A05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5FD7B8" wp14:editId="2EAF4CE4">
                <wp:simplePos x="0" y="0"/>
                <wp:positionH relativeFrom="margin">
                  <wp:align>right</wp:align>
                </wp:positionH>
                <wp:positionV relativeFrom="margin">
                  <wp:posOffset>6245860</wp:posOffset>
                </wp:positionV>
                <wp:extent cx="5943600" cy="1784985"/>
                <wp:effectExtent l="0" t="0" r="0" b="0"/>
                <wp:wrapSquare wrapText="bothSides"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3DE9A880-0574-E4C4-E06B-1EF1E4D4785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784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305021" w14:textId="006FC064" w:rsidR="00FA5481" w:rsidRPr="00FA5481" w:rsidRDefault="00FA5481" w:rsidP="00FA5481">
                            <w:pPr>
                              <w:jc w:val="both"/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FA5481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Supplementary Figure 1: </w:t>
                            </w:r>
                            <w:r w:rsidRPr="00FA5481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GIRK channel responses in AtT20 cells following cannabinoid treatment</w:t>
                            </w:r>
                            <w:r w:rsidRPr="00FA5481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. AtT20 cells stably-expressing SEP-CB1R were treated with 10 </w:t>
                            </w:r>
                            <w:proofErr w:type="spellStart"/>
                            <w:r w:rsidRPr="00FA5481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fM</w:t>
                            </w:r>
                            <w:proofErr w:type="spellEnd"/>
                            <w:r w:rsidRPr="00FA5481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– 10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M of cannabinoids as indicated and GIRK channel response was measured continuously for 6 min (i.e., 240 s). The rate of response (k, in units s</w:t>
                            </w:r>
                            <w:r w:rsidRPr="003A52F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-1)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was estimated by fitting data from individual experiments to a one-phase exponential decay curve in GraphPad Prism (v. 9.0). a) (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±)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CP55,940 (10 </w:t>
                            </w:r>
                            <w:proofErr w:type="spellStart"/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fM</w:t>
                            </w:r>
                            <w:proofErr w:type="spellEnd"/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– 10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n=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5-13. b) WIN55,212-2 (0.5 </w:t>
                            </w:r>
                            <w:proofErr w:type="spellStart"/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Pr="00FA5481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10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=4-5. c)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="003A52F7" w:rsidRPr="003A52F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  <w:lang w:val="el-GR"/>
                              </w:rPr>
                              <w:t>9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-THC (0.5 </w:t>
                            </w:r>
                            <w:proofErr w:type="spellStart"/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Pr="00FA5481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10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=4-18. d) AEA (0.5 </w:t>
                            </w:r>
                            <w:proofErr w:type="spellStart"/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– 20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=3-10.</w:t>
                            </w:r>
                            <w:r w:rsidRPr="00FA5481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e) A comparison of the rate of GIRK channel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maximal responses for each cannabinoid from panels a-d. [(±)CP55,940 10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=13, WIN55,212-2 5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=5,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="009C666C" w:rsidRPr="009C666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  <w:lang w:val="el-GR"/>
                              </w:rPr>
                              <w:t>9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-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THC 10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=10, AEA 10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FA548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=8]. These data correspond to data presented in Figure 2 and Table 1. All data are presented as mean ± S.E.M. ****p&lt;0.0001, *p&lt;0.05 compared to CP55,940; ^p&lt;0.05 compared to WIN55,212-2 as determined by one-way ANOVA followed by Tukey’s post-hoc test.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75FD7B8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416.8pt;margin-top:491.8pt;width:468pt;height:140.5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" filled="f" stroked="f">
                <v:textbox style="mso-fit-shape-to-text:t">
                  <w:txbxContent>
                    <w:p w14:paraId="2D305021" w14:textId="006FC064" w:rsidR="00FA5481" w:rsidRPr="00FA5481" w:rsidRDefault="00FA5481" w:rsidP="00FA5481">
                      <w:pPr>
                        <w:jc w:val="both"/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FA5481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Supplementary Figure 1: </w:t>
                      </w:r>
                      <w:r w:rsidRPr="00FA5481">
                        <w:rPr>
                          <w:rFonts w:ascii="Times New Roman" w:eastAsia="Calibri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GIRK channel responses in AtT20 cells following cannabinoid treatment</w:t>
                      </w:r>
                      <w:r w:rsidRPr="00FA5481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. AtT20 cells stably-expressing SEP-CB1R were treated with 10 </w:t>
                      </w:r>
                      <w:proofErr w:type="spellStart"/>
                      <w:r w:rsidRPr="00FA5481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fM</w:t>
                      </w:r>
                      <w:proofErr w:type="spellEnd"/>
                      <w:r w:rsidRPr="00FA5481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– 10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M of cannabinoids as indicated and GIRK channel response was measured continuously for 6 min (i.e., 240 s). The rate of response (k, in units s</w:t>
                      </w:r>
                      <w:r w:rsidRPr="003A52F7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  <w:lang w:val="en-US"/>
                        </w:rPr>
                        <w:t>-1)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was estimated by fitting data from individual experiments to a one-phase exponential decay curve in GraphPad Prism (v. 9.0). a) (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±)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CP55,940 (10 </w:t>
                      </w:r>
                      <w:proofErr w:type="spellStart"/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fM</w:t>
                      </w:r>
                      <w:proofErr w:type="spellEnd"/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– 10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n=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5-13. b) WIN55,212-2 (0.5 </w:t>
                      </w:r>
                      <w:proofErr w:type="spellStart"/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Pr="00FA5481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10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=4-5. c)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="003A52F7" w:rsidRPr="003A52F7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  <w:lang w:val="el-GR"/>
                        </w:rPr>
                        <w:t>9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-THC (0.5 </w:t>
                      </w:r>
                      <w:proofErr w:type="spellStart"/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Pr="00FA5481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10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=4-18. d) AEA (0.5 </w:t>
                      </w:r>
                      <w:proofErr w:type="spellStart"/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– 20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=3-10.</w:t>
                      </w:r>
                      <w:r w:rsidRPr="00FA5481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e) A comparison of the rate of GIRK channel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maximal responses for each cannabinoid from panels a-d. [(±)CP55,940 10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=13, WIN55,212-2 5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=5,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="009C666C" w:rsidRPr="009C666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  <w:lang w:val="el-GR"/>
                        </w:rPr>
                        <w:t>9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-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THC 10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=10, AEA 10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FA5481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=8]. These data correspond to data presented in Figure 2 and Table 1. All data are presented as mean ± S.E.M. ****p&lt;0.0001, *p&lt;0.05 compared to CP55,940; ^p&lt;0.05 compared to WIN55,212-2 as determined by one-way ANOVA followed by Tukey’s post-hoc test.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D94FBF" w:rsidRPr="00C93A05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="00C93A05" w:rsidRPr="00C93A05">
        <w:rPr>
          <w:rFonts w:ascii="Times New Roman" w:hAnsi="Times New Roman" w:cs="Times New Roman"/>
          <w:b/>
          <w:bCs/>
          <w:sz w:val="20"/>
          <w:szCs w:val="20"/>
          <w:lang w:val="en-US"/>
        </w:rPr>
        <w:t>Data for:</w:t>
      </w:r>
      <w:r w:rsidR="00C93A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93A05" w:rsidRPr="009800AC">
        <w:rPr>
          <w:rFonts w:ascii="Times New Roman" w:hAnsi="Times New Roman" w:cs="Times New Roman"/>
          <w:b/>
          <w:bCs/>
          <w:sz w:val="20"/>
          <w:szCs w:val="20"/>
        </w:rPr>
        <w:t>COMPARING CB1 RECEPTOR GIRK CHANNEL RESPONSES TO RECEPTOR INTERNALIZATION USING A KINETIC IMAGING ASSAY</w:t>
      </w:r>
    </w:p>
    <w:p w14:paraId="23FFF904" w14:textId="77777777" w:rsidR="00C93A05" w:rsidRPr="009800AC" w:rsidRDefault="00C93A05" w:rsidP="00C93A05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E00C18E" w14:textId="77777777" w:rsidR="00C93A05" w:rsidRPr="009800AC" w:rsidRDefault="00C93A05" w:rsidP="00C93A05">
      <w:pPr>
        <w:spacing w:after="0" w:line="240" w:lineRule="auto"/>
        <w:ind w:left="360" w:hanging="360"/>
        <w:rPr>
          <w:rFonts w:ascii="Times New Roman" w:hAnsi="Times New Roman" w:cs="Times New Roman"/>
          <w:b/>
          <w:bCs/>
          <w:sz w:val="20"/>
          <w:szCs w:val="20"/>
        </w:rPr>
      </w:pPr>
      <w:r w:rsidRPr="009800AC">
        <w:rPr>
          <w:rFonts w:ascii="Times New Roman" w:hAnsi="Times New Roman" w:cs="Times New Roman"/>
          <w:b/>
          <w:bCs/>
          <w:sz w:val="20"/>
          <w:szCs w:val="20"/>
        </w:rPr>
        <w:t>Haley K. Andersen</w:t>
      </w:r>
      <w:r w:rsidRPr="009800AC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Pr="009800AC">
        <w:rPr>
          <w:rFonts w:ascii="Times New Roman" w:hAnsi="Times New Roman" w:cs="Times New Roman"/>
          <w:b/>
          <w:bCs/>
          <w:sz w:val="20"/>
          <w:szCs w:val="20"/>
        </w:rPr>
        <w:t>, Duncan G.Vardakas</w:t>
      </w:r>
      <w:r w:rsidRPr="009800AC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Pr="009800AC">
        <w:rPr>
          <w:rFonts w:ascii="Times New Roman" w:hAnsi="Times New Roman" w:cs="Times New Roman"/>
          <w:b/>
          <w:bCs/>
          <w:sz w:val="20"/>
          <w:szCs w:val="20"/>
        </w:rPr>
        <w:t>, Julie A. Lamothe</w:t>
      </w:r>
      <w:r w:rsidRPr="009800AC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Pr="009800AC">
        <w:rPr>
          <w:rFonts w:ascii="Times New Roman" w:hAnsi="Times New Roman" w:cs="Times New Roman"/>
          <w:b/>
          <w:bCs/>
          <w:sz w:val="20"/>
          <w:szCs w:val="20"/>
        </w:rPr>
        <w:t>, Tannis E.A. Perault</w:t>
      </w:r>
      <w:r w:rsidRPr="009800AC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Pr="009800AC">
        <w:rPr>
          <w:rFonts w:ascii="Times New Roman" w:hAnsi="Times New Roman" w:cs="Times New Roman"/>
          <w:b/>
          <w:bCs/>
          <w:sz w:val="20"/>
          <w:szCs w:val="20"/>
        </w:rPr>
        <w:t>, Kenneth B. Walsh</w:t>
      </w:r>
      <w:r w:rsidRPr="009800AC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2</w:t>
      </w:r>
      <w:r w:rsidRPr="009800AC">
        <w:rPr>
          <w:rFonts w:ascii="Times New Roman" w:hAnsi="Times New Roman" w:cs="Times New Roman"/>
          <w:b/>
          <w:bCs/>
          <w:sz w:val="20"/>
          <w:szCs w:val="20"/>
        </w:rPr>
        <w:t>, Robert B. Laprairie</w:t>
      </w:r>
      <w:r w:rsidRPr="009800AC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1,3</w:t>
      </w:r>
      <w:r w:rsidRPr="009800AC">
        <w:rPr>
          <w:rFonts w:ascii="Times New Roman" w:hAnsi="Times New Roman" w:cs="Times New Roman"/>
          <w:b/>
          <w:bCs/>
          <w:sz w:val="20"/>
          <w:szCs w:val="20"/>
        </w:rPr>
        <w:t>*</w:t>
      </w:r>
    </w:p>
    <w:p w14:paraId="6B02879C" w14:textId="03A892ED" w:rsidR="00761547" w:rsidRDefault="008833EF" w:rsidP="00C93A05">
      <w:pPr>
        <w:jc w:val="center"/>
        <w:rPr>
          <w:rFonts w:ascii="Times New Roman" w:hAnsi="Times New Roman" w:cs="Times New Roman"/>
          <w:sz w:val="20"/>
          <w:szCs w:val="20"/>
          <w:lang w:val="en-US"/>
        </w:rPr>
        <w:sectPr w:rsidR="00761547" w:rsidSect="000D3DE7">
          <w:footerReference w:type="default" r:id="rId7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8833EF">
        <w:rPr>
          <w:noProof/>
        </w:rPr>
        <w:drawing>
          <wp:inline distT="0" distB="0" distL="0" distR="0" wp14:anchorId="15EE47FD" wp14:editId="0AC8F4AB">
            <wp:extent cx="5205200" cy="5176838"/>
            <wp:effectExtent l="0" t="0" r="0" b="0"/>
            <wp:docPr id="20776341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579" cy="518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40154" w14:textId="546AE1E3" w:rsidR="009C666C" w:rsidRDefault="00A77FB5">
      <w:pPr>
        <w:rPr>
          <w:rFonts w:ascii="Times New Roman" w:hAnsi="Times New Roman" w:cs="Times New Roman"/>
          <w:sz w:val="20"/>
          <w:szCs w:val="20"/>
          <w:lang w:val="en-US"/>
        </w:rPr>
        <w:sectPr w:rsidR="009C666C" w:rsidSect="000D3DE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953E2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6319E6" wp14:editId="2368B2AF">
                <wp:simplePos x="0" y="0"/>
                <wp:positionH relativeFrom="margin">
                  <wp:align>center</wp:align>
                </wp:positionH>
                <wp:positionV relativeFrom="margin">
                  <wp:posOffset>5485765</wp:posOffset>
                </wp:positionV>
                <wp:extent cx="5953125" cy="1015663"/>
                <wp:effectExtent l="0" t="0" r="0" b="0"/>
                <wp:wrapSquare wrapText="bothSides"/>
                <wp:docPr id="3" name="Text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9EF9557-BD7A-6BE6-D8CF-C6B770BE193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10156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CF8130" w14:textId="28A70618" w:rsidR="003953E2" w:rsidRPr="003953E2" w:rsidRDefault="003953E2" w:rsidP="003953E2">
                            <w:pPr>
                              <w:jc w:val="both"/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6C2FA2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Supplementary Figure 2:</w:t>
                            </w:r>
                            <w:r w:rsidRPr="003953E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3953E2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GIRK channel responses in AtT20 cells following cannabinoid treatment</w:t>
                            </w:r>
                            <w:r w:rsidRPr="003953E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. AtT20 cells stably-expressing SEP-CB1R were treated with 1 </w:t>
                            </w:r>
                            <w:proofErr w:type="spellStart"/>
                            <w:r w:rsidRPr="003953E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pM</w:t>
                            </w:r>
                            <w:proofErr w:type="spellEnd"/>
                            <w:r w:rsidRPr="003953E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– 15 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M of cannabinoids as indicated and GIRK channel response was measured continuously for 6 min (i.e., 240 s) with corresponding data presented in Figure 2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[(±)CP55,940 10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=13, WIN55,212-2 5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=5, 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="006C2FA2" w:rsidRPr="006C2FA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  <w:lang w:val="el-GR"/>
                              </w:rPr>
                              <w:t>9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-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THC 10 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=10, AEA 10 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3953E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=8]. a) Total AUC from curves presented in Fig. 2a-d was calculated and plotted here against log[Compound], (M) and normalized to the maximal (±)CP55,940 response (i.e., 100%). Data were fit to a four-parameter non-linear regression. Potency and efficacy data are presented in b. All data are presented as mean ± S.E.M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6319E6" id="TextBox 2" o:spid="_x0000_s1027" type="#_x0000_t202" style="position:absolute;margin-left:0;margin-top:431.95pt;width:468.75pt;height:79.95pt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" filled="f" stroked="f">
                <v:textbox style="mso-fit-shape-to-text:t">
                  <w:txbxContent>
                    <w:p w14:paraId="7ACF8130" w14:textId="28A70618" w:rsidR="003953E2" w:rsidRPr="003953E2" w:rsidRDefault="003953E2" w:rsidP="003953E2">
                      <w:pPr>
                        <w:jc w:val="both"/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6C2FA2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Supplementary Figure 2:</w:t>
                      </w:r>
                      <w:r w:rsidRPr="003953E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3953E2">
                        <w:rPr>
                          <w:rFonts w:ascii="Times New Roman" w:eastAsia="Calibri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GIRK channel responses in AtT20 cells following cannabinoid treatment</w:t>
                      </w:r>
                      <w:r w:rsidRPr="003953E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. AtT20 cells stably-expressing SEP-CB1R were treated with 1 </w:t>
                      </w:r>
                      <w:proofErr w:type="spellStart"/>
                      <w:r w:rsidRPr="003953E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pM</w:t>
                      </w:r>
                      <w:proofErr w:type="spellEnd"/>
                      <w:r w:rsidRPr="003953E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– 15 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M of cannabinoids as indicated and GIRK channel response was measured continuously for 6 min (i.e., 240 s) with corresponding data presented in Figure 2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 [(±)CP55,940 10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=13, WIN55,212-2 5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=5, 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="006C2FA2" w:rsidRPr="006C2FA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  <w:lang w:val="el-GR"/>
                        </w:rPr>
                        <w:t>9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-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THC 10 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=10, AEA 10 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3953E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=8]. a) Total AUC from curves presented in Fig. 2a-d was calculated and plotted here against log[Compound], (M) and normalized to the maximal (±)CP55,940 response (i.e., 100%). Data were fit to a four-parameter non-linear regression. Potency and efficacy data are presented in b. All data are presented as mean ± S.E.M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6C2FA2" w:rsidRPr="003953E2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61C810BC" wp14:editId="7D3D0D21">
            <wp:simplePos x="800100" y="3305175"/>
            <wp:positionH relativeFrom="margin">
              <wp:align>center</wp:align>
            </wp:positionH>
            <wp:positionV relativeFrom="margin">
              <wp:align>center</wp:align>
            </wp:positionV>
            <wp:extent cx="3339679" cy="2225040"/>
            <wp:effectExtent l="0" t="0" r="0" b="3810"/>
            <wp:wrapSquare wrapText="bothSides"/>
            <wp:docPr id="5" name="table" descr="A black background with a black squar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AA6FCAB7-E7D9-DBF2-8594-3DE412FEF0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" descr="A black background with a black squar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AA6FCAB7-E7D9-DBF2-8594-3DE412FEF0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39679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53E2" w:rsidRPr="003953E2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7BF814E8" wp14:editId="428A34BF">
            <wp:simplePos x="923925" y="914400"/>
            <wp:positionH relativeFrom="margin">
              <wp:align>center</wp:align>
            </wp:positionH>
            <wp:positionV relativeFrom="margin">
              <wp:align>top</wp:align>
            </wp:positionV>
            <wp:extent cx="3662045" cy="2441575"/>
            <wp:effectExtent l="0" t="0" r="0" b="0"/>
            <wp:wrapSquare wrapText="bothSides"/>
            <wp:docPr id="241813174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813174" name="Picture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62045" cy="244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F3D0E3" w14:textId="523190CF" w:rsidR="001D2222" w:rsidRDefault="001D2222">
      <w:pPr>
        <w:rPr>
          <w:rFonts w:ascii="Times New Roman" w:hAnsi="Times New Roman" w:cs="Times New Roman"/>
          <w:sz w:val="20"/>
          <w:szCs w:val="20"/>
          <w:lang w:val="en-US"/>
        </w:rPr>
        <w:sectPr w:rsidR="001D2222" w:rsidSect="000D3DE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8D4990" wp14:editId="09B7677B">
                <wp:simplePos x="0" y="0"/>
                <wp:positionH relativeFrom="margin">
                  <wp:align>right</wp:align>
                </wp:positionH>
                <wp:positionV relativeFrom="margin">
                  <wp:posOffset>5927408</wp:posOffset>
                </wp:positionV>
                <wp:extent cx="5943600" cy="1615827"/>
                <wp:effectExtent l="0" t="0" r="0" b="0"/>
                <wp:wrapSquare wrapText="bothSides"/>
                <wp:docPr id="86024398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61582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CD740D" w14:textId="11579AE2" w:rsidR="001D2222" w:rsidRPr="001D2222" w:rsidRDefault="001D2222" w:rsidP="001D2222">
                            <w:pPr>
                              <w:jc w:val="both"/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0812B3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Supplementary Figure 3: </w:t>
                            </w:r>
                            <w:r w:rsidRPr="001D2222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CB1R internalization in AtT20 cells following cannabinoid treatment</w:t>
                            </w:r>
                            <w:r w:rsidRPr="001D222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. AtT20 cells stably-expressing SEP-CB1R were treated with 0.1 </w:t>
                            </w:r>
                            <w:proofErr w:type="spellStart"/>
                            <w:r w:rsidRPr="001D222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1D222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– 10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 of cannabinoids as indicated and CB1R internalization was measured at 5 min intervals for 30 min. The rate of response (k, in </w:t>
                            </w:r>
                            <w:proofErr w:type="gramStart"/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units</w:t>
                            </w:r>
                            <w:proofErr w:type="gramEnd"/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min</w:t>
                            </w:r>
                            <w:r w:rsidR="000812B3" w:rsidRPr="000812B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-1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) was estimated by fitting data from individual experiments to a one-phase exponential decay curve in GraphPad Prism (v. 9.0). a) (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±)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CP55,940 (0.1 </w:t>
                            </w:r>
                            <w:proofErr w:type="spellStart"/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– 10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n=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2-7. b) WIN55,212-2 (0.1 </w:t>
                            </w:r>
                            <w:proofErr w:type="spellStart"/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Pr="001D222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10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=4-35. c)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="0023283D" w:rsidRPr="0023283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9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-THC (50 </w:t>
                            </w:r>
                            <w:proofErr w:type="spellStart"/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Pr="001D222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10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=2-25. d) AEA (1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 xml:space="preserve">μ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 – 12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=4.</w:t>
                            </w:r>
                            <w:r w:rsidRPr="001D2222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e) A comparison of the rate of CB1R internalization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maximal responses for each cannabinoid from panels a-d. [(±)CP55,940 10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=7, WIN55,212-2 1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=17,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="0023283D" w:rsidRPr="0023283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  <w:lang w:val="el-GR"/>
                              </w:rPr>
                              <w:t>9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-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THC 10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=25, AEA 12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 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  <w:r w:rsidRPr="001D222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=4]. These data correspond to data presented in Figure 4 and Table 1. All data are presented as mean ± S.E.M.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8D4990" id="_x0000_s1028" type="#_x0000_t202" style="position:absolute;margin-left:416.8pt;margin-top:466.75pt;width:468pt;height:127.25pt;z-index:25166540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" filled="f" stroked="f">
                <v:textbox style="mso-fit-shape-to-text:t">
                  <w:txbxContent>
                    <w:p w14:paraId="34CD740D" w14:textId="11579AE2" w:rsidR="001D2222" w:rsidRPr="001D2222" w:rsidRDefault="001D2222" w:rsidP="001D2222">
                      <w:pPr>
                        <w:jc w:val="both"/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0812B3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Supplementary Figure 3: </w:t>
                      </w:r>
                      <w:r w:rsidRPr="001D2222">
                        <w:rPr>
                          <w:rFonts w:ascii="Times New Roman" w:eastAsia="Calibri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CB1R internalization in AtT20 cells following cannabinoid treatment</w:t>
                      </w:r>
                      <w:r w:rsidRPr="001D222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. AtT20 cells stably-expressing SEP-CB1R were treated with 0.1 </w:t>
                      </w:r>
                      <w:proofErr w:type="spellStart"/>
                      <w:r w:rsidRPr="001D222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1D222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– 10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 of cannabinoids as indicated and CB1R internalization was measured at 5 min intervals for 30 min. The rate of response (k, in </w:t>
                      </w:r>
                      <w:proofErr w:type="gramStart"/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units</w:t>
                      </w:r>
                      <w:proofErr w:type="gramEnd"/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min</w:t>
                      </w:r>
                      <w:r w:rsidR="000812B3" w:rsidRPr="000812B3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  <w:lang w:val="en-US"/>
                        </w:rPr>
                        <w:t>-1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) was estimated by fitting data from individual experiments to a one-phase exponential decay curve in GraphPad Prism (v. 9.0). a) (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±)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CP55,940 (0.1 </w:t>
                      </w:r>
                      <w:proofErr w:type="spellStart"/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– 10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n=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2-7. b) WIN55,212-2 (0.1 </w:t>
                      </w:r>
                      <w:proofErr w:type="spellStart"/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Pr="001D222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10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=4-35. c)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="0023283D" w:rsidRPr="0023283D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9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-THC (50 </w:t>
                      </w:r>
                      <w:proofErr w:type="spellStart"/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Pr="001D222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10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=2-25. d) AEA (1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 xml:space="preserve">μ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 – 12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=4.</w:t>
                      </w:r>
                      <w:r w:rsidRPr="001D2222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e) A comparison of the rate of CB1R internalization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maximal responses for each cannabinoid from panels a-d. [(±)CP55,940 10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=7, WIN55,212-2 1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=17,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="0023283D" w:rsidRPr="0023283D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  <w:lang w:val="el-GR"/>
                        </w:rPr>
                        <w:t>9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-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THC 10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=25, AEA 12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M 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n</w:t>
                      </w:r>
                      <w:r w:rsidRPr="001D2222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=4]. These data correspond to data presented in Figure 4 and Table 1. All data are presented as mean ± S.E.M. 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2A3D4B06" wp14:editId="41B43E1E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5943600" cy="5874385"/>
            <wp:effectExtent l="0" t="0" r="0" b="0"/>
            <wp:wrapSquare wrapText="bothSides"/>
            <wp:docPr id="599869947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BDEDF6A9-5DF2-CF6D-82AF-83C398B35F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BDEDF6A9-5DF2-CF6D-82AF-83C398B35F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74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48548F" w14:textId="669E0AD8" w:rsidR="009C32D6" w:rsidRPr="00D94FBF" w:rsidRDefault="00882E3C" w:rsidP="00A77FB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82E3C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6B0F3D" wp14:editId="4CBC3018">
                <wp:simplePos x="0" y="0"/>
                <wp:positionH relativeFrom="margin">
                  <wp:align>right</wp:align>
                </wp:positionH>
                <wp:positionV relativeFrom="margin">
                  <wp:posOffset>5465445</wp:posOffset>
                </wp:positionV>
                <wp:extent cx="5943600" cy="1785104"/>
                <wp:effectExtent l="0" t="0" r="0" b="0"/>
                <wp:wrapSquare wrapText="bothSides"/>
                <wp:docPr id="1965472983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78510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D5A616" w14:textId="36461D68" w:rsidR="00882E3C" w:rsidRPr="00882E3C" w:rsidRDefault="00882E3C" w:rsidP="00882E3C">
                            <w:pPr>
                              <w:jc w:val="both"/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2C78E4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Supplementary Figure 4:</w:t>
                            </w:r>
                            <w:r w:rsidRPr="00882E3C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882E3C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CB1R internalization in AtT20 cells following cannabinoid treatment</w:t>
                            </w:r>
                            <w:r w:rsidRPr="00882E3C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. AtT20 cells stably-expressing SEP-CB1R were treated with 0.1 </w:t>
                            </w:r>
                            <w:proofErr w:type="spellStart"/>
                            <w:r w:rsidRPr="00882E3C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882E3C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– 12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M of cannabinoids as indicated and CB1R internalization was measured at 5 min intervals over 30 min with corresponding data presented in Figure 4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) (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±)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CP55,940 (0.1 </w:t>
                            </w:r>
                            <w:proofErr w:type="spellStart"/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– 10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n=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2-7, WIN55,212-2 (0.1 </w:t>
                            </w:r>
                            <w:proofErr w:type="spellStart"/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Pr="00882E3C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10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=4-35,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  <w:lang w:val="el-GR"/>
                              </w:rPr>
                              <w:t>9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-THC (50 </w:t>
                            </w:r>
                            <w:proofErr w:type="spellStart"/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nM</w:t>
                            </w:r>
                            <w:proofErr w:type="spellEnd"/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Pr="00882E3C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10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=2-25, AEA (1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 xml:space="preserve">μ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 – 12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μ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M) 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=4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]. a) Total AUC from curves presented in Fig. 4a-d was calculated and plotted here against log[Compound], (M) and normalized to the maximal (±)CP55,940 response (i.e., 100%). Data were fit to a four-parameter non-linear regression. Potency and efficacy data are presented in b. All data are presented as mean ± S.E.M. </w:t>
                            </w:r>
                            <w:r w:rsidR="002C78E4" w:rsidRPr="002C78E4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</w:rPr>
                              <w:t>#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882E3C">
                              <w:rPr>
                                <w:rFonts w:ascii="Times New Roman" w:eastAsia="Calibri Light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Δ</w:t>
                            </w:r>
                            <w:r w:rsidRPr="002C78E4">
                              <w:rPr>
                                <w:rFonts w:ascii="Times New Roman" w:eastAsia="Calibri Light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9</w:t>
                            </w:r>
                            <w:r w:rsidRPr="00882E3C">
                              <w:rPr>
                                <w:rFonts w:ascii="Times New Roman" w:eastAsia="Calibri Light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-THC is presented as highest observed value ± S.E.M. due to poor curve fit</w:t>
                            </w:r>
                            <w:r w:rsidRPr="00882E3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*p&lt;0.05 compared to CP55,940 as determined by one-way ANOVA followed by Dunnett’s post-hoc test.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6B0F3D" id="_x0000_s1029" type="#_x0000_t202" style="position:absolute;margin-left:416.8pt;margin-top:430.35pt;width:468pt;height:140.55pt;z-index:25166848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" filled="f" stroked="f">
                <v:textbox style="mso-fit-shape-to-text:t">
                  <w:txbxContent>
                    <w:p w14:paraId="4FD5A616" w14:textId="36461D68" w:rsidR="00882E3C" w:rsidRPr="00882E3C" w:rsidRDefault="00882E3C" w:rsidP="00882E3C">
                      <w:pPr>
                        <w:jc w:val="both"/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2C78E4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Supplementary Figure 4:</w:t>
                      </w:r>
                      <w:r w:rsidRPr="00882E3C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882E3C">
                        <w:rPr>
                          <w:rFonts w:ascii="Times New Roman" w:eastAsia="Calibri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CB1R internalization in AtT20 cells following cannabinoid treatment</w:t>
                      </w:r>
                      <w:r w:rsidRPr="00882E3C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. AtT20 cells stably-expressing SEP-CB1R were treated with 0.1 </w:t>
                      </w:r>
                      <w:proofErr w:type="spellStart"/>
                      <w:r w:rsidRPr="00882E3C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882E3C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– 12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M of cannabinoids as indicated and CB1R internalization was measured at 5 min intervals over 30 min with corresponding data presented in Figure 4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) (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±)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CP55,940 (0.1 </w:t>
                      </w:r>
                      <w:proofErr w:type="spellStart"/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– 10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n=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2-7, WIN55,212-2 (0.1 </w:t>
                      </w:r>
                      <w:proofErr w:type="spellStart"/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Pr="00882E3C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10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=4-35,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  <w:lang w:val="el-GR"/>
                        </w:rPr>
                        <w:t>9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-THC (50 </w:t>
                      </w:r>
                      <w:proofErr w:type="spellStart"/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nM</w:t>
                      </w:r>
                      <w:proofErr w:type="spellEnd"/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Pr="00882E3C">
                        <w:rPr>
                          <w:rFonts w:ascii="Times New Roman" w:eastAsia="Calibri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10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=2-25, AEA (1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 xml:space="preserve">μ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 – 12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μ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M) 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=4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]. a) Total AUC from curves presented in Fig. 4a-d was calculated and plotted here against log[Compound], (M) and normalized to the maximal (±)CP55,940 response (i.e., 100%). Data were fit to a four-parameter non-linear regression. Potency and efficacy data are presented in b. All data are presented as mean ± S.E.M. </w:t>
                      </w:r>
                      <w:r w:rsidR="002C78E4" w:rsidRPr="002C78E4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</w:rPr>
                        <w:t>#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: </w:t>
                      </w:r>
                      <w:r w:rsidRPr="00882E3C">
                        <w:rPr>
                          <w:rFonts w:ascii="Times New Roman" w:eastAsia="Calibri Light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Δ</w:t>
                      </w:r>
                      <w:r w:rsidRPr="002C78E4">
                        <w:rPr>
                          <w:rFonts w:ascii="Times New Roman" w:eastAsia="Calibri Light" w:hAnsi="Times New Roman" w:cs="Times New Roman"/>
                          <w:color w:val="000000"/>
                          <w:kern w:val="24"/>
                          <w:sz w:val="20"/>
                          <w:szCs w:val="20"/>
                          <w:vertAlign w:val="superscript"/>
                          <w:lang w:val="en-US"/>
                        </w:rPr>
                        <w:t>9</w:t>
                      </w:r>
                      <w:r w:rsidRPr="00882E3C">
                        <w:rPr>
                          <w:rFonts w:ascii="Times New Roman" w:eastAsia="Calibri Light" w:hAnsi="Times New Roman" w:cs="Times New Roman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-THC is presented as highest observed value ± S.E.M. due to poor curve fit</w:t>
                      </w:r>
                      <w:r w:rsidRPr="00882E3C">
                        <w:rPr>
                          <w:rFonts w:ascii="Times New Roman" w:eastAsia="Times New Roman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*p&lt;0.05 compared to CP55,940 as determined by one-way ANOVA followed by Dunnett’s post-hoc test.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7D2806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69504" behindDoc="0" locked="0" layoutInCell="1" allowOverlap="1" wp14:anchorId="622D844B" wp14:editId="0CBB8DA9">
            <wp:simplePos x="914400" y="1171575"/>
            <wp:positionH relativeFrom="margin">
              <wp:align>center</wp:align>
            </wp:positionH>
            <wp:positionV relativeFrom="margin">
              <wp:align>top</wp:align>
            </wp:positionV>
            <wp:extent cx="3017520" cy="2084705"/>
            <wp:effectExtent l="0" t="0" r="0" b="0"/>
            <wp:wrapSquare wrapText="bothSides"/>
            <wp:docPr id="83696114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75041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70528" behindDoc="0" locked="0" layoutInCell="1" allowOverlap="1" wp14:anchorId="2C299CEE" wp14:editId="75B5ED40">
            <wp:simplePos x="914400" y="3000375"/>
            <wp:positionH relativeFrom="margin">
              <wp:align>center</wp:align>
            </wp:positionH>
            <wp:positionV relativeFrom="margin">
              <wp:align>center</wp:align>
            </wp:positionV>
            <wp:extent cx="3401695" cy="2249805"/>
            <wp:effectExtent l="0" t="0" r="8255" b="0"/>
            <wp:wrapSquare wrapText="bothSides"/>
            <wp:docPr id="10426468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695" cy="2249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C32D6" w:rsidRPr="00D94FB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68382" w14:textId="77777777" w:rsidR="00A77FB5" w:rsidRDefault="00A77FB5" w:rsidP="00A77FB5">
      <w:pPr>
        <w:spacing w:after="0" w:line="240" w:lineRule="auto"/>
      </w:pPr>
      <w:r>
        <w:separator/>
      </w:r>
    </w:p>
  </w:endnote>
  <w:endnote w:type="continuationSeparator" w:id="0">
    <w:p w14:paraId="532D6B8B" w14:textId="77777777" w:rsidR="00A77FB5" w:rsidRDefault="00A77FB5" w:rsidP="00A77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86181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79BFFC" w14:textId="72502B33" w:rsidR="00A77FB5" w:rsidRDefault="00A77F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D64F62" w14:textId="77777777" w:rsidR="00A77FB5" w:rsidRDefault="00A77F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AC296" w14:textId="77777777" w:rsidR="00A77FB5" w:rsidRDefault="00A77FB5" w:rsidP="00A77FB5">
      <w:pPr>
        <w:spacing w:after="0" w:line="240" w:lineRule="auto"/>
      </w:pPr>
      <w:r>
        <w:separator/>
      </w:r>
    </w:p>
  </w:footnote>
  <w:footnote w:type="continuationSeparator" w:id="0">
    <w:p w14:paraId="3AB1AAA1" w14:textId="77777777" w:rsidR="00A77FB5" w:rsidRDefault="00A77FB5" w:rsidP="00A77F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FBF"/>
    <w:rsid w:val="00075041"/>
    <w:rsid w:val="000812B3"/>
    <w:rsid w:val="000D3DE7"/>
    <w:rsid w:val="001D2222"/>
    <w:rsid w:val="0023283D"/>
    <w:rsid w:val="002C78E4"/>
    <w:rsid w:val="00365554"/>
    <w:rsid w:val="003953E2"/>
    <w:rsid w:val="003A52F7"/>
    <w:rsid w:val="005A5AAA"/>
    <w:rsid w:val="00631507"/>
    <w:rsid w:val="006C2FA2"/>
    <w:rsid w:val="007218E6"/>
    <w:rsid w:val="00761547"/>
    <w:rsid w:val="007D2806"/>
    <w:rsid w:val="00882E3C"/>
    <w:rsid w:val="008833EF"/>
    <w:rsid w:val="008C4DDF"/>
    <w:rsid w:val="00994CEE"/>
    <w:rsid w:val="009C32D6"/>
    <w:rsid w:val="009C666C"/>
    <w:rsid w:val="00A77FB5"/>
    <w:rsid w:val="00C93A05"/>
    <w:rsid w:val="00D40D13"/>
    <w:rsid w:val="00D615FC"/>
    <w:rsid w:val="00D94FBF"/>
    <w:rsid w:val="00EB390F"/>
    <w:rsid w:val="00FA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5948B"/>
  <w15:chartTrackingRefBased/>
  <w15:docId w15:val="{A51822A7-AC15-41A5-97F6-25CB3437E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7F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7FB5"/>
  </w:style>
  <w:style w:type="paragraph" w:styleId="Footer">
    <w:name w:val="footer"/>
    <w:basedOn w:val="Normal"/>
    <w:link w:val="FooterChar"/>
    <w:uiPriority w:val="99"/>
    <w:unhideWhenUsed/>
    <w:rsid w:val="00A77F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7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52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D93E2-12DC-4C48-9AF6-ABC6864D1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Andersen, Haley</dc:creator>
  <cp:keywords/>
  <dc:description/>
  <cp:lastModifiedBy>Laprairie, Robert</cp:lastModifiedBy>
  <cp:revision>2</cp:revision>
  <dcterms:created xsi:type="dcterms:W3CDTF">2024-01-29T18:38:00Z</dcterms:created>
  <dcterms:modified xsi:type="dcterms:W3CDTF">2024-01-29T18:38:00Z</dcterms:modified>
</cp:coreProperties>
</file>