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59482" w14:textId="77777777" w:rsidR="00145BE8" w:rsidRPr="00F11F90" w:rsidRDefault="00145BE8" w:rsidP="00145BE8">
      <w:pPr>
        <w:rPr>
          <w:b/>
          <w:bCs/>
        </w:rPr>
      </w:pPr>
      <w:r w:rsidRPr="00F11F90">
        <w:rPr>
          <w:b/>
          <w:bCs/>
        </w:rPr>
        <w:t>Supplementary material 3. Recommendations for practice mapped to findings.</w:t>
      </w:r>
    </w:p>
    <w:tbl>
      <w:tblPr>
        <w:tblStyle w:val="TableGridLight"/>
        <w:tblW w:w="5539" w:type="pct"/>
        <w:tblInd w:w="-714" w:type="dxa"/>
        <w:tblLook w:val="04A0" w:firstRow="1" w:lastRow="0" w:firstColumn="1" w:lastColumn="0" w:noHBand="0" w:noVBand="1"/>
      </w:tblPr>
      <w:tblGrid>
        <w:gridCol w:w="2127"/>
        <w:gridCol w:w="1792"/>
        <w:gridCol w:w="1607"/>
        <w:gridCol w:w="3532"/>
        <w:gridCol w:w="6394"/>
      </w:tblGrid>
      <w:tr w:rsidR="00145BE8" w14:paraId="2374379E" w14:textId="77777777" w:rsidTr="00145BE8">
        <w:trPr>
          <w:trHeight w:val="541"/>
        </w:trPr>
        <w:tc>
          <w:tcPr>
            <w:tcW w:w="688" w:type="pct"/>
            <w:tcBorders>
              <w:top w:val="single" w:sz="4" w:space="0" w:color="auto"/>
              <w:left w:val="single" w:sz="4" w:space="0" w:color="auto"/>
              <w:right w:val="single" w:sz="4" w:space="0" w:color="auto"/>
            </w:tcBorders>
            <w:shd w:val="clear" w:color="auto" w:fill="E7E6E6" w:themeFill="background2"/>
            <w:vAlign w:val="center"/>
          </w:tcPr>
          <w:p w14:paraId="5F5D5E27" w14:textId="77777777" w:rsidR="00145BE8" w:rsidRPr="00236941" w:rsidRDefault="00145BE8" w:rsidP="0034009B">
            <w:pPr>
              <w:spacing w:line="360" w:lineRule="auto"/>
              <w:rPr>
                <w:rFonts w:eastAsia="Times New Roman" w:cs="Arial"/>
                <w:b/>
                <w:bCs/>
                <w:color w:val="000000"/>
                <w:sz w:val="20"/>
                <w:szCs w:val="20"/>
                <w:lang w:eastAsia="en-GB"/>
              </w:rPr>
            </w:pPr>
            <w:r>
              <w:rPr>
                <w:rFonts w:eastAsia="Times New Roman" w:cs="Arial"/>
                <w:b/>
                <w:bCs/>
                <w:color w:val="000000"/>
                <w:sz w:val="20"/>
                <w:szCs w:val="20"/>
                <w:lang w:eastAsia="en-GB"/>
              </w:rPr>
              <w:t>Research question</w:t>
            </w:r>
          </w:p>
        </w:tc>
        <w:tc>
          <w:tcPr>
            <w:tcW w:w="2243" w:type="pct"/>
            <w:gridSpan w:val="3"/>
            <w:tcBorders>
              <w:top w:val="single" w:sz="4" w:space="0" w:color="auto"/>
              <w:left w:val="single" w:sz="4" w:space="0" w:color="auto"/>
              <w:right w:val="single" w:sz="4" w:space="0" w:color="auto"/>
            </w:tcBorders>
            <w:shd w:val="clear" w:color="auto" w:fill="E7E6E6" w:themeFill="background2"/>
            <w:vAlign w:val="center"/>
          </w:tcPr>
          <w:p w14:paraId="1BF1F6BB" w14:textId="77777777" w:rsidR="00145BE8" w:rsidRPr="00236941" w:rsidRDefault="00145BE8" w:rsidP="0034009B">
            <w:pPr>
              <w:spacing w:line="360" w:lineRule="auto"/>
              <w:rPr>
                <w:rFonts w:eastAsia="Times New Roman" w:cs="Arial"/>
                <w:b/>
                <w:bCs/>
                <w:color w:val="000000"/>
                <w:sz w:val="20"/>
                <w:szCs w:val="20"/>
                <w:lang w:eastAsia="en-GB"/>
              </w:rPr>
            </w:pPr>
            <w:r>
              <w:rPr>
                <w:rFonts w:eastAsia="Times New Roman" w:cs="Arial"/>
                <w:b/>
                <w:bCs/>
                <w:color w:val="000000"/>
                <w:sz w:val="20"/>
                <w:szCs w:val="20"/>
                <w:lang w:eastAsia="en-GB"/>
              </w:rPr>
              <w:t>Results</w:t>
            </w:r>
          </w:p>
        </w:tc>
        <w:tc>
          <w:tcPr>
            <w:tcW w:w="2070" w:type="pct"/>
            <w:tcBorders>
              <w:top w:val="single" w:sz="4" w:space="0" w:color="auto"/>
              <w:left w:val="single" w:sz="4" w:space="0" w:color="auto"/>
              <w:right w:val="single" w:sz="4" w:space="0" w:color="auto"/>
            </w:tcBorders>
            <w:shd w:val="clear" w:color="auto" w:fill="E7E6E6" w:themeFill="background2"/>
            <w:vAlign w:val="center"/>
          </w:tcPr>
          <w:p w14:paraId="2C932160" w14:textId="77777777" w:rsidR="00145BE8" w:rsidRPr="00236941" w:rsidRDefault="00145BE8" w:rsidP="0034009B">
            <w:pPr>
              <w:spacing w:line="360" w:lineRule="auto"/>
              <w:rPr>
                <w:rFonts w:eastAsia="Times New Roman" w:cs="Arial"/>
                <w:b/>
                <w:bCs/>
                <w:color w:val="000000"/>
                <w:sz w:val="20"/>
                <w:szCs w:val="20"/>
                <w:lang w:eastAsia="en-GB"/>
              </w:rPr>
            </w:pPr>
            <w:r w:rsidRPr="00236941">
              <w:rPr>
                <w:rFonts w:eastAsia="Times New Roman" w:cs="Arial"/>
                <w:b/>
                <w:bCs/>
                <w:color w:val="000000"/>
                <w:sz w:val="20"/>
                <w:szCs w:val="20"/>
                <w:lang w:eastAsia="en-GB"/>
              </w:rPr>
              <w:t>Recommendations</w:t>
            </w:r>
          </w:p>
        </w:tc>
      </w:tr>
      <w:tr w:rsidR="00145BE8" w14:paraId="2D766B31" w14:textId="77777777" w:rsidTr="00145BE8">
        <w:trPr>
          <w:trHeight w:val="3864"/>
        </w:trPr>
        <w:tc>
          <w:tcPr>
            <w:tcW w:w="688" w:type="pct"/>
            <w:tcBorders>
              <w:left w:val="single" w:sz="4" w:space="0" w:color="auto"/>
              <w:bottom w:val="single" w:sz="4" w:space="0" w:color="BFBFBF" w:themeColor="background1" w:themeShade="BF"/>
              <w:right w:val="single" w:sz="4" w:space="0" w:color="auto"/>
            </w:tcBorders>
            <w:shd w:val="clear" w:color="auto" w:fill="E7E6E6" w:themeFill="background2"/>
            <w:vAlign w:val="center"/>
          </w:tcPr>
          <w:p w14:paraId="3C8676C6" w14:textId="77777777" w:rsidR="00145BE8" w:rsidRPr="00A864EA" w:rsidRDefault="00145BE8" w:rsidP="0034009B">
            <w:pPr>
              <w:spacing w:line="360" w:lineRule="auto"/>
              <w:rPr>
                <w:rFonts w:eastAsia="Times New Roman" w:cs="Arial"/>
                <w:color w:val="000000"/>
                <w:sz w:val="20"/>
                <w:szCs w:val="20"/>
                <w:lang w:eastAsia="en-GB"/>
              </w:rPr>
            </w:pPr>
            <w:r w:rsidRPr="00551593">
              <w:rPr>
                <w:rFonts w:eastAsia="Times New Roman" w:cs="Arial"/>
                <w:b/>
                <w:bCs/>
                <w:color w:val="000000"/>
                <w:sz w:val="20"/>
                <w:szCs w:val="20"/>
                <w:lang w:eastAsia="en-GB"/>
              </w:rPr>
              <w:t>Interactions between public health professionals and exposed persons</w:t>
            </w:r>
          </w:p>
        </w:tc>
        <w:tc>
          <w:tcPr>
            <w:tcW w:w="580" w:type="pct"/>
            <w:tcBorders>
              <w:top w:val="single" w:sz="4" w:space="0" w:color="auto"/>
              <w:left w:val="single" w:sz="4" w:space="0" w:color="auto"/>
              <w:bottom w:val="single" w:sz="4" w:space="0" w:color="BFBFBF" w:themeColor="background1" w:themeShade="BF"/>
              <w:right w:val="single" w:sz="4" w:space="0" w:color="auto"/>
            </w:tcBorders>
            <w:shd w:val="clear" w:color="auto" w:fill="auto"/>
            <w:vAlign w:val="center"/>
          </w:tcPr>
          <w:p w14:paraId="0D87639F" w14:textId="77777777" w:rsidR="00145BE8" w:rsidRPr="00A864EA" w:rsidRDefault="00145BE8" w:rsidP="0034009B">
            <w:pPr>
              <w:spacing w:line="360" w:lineRule="auto"/>
              <w:rPr>
                <w:rFonts w:eastAsia="Times New Roman" w:cs="Arial"/>
                <w:color w:val="000000"/>
                <w:sz w:val="20"/>
                <w:szCs w:val="20"/>
                <w:lang w:eastAsia="en-GB"/>
              </w:rPr>
            </w:pPr>
            <w:r>
              <w:rPr>
                <w:rFonts w:eastAsia="Times New Roman" w:cs="Arial"/>
                <w:color w:val="000000"/>
                <w:sz w:val="20"/>
                <w:szCs w:val="20"/>
                <w:lang w:eastAsia="en-GB"/>
              </w:rPr>
              <w:t>Not mapped to COM-B</w:t>
            </w:r>
          </w:p>
        </w:tc>
        <w:tc>
          <w:tcPr>
            <w:tcW w:w="1663" w:type="pct"/>
            <w:gridSpan w:val="2"/>
            <w:tcBorders>
              <w:top w:val="single" w:sz="4" w:space="0" w:color="auto"/>
              <w:left w:val="single" w:sz="4" w:space="0" w:color="auto"/>
              <w:bottom w:val="single" w:sz="4" w:space="0" w:color="BFBFBF" w:themeColor="background1" w:themeShade="BF"/>
              <w:right w:val="single" w:sz="4" w:space="0" w:color="auto"/>
            </w:tcBorders>
            <w:shd w:val="clear" w:color="auto" w:fill="auto"/>
            <w:vAlign w:val="center"/>
          </w:tcPr>
          <w:p w14:paraId="1E058E80" w14:textId="77777777" w:rsidR="00145BE8" w:rsidRPr="002B5F04" w:rsidRDefault="00145BE8" w:rsidP="0034009B">
            <w:pPr>
              <w:pStyle w:val="ListParagraph"/>
              <w:numPr>
                <w:ilvl w:val="0"/>
                <w:numId w:val="2"/>
              </w:numPr>
              <w:spacing w:line="360" w:lineRule="auto"/>
              <w:rPr>
                <w:rFonts w:eastAsia="Times New Roman" w:cs="Arial"/>
                <w:color w:val="000000"/>
                <w:sz w:val="20"/>
                <w:szCs w:val="20"/>
                <w:lang w:eastAsia="en-GB"/>
              </w:rPr>
            </w:pPr>
            <w:r w:rsidRPr="002B5F04">
              <w:rPr>
                <w:rFonts w:eastAsia="Times New Roman" w:cs="Arial"/>
                <w:color w:val="000000"/>
                <w:sz w:val="20"/>
                <w:szCs w:val="20"/>
                <w:lang w:eastAsia="en-GB"/>
              </w:rPr>
              <w:t>HPT contact reassuring for those with infrequent exposure</w:t>
            </w:r>
          </w:p>
          <w:p w14:paraId="56387FC4" w14:textId="77777777" w:rsidR="00145BE8" w:rsidRPr="002B5F04" w:rsidRDefault="00145BE8" w:rsidP="0034009B">
            <w:pPr>
              <w:pStyle w:val="ListParagraph"/>
              <w:numPr>
                <w:ilvl w:val="0"/>
                <w:numId w:val="2"/>
              </w:numPr>
              <w:spacing w:line="360" w:lineRule="auto"/>
              <w:rPr>
                <w:rFonts w:eastAsia="Times New Roman" w:cs="Arial"/>
                <w:color w:val="000000"/>
                <w:sz w:val="20"/>
                <w:szCs w:val="20"/>
                <w:lang w:eastAsia="en-GB"/>
              </w:rPr>
            </w:pPr>
            <w:r w:rsidRPr="002B5F04">
              <w:rPr>
                <w:rFonts w:eastAsia="Times New Roman" w:cs="Arial"/>
                <w:color w:val="000000"/>
                <w:sz w:val="20"/>
                <w:szCs w:val="20"/>
                <w:lang w:eastAsia="en-GB"/>
              </w:rPr>
              <w:t>HPT contact repetitive for those with frequent exposure</w:t>
            </w:r>
          </w:p>
          <w:p w14:paraId="508A760B" w14:textId="77777777" w:rsidR="00145BE8" w:rsidRPr="002B5F04" w:rsidRDefault="00145BE8" w:rsidP="0034009B">
            <w:pPr>
              <w:pStyle w:val="ListParagraph"/>
              <w:numPr>
                <w:ilvl w:val="0"/>
                <w:numId w:val="2"/>
              </w:numPr>
              <w:spacing w:line="360" w:lineRule="auto"/>
              <w:rPr>
                <w:rFonts w:eastAsia="Times New Roman" w:cs="Arial"/>
                <w:color w:val="000000"/>
                <w:sz w:val="20"/>
                <w:szCs w:val="20"/>
                <w:lang w:eastAsia="en-GB"/>
              </w:rPr>
            </w:pPr>
            <w:r w:rsidRPr="002B5F04">
              <w:rPr>
                <w:rFonts w:eastAsia="Times New Roman" w:cs="Arial"/>
                <w:color w:val="000000"/>
                <w:sz w:val="20"/>
                <w:szCs w:val="20"/>
                <w:lang w:eastAsia="en-GB"/>
              </w:rPr>
              <w:t>On-site contact preferred due to difficulties contacting exposed individuals</w:t>
            </w:r>
          </w:p>
          <w:p w14:paraId="6ADF56CA" w14:textId="77777777" w:rsidR="00145BE8" w:rsidRPr="002B5F04" w:rsidRDefault="00145BE8" w:rsidP="0034009B">
            <w:pPr>
              <w:pStyle w:val="ListParagraph"/>
              <w:numPr>
                <w:ilvl w:val="0"/>
                <w:numId w:val="2"/>
              </w:numPr>
              <w:spacing w:line="360" w:lineRule="auto"/>
              <w:rPr>
                <w:rFonts w:eastAsia="Times New Roman" w:cs="Arial"/>
                <w:color w:val="000000"/>
                <w:sz w:val="20"/>
                <w:szCs w:val="20"/>
                <w:lang w:eastAsia="en-GB"/>
              </w:rPr>
            </w:pPr>
            <w:r w:rsidRPr="002B5F04">
              <w:rPr>
                <w:rFonts w:eastAsia="Times New Roman" w:cs="Arial"/>
                <w:color w:val="000000"/>
                <w:sz w:val="20"/>
                <w:szCs w:val="20"/>
                <w:lang w:eastAsia="en-GB"/>
              </w:rPr>
              <w:t>Contact through intermediary preferred over no contact</w:t>
            </w:r>
          </w:p>
          <w:p w14:paraId="15117893" w14:textId="77777777" w:rsidR="00145BE8" w:rsidRPr="002B5F04" w:rsidRDefault="00145BE8" w:rsidP="0034009B">
            <w:pPr>
              <w:pStyle w:val="ListParagraph"/>
              <w:numPr>
                <w:ilvl w:val="0"/>
                <w:numId w:val="2"/>
              </w:numPr>
              <w:spacing w:line="360" w:lineRule="auto"/>
              <w:rPr>
                <w:rFonts w:eastAsia="Times New Roman" w:cs="Arial"/>
                <w:color w:val="000000"/>
                <w:sz w:val="20"/>
                <w:szCs w:val="20"/>
                <w:lang w:eastAsia="en-GB"/>
              </w:rPr>
            </w:pPr>
            <w:r w:rsidRPr="002B5F04">
              <w:rPr>
                <w:rFonts w:eastAsia="Times New Roman" w:cs="Arial"/>
                <w:color w:val="000000"/>
                <w:sz w:val="20"/>
                <w:szCs w:val="20"/>
                <w:lang w:eastAsia="en-GB"/>
              </w:rPr>
              <w:t>Need for accessible and engaging materials</w:t>
            </w:r>
          </w:p>
        </w:tc>
        <w:tc>
          <w:tcPr>
            <w:tcW w:w="2070" w:type="pct"/>
            <w:tcBorders>
              <w:top w:val="single" w:sz="4" w:space="0" w:color="auto"/>
              <w:left w:val="single" w:sz="4" w:space="0" w:color="auto"/>
              <w:bottom w:val="single" w:sz="4" w:space="0" w:color="BFBFBF" w:themeColor="background1" w:themeShade="BF"/>
              <w:right w:val="single" w:sz="4" w:space="0" w:color="auto"/>
            </w:tcBorders>
          </w:tcPr>
          <w:p w14:paraId="5A4B562C"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Make access to antivirals easy by providing them on-site or arranging for collection close to home for those at highest risk.</w:t>
            </w:r>
          </w:p>
          <w:p w14:paraId="1735CDB9" w14:textId="77777777" w:rsidR="00145BE8"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Enable access to translated materials and interpreters for people with non-English language preferences.</w:t>
            </w:r>
          </w:p>
          <w:p w14:paraId="0621EFBA" w14:textId="77777777" w:rsidR="00145BE8"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Build intermediaries’ skills (for example, culling team leads) to facilitate informed decision-making about antivirals.</w:t>
            </w:r>
          </w:p>
          <w:p w14:paraId="5EF66AEA"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Develop alternative ways to contact exposed individuals, such as via their organisations and team leaders.</w:t>
            </w:r>
          </w:p>
          <w:p w14:paraId="2E7083A0"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Provide materials in preferred languages (e.g., Romanian, Bulgarian, Russian, Polish) and formats (videos, easy-reads).</w:t>
            </w:r>
          </w:p>
        </w:tc>
      </w:tr>
      <w:tr w:rsidR="00145BE8" w14:paraId="702FECE8" w14:textId="77777777" w:rsidTr="00145BE8">
        <w:trPr>
          <w:trHeight w:val="288"/>
        </w:trPr>
        <w:tc>
          <w:tcPr>
            <w:tcW w:w="688" w:type="pct"/>
            <w:vMerge w:val="restart"/>
            <w:tcBorders>
              <w:left w:val="single" w:sz="4" w:space="0" w:color="auto"/>
              <w:right w:val="single" w:sz="4" w:space="0" w:color="auto"/>
            </w:tcBorders>
            <w:shd w:val="clear" w:color="auto" w:fill="E7E6E6" w:themeFill="background2"/>
            <w:vAlign w:val="center"/>
          </w:tcPr>
          <w:p w14:paraId="32FAF704" w14:textId="77777777" w:rsidR="00145BE8" w:rsidRPr="008F4B18" w:rsidRDefault="00145BE8" w:rsidP="0034009B">
            <w:pPr>
              <w:rPr>
                <w:rFonts w:eastAsia="Times New Roman" w:cs="Arial"/>
                <w:b/>
                <w:bCs/>
                <w:color w:val="000000"/>
                <w:sz w:val="20"/>
                <w:szCs w:val="20"/>
                <w:lang w:eastAsia="en-GB"/>
              </w:rPr>
            </w:pPr>
            <w:r w:rsidRPr="00551593">
              <w:rPr>
                <w:rFonts w:eastAsia="Times New Roman" w:cs="Arial"/>
                <w:b/>
                <w:bCs/>
                <w:color w:val="000000"/>
                <w:sz w:val="20"/>
                <w:szCs w:val="20"/>
                <w:lang w:eastAsia="en-GB"/>
              </w:rPr>
              <w:t>Factors affecting uptake of antivirals</w:t>
            </w:r>
          </w:p>
        </w:tc>
        <w:tc>
          <w:tcPr>
            <w:tcW w:w="580" w:type="pct"/>
            <w:vMerge w:val="restart"/>
            <w:tcBorders>
              <w:top w:val="single" w:sz="4" w:space="0" w:color="auto"/>
              <w:left w:val="single" w:sz="4" w:space="0" w:color="auto"/>
            </w:tcBorders>
            <w:vAlign w:val="center"/>
          </w:tcPr>
          <w:p w14:paraId="60E3217A" w14:textId="77777777" w:rsidR="00145BE8" w:rsidRDefault="00145BE8" w:rsidP="0034009B">
            <w:pPr>
              <w:rPr>
                <w:rFonts w:eastAsia="Times New Roman" w:cs="Arial"/>
                <w:b/>
                <w:bCs/>
                <w:color w:val="000000"/>
                <w:sz w:val="20"/>
                <w:szCs w:val="20"/>
                <w:lang w:eastAsia="en-GB"/>
              </w:rPr>
            </w:pPr>
            <w:r w:rsidRPr="008F4B18">
              <w:rPr>
                <w:rFonts w:eastAsia="Times New Roman" w:cs="Arial"/>
                <w:b/>
                <w:bCs/>
                <w:color w:val="000000"/>
                <w:sz w:val="20"/>
                <w:szCs w:val="20"/>
                <w:lang w:eastAsia="en-GB"/>
              </w:rPr>
              <w:t>Capability</w:t>
            </w:r>
          </w:p>
          <w:p w14:paraId="04883B09" w14:textId="77777777" w:rsidR="00145BE8" w:rsidRPr="00551593" w:rsidRDefault="00145BE8" w:rsidP="0034009B">
            <w:pPr>
              <w:rPr>
                <w:rFonts w:eastAsia="Times New Roman" w:cs="Arial"/>
                <w:color w:val="000000"/>
                <w:sz w:val="20"/>
                <w:szCs w:val="20"/>
                <w:lang w:eastAsia="en-GB"/>
              </w:rPr>
            </w:pPr>
            <w:r w:rsidRPr="008F4B18">
              <w:rPr>
                <w:rFonts w:eastAsia="Times New Roman" w:cs="Arial"/>
                <w:color w:val="000000"/>
                <w:sz w:val="20"/>
                <w:szCs w:val="20"/>
                <w:lang w:eastAsia="en-GB"/>
              </w:rPr>
              <w:t>The capacity to engage in the behaviour</w:t>
            </w:r>
          </w:p>
        </w:tc>
        <w:tc>
          <w:tcPr>
            <w:tcW w:w="520" w:type="pct"/>
            <w:vMerge w:val="restart"/>
            <w:tcBorders>
              <w:top w:val="single" w:sz="4" w:space="0" w:color="auto"/>
              <w:right w:val="single" w:sz="4" w:space="0" w:color="auto"/>
            </w:tcBorders>
            <w:vAlign w:val="center"/>
          </w:tcPr>
          <w:p w14:paraId="794D8974" w14:textId="77777777" w:rsidR="00145BE8" w:rsidRDefault="00145BE8" w:rsidP="0034009B">
            <w:pPr>
              <w:rPr>
                <w:rFonts w:eastAsia="Times New Roman" w:cs="Arial"/>
                <w:b/>
                <w:bCs/>
                <w:color w:val="000000"/>
                <w:sz w:val="20"/>
                <w:szCs w:val="20"/>
                <w:lang w:eastAsia="en-GB"/>
              </w:rPr>
            </w:pPr>
            <w:r w:rsidRPr="001821C0">
              <w:rPr>
                <w:rFonts w:eastAsia="Times New Roman" w:cs="Arial"/>
                <w:b/>
                <w:bCs/>
                <w:color w:val="000000"/>
                <w:sz w:val="20"/>
                <w:szCs w:val="20"/>
                <w:lang w:eastAsia="en-GB"/>
              </w:rPr>
              <w:t>Psychological</w:t>
            </w:r>
          </w:p>
          <w:p w14:paraId="2E9F2865" w14:textId="77777777" w:rsidR="00145BE8" w:rsidRPr="00551593" w:rsidRDefault="00145BE8" w:rsidP="0034009B">
            <w:pPr>
              <w:rPr>
                <w:rFonts w:eastAsia="Times New Roman" w:cs="Arial"/>
                <w:color w:val="000000"/>
                <w:sz w:val="20"/>
                <w:szCs w:val="20"/>
                <w:lang w:eastAsia="en-GB"/>
              </w:rPr>
            </w:pPr>
            <w:r w:rsidRPr="001821C0">
              <w:rPr>
                <w:rFonts w:eastAsia="Times New Roman" w:cs="Arial"/>
                <w:color w:val="000000"/>
                <w:sz w:val="20"/>
                <w:szCs w:val="20"/>
                <w:lang w:eastAsia="en-GB"/>
              </w:rPr>
              <w:t>Capacity to engage in necessary thought processes</w:t>
            </w:r>
          </w:p>
        </w:tc>
        <w:tc>
          <w:tcPr>
            <w:tcW w:w="1143" w:type="pct"/>
            <w:tcBorders>
              <w:top w:val="single" w:sz="4" w:space="0" w:color="auto"/>
              <w:right w:val="single" w:sz="4" w:space="0" w:color="auto"/>
            </w:tcBorders>
            <w:vAlign w:val="center"/>
          </w:tcPr>
          <w:p w14:paraId="2ADD6AE8"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Varied knowledge of avian influenza</w:t>
            </w:r>
          </w:p>
        </w:tc>
        <w:tc>
          <w:tcPr>
            <w:tcW w:w="2070" w:type="pct"/>
            <w:tcBorders>
              <w:top w:val="single" w:sz="4" w:space="0" w:color="auto"/>
              <w:right w:val="single" w:sz="4" w:space="0" w:color="auto"/>
            </w:tcBorders>
          </w:tcPr>
          <w:p w14:paraId="0B5B1350"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Inform exposed individuals about the pandemic potential of AI.</w:t>
            </w:r>
          </w:p>
          <w:p w14:paraId="40008D0C"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Raise awareness about AI symptoms in humans, and their consequences.</w:t>
            </w:r>
          </w:p>
        </w:tc>
      </w:tr>
      <w:tr w:rsidR="00145BE8" w14:paraId="251AC824"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79A08188"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1D9624FC"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2415A4A6"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6D5A4A9F"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Limited knowledge of antivirals</w:t>
            </w:r>
          </w:p>
        </w:tc>
        <w:tc>
          <w:tcPr>
            <w:tcW w:w="2070" w:type="pct"/>
            <w:tcBorders>
              <w:right w:val="single" w:sz="4" w:space="0" w:color="auto"/>
            </w:tcBorders>
          </w:tcPr>
          <w:p w14:paraId="3BED9931"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Proactively provide information on why antivirals are recommended, the difference between prophylaxis and treatment, and how to minimise side effects to exposed individuals; APHA staff and contractors, poultry industry leaders, and other people likely to be exposed to AI at work.</w:t>
            </w:r>
          </w:p>
        </w:tc>
      </w:tr>
      <w:tr w:rsidR="00145BE8" w14:paraId="0DA8B15B"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0F7CD0AB"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425DDD74"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260580DC"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3C2D49F8"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In-depth knowledge about risk mitigation</w:t>
            </w:r>
          </w:p>
        </w:tc>
        <w:tc>
          <w:tcPr>
            <w:tcW w:w="2070" w:type="pct"/>
            <w:tcBorders>
              <w:right w:val="single" w:sz="4" w:space="0" w:color="auto"/>
            </w:tcBorders>
          </w:tcPr>
          <w:p w14:paraId="307B84F6"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Raise awareness about who to contact when AI symptoms are suspected.</w:t>
            </w:r>
          </w:p>
        </w:tc>
      </w:tr>
      <w:tr w:rsidR="00145BE8" w14:paraId="13C1C42E"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1BA89753" w14:textId="77777777" w:rsidR="00145BE8" w:rsidRPr="008F4B18" w:rsidRDefault="00145BE8" w:rsidP="0034009B">
            <w:pPr>
              <w:rPr>
                <w:rFonts w:eastAsia="Times New Roman" w:cs="Arial"/>
                <w:b/>
                <w:bCs/>
                <w:color w:val="000000"/>
                <w:sz w:val="20"/>
                <w:szCs w:val="20"/>
                <w:lang w:eastAsia="en-GB"/>
              </w:rPr>
            </w:pPr>
          </w:p>
        </w:tc>
        <w:tc>
          <w:tcPr>
            <w:tcW w:w="580" w:type="pct"/>
            <w:vMerge w:val="restart"/>
            <w:tcBorders>
              <w:left w:val="single" w:sz="4" w:space="0" w:color="auto"/>
            </w:tcBorders>
            <w:vAlign w:val="center"/>
          </w:tcPr>
          <w:p w14:paraId="2DC20586" w14:textId="77777777" w:rsidR="00145BE8" w:rsidRDefault="00145BE8" w:rsidP="0034009B">
            <w:pPr>
              <w:rPr>
                <w:rFonts w:eastAsia="Times New Roman" w:cs="Arial"/>
                <w:color w:val="000000"/>
                <w:sz w:val="20"/>
                <w:szCs w:val="20"/>
                <w:lang w:eastAsia="en-GB"/>
              </w:rPr>
            </w:pPr>
            <w:r w:rsidRPr="008F4B18">
              <w:rPr>
                <w:rFonts w:eastAsia="Times New Roman" w:cs="Arial"/>
                <w:b/>
                <w:bCs/>
                <w:color w:val="000000"/>
                <w:sz w:val="20"/>
                <w:szCs w:val="20"/>
                <w:lang w:eastAsia="en-GB"/>
              </w:rPr>
              <w:t>Motivation</w:t>
            </w:r>
            <w:r>
              <w:rPr>
                <w:rFonts w:eastAsia="Times New Roman" w:cs="Arial"/>
                <w:color w:val="000000"/>
                <w:sz w:val="20"/>
                <w:szCs w:val="20"/>
                <w:lang w:eastAsia="en-GB"/>
              </w:rPr>
              <w:t xml:space="preserve"> </w:t>
            </w:r>
          </w:p>
          <w:p w14:paraId="075AAC44" w14:textId="77777777" w:rsidR="00145BE8" w:rsidRPr="00551593" w:rsidRDefault="00145BE8" w:rsidP="0034009B">
            <w:pPr>
              <w:rPr>
                <w:rFonts w:eastAsia="Times New Roman" w:cs="Arial"/>
                <w:color w:val="000000"/>
                <w:sz w:val="20"/>
                <w:szCs w:val="20"/>
                <w:lang w:eastAsia="en-GB"/>
              </w:rPr>
            </w:pPr>
            <w:r w:rsidRPr="00A864EA">
              <w:rPr>
                <w:rFonts w:eastAsia="Times New Roman" w:cs="Arial"/>
                <w:color w:val="000000"/>
                <w:sz w:val="20"/>
                <w:szCs w:val="20"/>
                <w:lang w:eastAsia="en-GB"/>
              </w:rPr>
              <w:lastRenderedPageBreak/>
              <w:t>Brain processes that energise and direct behaviour</w:t>
            </w:r>
          </w:p>
        </w:tc>
        <w:tc>
          <w:tcPr>
            <w:tcW w:w="520" w:type="pct"/>
            <w:vMerge w:val="restart"/>
            <w:tcBorders>
              <w:right w:val="single" w:sz="4" w:space="0" w:color="auto"/>
            </w:tcBorders>
            <w:vAlign w:val="center"/>
          </w:tcPr>
          <w:p w14:paraId="3C8F643A" w14:textId="77777777" w:rsidR="00145BE8" w:rsidRDefault="00145BE8" w:rsidP="0034009B">
            <w:pPr>
              <w:rPr>
                <w:rFonts w:eastAsia="Times New Roman" w:cs="Arial"/>
                <w:b/>
                <w:bCs/>
                <w:color w:val="000000"/>
                <w:sz w:val="20"/>
                <w:szCs w:val="20"/>
                <w:lang w:eastAsia="en-GB"/>
              </w:rPr>
            </w:pPr>
            <w:r w:rsidRPr="001821C0">
              <w:rPr>
                <w:rFonts w:eastAsia="Times New Roman" w:cs="Arial"/>
                <w:b/>
                <w:bCs/>
                <w:color w:val="000000"/>
                <w:sz w:val="20"/>
                <w:szCs w:val="20"/>
                <w:lang w:eastAsia="en-GB"/>
              </w:rPr>
              <w:lastRenderedPageBreak/>
              <w:t>Reflective</w:t>
            </w:r>
          </w:p>
          <w:p w14:paraId="6404CF66" w14:textId="77777777" w:rsidR="00145BE8" w:rsidRPr="00551593" w:rsidRDefault="00145BE8" w:rsidP="0034009B">
            <w:pPr>
              <w:rPr>
                <w:rFonts w:eastAsia="Times New Roman" w:cs="Arial"/>
                <w:color w:val="000000"/>
                <w:sz w:val="20"/>
                <w:szCs w:val="20"/>
                <w:lang w:eastAsia="en-GB"/>
              </w:rPr>
            </w:pPr>
            <w:r w:rsidRPr="001821C0">
              <w:rPr>
                <w:rFonts w:eastAsia="Times New Roman" w:cs="Arial"/>
                <w:color w:val="000000"/>
                <w:sz w:val="20"/>
                <w:szCs w:val="20"/>
                <w:lang w:eastAsia="en-GB"/>
              </w:rPr>
              <w:lastRenderedPageBreak/>
              <w:t>Evaluation and plans</w:t>
            </w:r>
          </w:p>
        </w:tc>
        <w:tc>
          <w:tcPr>
            <w:tcW w:w="1143" w:type="pct"/>
            <w:tcBorders>
              <w:right w:val="single" w:sz="4" w:space="0" w:color="auto"/>
            </w:tcBorders>
            <w:vAlign w:val="center"/>
          </w:tcPr>
          <w:p w14:paraId="27955D17"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lastRenderedPageBreak/>
              <w:t>Public health advice followed during first exposures</w:t>
            </w:r>
          </w:p>
        </w:tc>
        <w:tc>
          <w:tcPr>
            <w:tcW w:w="2070" w:type="pct"/>
            <w:tcBorders>
              <w:right w:val="single" w:sz="4" w:space="0" w:color="auto"/>
            </w:tcBorders>
          </w:tcPr>
          <w:p w14:paraId="2820F773"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Reinforce public health advice following repeated exposures.</w:t>
            </w:r>
          </w:p>
        </w:tc>
      </w:tr>
      <w:tr w:rsidR="00145BE8" w14:paraId="0DE22E0A"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0B8FE48B" w14:textId="77777777" w:rsidR="00145BE8" w:rsidRPr="00551593" w:rsidRDefault="00145BE8" w:rsidP="0034009B">
            <w:pPr>
              <w:rPr>
                <w:rFonts w:eastAsia="Times New Roman" w:cs="Arial"/>
                <w:sz w:val="20"/>
                <w:szCs w:val="20"/>
                <w:lang w:eastAsia="en-GB"/>
              </w:rPr>
            </w:pPr>
          </w:p>
        </w:tc>
        <w:tc>
          <w:tcPr>
            <w:tcW w:w="580" w:type="pct"/>
            <w:vMerge/>
            <w:tcBorders>
              <w:left w:val="single" w:sz="4" w:space="0" w:color="auto"/>
            </w:tcBorders>
            <w:vAlign w:val="center"/>
          </w:tcPr>
          <w:p w14:paraId="2A3F5515" w14:textId="77777777" w:rsidR="00145BE8" w:rsidRPr="00551593" w:rsidRDefault="00145BE8" w:rsidP="0034009B">
            <w:pPr>
              <w:rPr>
                <w:rFonts w:eastAsia="Times New Roman" w:cs="Arial"/>
                <w:sz w:val="20"/>
                <w:szCs w:val="20"/>
                <w:lang w:eastAsia="en-GB"/>
              </w:rPr>
            </w:pPr>
          </w:p>
        </w:tc>
        <w:tc>
          <w:tcPr>
            <w:tcW w:w="520" w:type="pct"/>
            <w:vMerge/>
            <w:tcBorders>
              <w:right w:val="single" w:sz="4" w:space="0" w:color="auto"/>
            </w:tcBorders>
            <w:vAlign w:val="center"/>
          </w:tcPr>
          <w:p w14:paraId="5AAFBD07"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22F38A70"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Participants conducted own risk assessments</w:t>
            </w:r>
          </w:p>
        </w:tc>
        <w:tc>
          <w:tcPr>
            <w:tcW w:w="2070" w:type="pct"/>
            <w:tcBorders>
              <w:right w:val="single" w:sz="4" w:space="0" w:color="auto"/>
            </w:tcBorders>
          </w:tcPr>
          <w:p w14:paraId="7412BCCE"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Facilitate informed decision-making about the risks and benefits of taking antivirals to the individual, their close contacts and the population.</w:t>
            </w:r>
          </w:p>
        </w:tc>
      </w:tr>
      <w:tr w:rsidR="00145BE8" w14:paraId="43AB9A4B"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390CEB35"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3FA82539"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30A8D4CC"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57F86ED3"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Felt safe in PPE</w:t>
            </w:r>
          </w:p>
        </w:tc>
        <w:tc>
          <w:tcPr>
            <w:tcW w:w="2070" w:type="pct"/>
            <w:tcBorders>
              <w:right w:val="single" w:sz="4" w:space="0" w:color="auto"/>
            </w:tcBorders>
          </w:tcPr>
          <w:p w14:paraId="70C070E3"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Continue encouraging and enabling appropriate PPE usage.</w:t>
            </w:r>
          </w:p>
          <w:p w14:paraId="21B7A54F" w14:textId="77777777" w:rsidR="00145BE8" w:rsidRPr="00D04A3E"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D04A3E">
              <w:rPr>
                <w:rFonts w:eastAsia="Times New Roman" w:cs="Arial"/>
                <w:color w:val="000000"/>
                <w:sz w:val="20"/>
                <w:szCs w:val="20"/>
                <w:lang w:eastAsia="en-GB"/>
              </w:rPr>
              <w:t>Inform exposed individuals that PPE doesn’t offer 100% protection.</w:t>
            </w:r>
          </w:p>
          <w:p w14:paraId="1D4D9075"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Encourage people to report PPE breaches.</w:t>
            </w:r>
          </w:p>
        </w:tc>
      </w:tr>
      <w:tr w:rsidR="00145BE8" w14:paraId="3B320142"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294AF528"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3BABC511"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47B3E63B"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5B944318"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Taking antivirals seen a personal choice</w:t>
            </w:r>
          </w:p>
        </w:tc>
        <w:tc>
          <w:tcPr>
            <w:tcW w:w="2070" w:type="pct"/>
            <w:tcBorders>
              <w:right w:val="single" w:sz="4" w:space="0" w:color="auto"/>
            </w:tcBorders>
          </w:tcPr>
          <w:p w14:paraId="61DECB81"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Facilitate informed decision-making about the risks and benefits of taking antivirals to the individual, their close contacts and the population.</w:t>
            </w:r>
          </w:p>
        </w:tc>
      </w:tr>
      <w:tr w:rsidR="00145BE8" w14:paraId="55AAD64E"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08672250"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779C08A9"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3805450A"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3D365E09"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Widespread concerns about long-term use</w:t>
            </w:r>
          </w:p>
        </w:tc>
        <w:tc>
          <w:tcPr>
            <w:tcW w:w="2070" w:type="pct"/>
            <w:tcBorders>
              <w:right w:val="single" w:sz="4" w:space="0" w:color="auto"/>
            </w:tcBorders>
          </w:tcPr>
          <w:p w14:paraId="69C24B18"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Address concerns about long-term use</w:t>
            </w:r>
          </w:p>
          <w:p w14:paraId="5DC7D107"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public health guidance should carefully consider the risk-benefit ratio of prophylactic antivirals when advised at scale. In other words, we suggest that public health response prioritises those at most risk of catching AI, such as those with significant exposure without sufficient protective measures or those vulnerable due to other reasons.</w:t>
            </w:r>
          </w:p>
        </w:tc>
      </w:tr>
      <w:tr w:rsidR="00145BE8" w14:paraId="7F5492D6"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15EC433C"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23DC008F"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4A0E246C"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1B981F19"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Potential future use when strongly advised, become vulnerable or the virus changes</w:t>
            </w:r>
          </w:p>
        </w:tc>
        <w:tc>
          <w:tcPr>
            <w:tcW w:w="2070" w:type="pct"/>
            <w:tcBorders>
              <w:right w:val="single" w:sz="4" w:space="0" w:color="auto"/>
            </w:tcBorders>
          </w:tcPr>
          <w:p w14:paraId="35EDD015"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For those at highest risk (</w:t>
            </w:r>
            <w:proofErr w:type="gramStart"/>
            <w:r w:rsidRPr="00E8207D">
              <w:rPr>
                <w:rFonts w:eastAsia="Times New Roman" w:cs="Arial"/>
                <w:color w:val="000000"/>
                <w:sz w:val="20"/>
                <w:szCs w:val="20"/>
                <w:lang w:eastAsia="en-GB"/>
              </w:rPr>
              <w:t>e.g.</w:t>
            </w:r>
            <w:proofErr w:type="gramEnd"/>
            <w:r w:rsidRPr="00E8207D">
              <w:rPr>
                <w:rFonts w:eastAsia="Times New Roman" w:cs="Arial"/>
                <w:color w:val="000000"/>
                <w:sz w:val="20"/>
                <w:szCs w:val="20"/>
                <w:lang w:eastAsia="en-GB"/>
              </w:rPr>
              <w:t xml:space="preserve"> due to significant unprotected exposure, existing health conditions), communicate that antivirals are strongly recommended.</w:t>
            </w:r>
          </w:p>
        </w:tc>
      </w:tr>
      <w:tr w:rsidR="00145BE8" w14:paraId="175486DF"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6A921A72"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020D6740" w14:textId="77777777" w:rsidR="00145BE8" w:rsidRPr="00551593" w:rsidRDefault="00145BE8" w:rsidP="0034009B">
            <w:pPr>
              <w:rPr>
                <w:rFonts w:eastAsia="Times New Roman" w:cs="Arial"/>
                <w:color w:val="000000"/>
                <w:sz w:val="20"/>
                <w:szCs w:val="20"/>
                <w:lang w:eastAsia="en-GB"/>
              </w:rPr>
            </w:pPr>
          </w:p>
        </w:tc>
        <w:tc>
          <w:tcPr>
            <w:tcW w:w="520" w:type="pct"/>
            <w:vMerge/>
            <w:tcBorders>
              <w:right w:val="single" w:sz="4" w:space="0" w:color="auto"/>
            </w:tcBorders>
            <w:vAlign w:val="center"/>
          </w:tcPr>
          <w:p w14:paraId="573EC1F0" w14:textId="77777777" w:rsidR="00145BE8" w:rsidRPr="00551593" w:rsidRDefault="00145BE8" w:rsidP="0034009B">
            <w:pPr>
              <w:rPr>
                <w:rFonts w:eastAsia="Times New Roman" w:cs="Arial"/>
                <w:color w:val="000000"/>
                <w:sz w:val="20"/>
                <w:szCs w:val="20"/>
                <w:lang w:eastAsia="en-GB"/>
              </w:rPr>
            </w:pPr>
          </w:p>
        </w:tc>
        <w:tc>
          <w:tcPr>
            <w:tcW w:w="1143" w:type="pct"/>
            <w:tcBorders>
              <w:right w:val="single" w:sz="4" w:space="0" w:color="auto"/>
            </w:tcBorders>
            <w:vAlign w:val="center"/>
          </w:tcPr>
          <w:p w14:paraId="1DA2FD2B"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Side effects were the biggest barrier to uptake</w:t>
            </w:r>
          </w:p>
        </w:tc>
        <w:tc>
          <w:tcPr>
            <w:tcW w:w="2070" w:type="pct"/>
            <w:tcBorders>
              <w:right w:val="single" w:sz="4" w:space="0" w:color="auto"/>
            </w:tcBorders>
          </w:tcPr>
          <w:p w14:paraId="10D71119"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Advise how to minimise or manage side effects to support adherence and uptake when indicated.</w:t>
            </w:r>
          </w:p>
          <w:p w14:paraId="25B7A195"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Correct misperceptions about side effects when raised.</w:t>
            </w:r>
          </w:p>
          <w:p w14:paraId="10BE9F22"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Explore the availability of other antivirals that have less side effects.</w:t>
            </w:r>
          </w:p>
          <w:p w14:paraId="7BEB9232"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lastRenderedPageBreak/>
              <w:t>Public health guidance should carefully consider the risk-benefit ratio of prophylactic antivirals when advised at scale to facilitate sustained uptake and adherence.</w:t>
            </w:r>
          </w:p>
        </w:tc>
      </w:tr>
      <w:tr w:rsidR="00145BE8" w14:paraId="34CF9CF6"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20C6D27C"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06859EBD" w14:textId="77777777" w:rsidR="00145BE8" w:rsidRPr="00551593" w:rsidRDefault="00145BE8" w:rsidP="0034009B">
            <w:pPr>
              <w:rPr>
                <w:rFonts w:eastAsia="Times New Roman" w:cs="Arial"/>
                <w:color w:val="000000"/>
                <w:sz w:val="20"/>
                <w:szCs w:val="20"/>
                <w:lang w:eastAsia="en-GB"/>
              </w:rPr>
            </w:pPr>
          </w:p>
        </w:tc>
        <w:tc>
          <w:tcPr>
            <w:tcW w:w="520" w:type="pct"/>
            <w:tcBorders>
              <w:right w:val="single" w:sz="4" w:space="0" w:color="auto"/>
            </w:tcBorders>
            <w:vAlign w:val="center"/>
          </w:tcPr>
          <w:p w14:paraId="4F277B45" w14:textId="77777777" w:rsidR="00145BE8" w:rsidRPr="00BC00CE" w:rsidRDefault="00145BE8" w:rsidP="0034009B">
            <w:pPr>
              <w:rPr>
                <w:rFonts w:eastAsia="Times New Roman" w:cs="Arial"/>
                <w:b/>
                <w:bCs/>
                <w:color w:val="000000"/>
                <w:sz w:val="20"/>
                <w:szCs w:val="20"/>
                <w:lang w:eastAsia="en-GB"/>
              </w:rPr>
            </w:pPr>
            <w:r w:rsidRPr="00BC00CE">
              <w:rPr>
                <w:rFonts w:eastAsia="Times New Roman" w:cs="Arial"/>
                <w:b/>
                <w:bCs/>
                <w:color w:val="000000"/>
                <w:sz w:val="20"/>
                <w:szCs w:val="20"/>
                <w:lang w:eastAsia="en-GB"/>
              </w:rPr>
              <w:t>Automatic</w:t>
            </w:r>
          </w:p>
          <w:p w14:paraId="38B0F243" w14:textId="77777777" w:rsidR="00145BE8" w:rsidRPr="00551593" w:rsidRDefault="00145BE8" w:rsidP="0034009B">
            <w:pPr>
              <w:rPr>
                <w:rFonts w:eastAsia="Times New Roman" w:cs="Arial"/>
                <w:color w:val="000000"/>
                <w:sz w:val="20"/>
                <w:szCs w:val="20"/>
                <w:lang w:eastAsia="en-GB"/>
              </w:rPr>
            </w:pPr>
            <w:r w:rsidRPr="001821C0">
              <w:rPr>
                <w:rFonts w:eastAsia="Times New Roman" w:cs="Arial"/>
                <w:color w:val="000000"/>
                <w:sz w:val="20"/>
                <w:szCs w:val="20"/>
                <w:lang w:eastAsia="en-GB"/>
              </w:rPr>
              <w:t>Emotions and impulses</w:t>
            </w:r>
          </w:p>
        </w:tc>
        <w:tc>
          <w:tcPr>
            <w:tcW w:w="1143" w:type="pct"/>
            <w:tcBorders>
              <w:right w:val="single" w:sz="4" w:space="0" w:color="auto"/>
            </w:tcBorders>
            <w:vAlign w:val="center"/>
          </w:tcPr>
          <w:p w14:paraId="774AD944"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Exhausting outbreak management necessitates easy access</w:t>
            </w:r>
          </w:p>
        </w:tc>
        <w:tc>
          <w:tcPr>
            <w:tcW w:w="2070" w:type="pct"/>
            <w:tcBorders>
              <w:right w:val="single" w:sz="4" w:space="0" w:color="auto"/>
            </w:tcBorders>
          </w:tcPr>
          <w:p w14:paraId="0D7DF93F"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Make access to antivirals easy by providing them on-site or arranging close to home for those at highest risk</w:t>
            </w:r>
          </w:p>
        </w:tc>
      </w:tr>
      <w:tr w:rsidR="00145BE8" w14:paraId="4C219D46"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1BC55040" w14:textId="77777777" w:rsidR="00145BE8" w:rsidRPr="00551593" w:rsidRDefault="00145BE8" w:rsidP="0034009B">
            <w:pPr>
              <w:rPr>
                <w:rFonts w:eastAsia="Times New Roman" w:cs="Arial"/>
                <w:b/>
                <w:bCs/>
                <w:color w:val="000000"/>
                <w:sz w:val="20"/>
                <w:szCs w:val="20"/>
                <w:lang w:eastAsia="en-GB"/>
              </w:rPr>
            </w:pPr>
          </w:p>
        </w:tc>
        <w:tc>
          <w:tcPr>
            <w:tcW w:w="580" w:type="pct"/>
            <w:vMerge w:val="restart"/>
            <w:tcBorders>
              <w:left w:val="single" w:sz="4" w:space="0" w:color="auto"/>
            </w:tcBorders>
            <w:vAlign w:val="center"/>
          </w:tcPr>
          <w:p w14:paraId="7BA47AA4" w14:textId="77777777" w:rsidR="00145BE8" w:rsidRDefault="00145BE8" w:rsidP="0034009B">
            <w:pPr>
              <w:rPr>
                <w:rFonts w:eastAsia="Times New Roman" w:cs="Arial"/>
                <w:b/>
                <w:bCs/>
                <w:color w:val="000000"/>
                <w:sz w:val="20"/>
                <w:szCs w:val="20"/>
                <w:lang w:eastAsia="en-GB"/>
              </w:rPr>
            </w:pPr>
            <w:r w:rsidRPr="00551593">
              <w:rPr>
                <w:rFonts w:eastAsia="Times New Roman" w:cs="Arial"/>
                <w:b/>
                <w:bCs/>
                <w:color w:val="000000"/>
                <w:sz w:val="20"/>
                <w:szCs w:val="20"/>
                <w:lang w:eastAsia="en-GB"/>
              </w:rPr>
              <w:t>Opportunity</w:t>
            </w:r>
          </w:p>
          <w:p w14:paraId="7001EC26" w14:textId="77777777" w:rsidR="00145BE8" w:rsidRPr="00551593" w:rsidRDefault="00145BE8" w:rsidP="0034009B">
            <w:pPr>
              <w:rPr>
                <w:rFonts w:eastAsia="Times New Roman" w:cs="Arial"/>
                <w:color w:val="000000"/>
                <w:sz w:val="20"/>
                <w:szCs w:val="20"/>
                <w:lang w:eastAsia="en-GB"/>
              </w:rPr>
            </w:pPr>
            <w:r w:rsidRPr="00A864EA">
              <w:rPr>
                <w:rFonts w:eastAsia="Times New Roman" w:cs="Arial"/>
                <w:color w:val="000000"/>
                <w:sz w:val="20"/>
                <w:szCs w:val="20"/>
                <w:lang w:eastAsia="en-GB"/>
              </w:rPr>
              <w:t>Factors lying outside the individual that act as barriers or promoters of behaviour</w:t>
            </w:r>
          </w:p>
        </w:tc>
        <w:tc>
          <w:tcPr>
            <w:tcW w:w="520" w:type="pct"/>
            <w:tcBorders>
              <w:right w:val="single" w:sz="4" w:space="0" w:color="auto"/>
            </w:tcBorders>
            <w:vAlign w:val="center"/>
          </w:tcPr>
          <w:p w14:paraId="14CD5057" w14:textId="77777777" w:rsidR="00145BE8" w:rsidRPr="00BC00CE" w:rsidRDefault="00145BE8" w:rsidP="0034009B">
            <w:pPr>
              <w:rPr>
                <w:rFonts w:eastAsia="Times New Roman" w:cs="Arial"/>
                <w:b/>
                <w:bCs/>
                <w:color w:val="000000"/>
                <w:sz w:val="20"/>
                <w:szCs w:val="20"/>
                <w:lang w:eastAsia="en-GB"/>
              </w:rPr>
            </w:pPr>
            <w:r w:rsidRPr="00BC00CE">
              <w:rPr>
                <w:rFonts w:eastAsia="Times New Roman" w:cs="Arial"/>
                <w:b/>
                <w:bCs/>
                <w:color w:val="000000"/>
                <w:sz w:val="20"/>
                <w:szCs w:val="20"/>
                <w:lang w:eastAsia="en-GB"/>
              </w:rPr>
              <w:t>Social</w:t>
            </w:r>
          </w:p>
          <w:p w14:paraId="238FC7B0" w14:textId="77777777" w:rsidR="00145BE8" w:rsidRPr="00551593" w:rsidRDefault="00145BE8" w:rsidP="0034009B">
            <w:pPr>
              <w:rPr>
                <w:rFonts w:eastAsia="Times New Roman" w:cs="Arial"/>
                <w:color w:val="000000"/>
                <w:sz w:val="20"/>
                <w:szCs w:val="20"/>
                <w:lang w:eastAsia="en-GB"/>
              </w:rPr>
            </w:pPr>
            <w:r w:rsidRPr="00EB64E9">
              <w:rPr>
                <w:rFonts w:eastAsia="Times New Roman" w:cs="Arial"/>
                <w:color w:val="000000"/>
                <w:sz w:val="20"/>
                <w:szCs w:val="20"/>
                <w:lang w:eastAsia="en-GB"/>
              </w:rPr>
              <w:t>Cultural milieu that affects what we think about things</w:t>
            </w:r>
          </w:p>
        </w:tc>
        <w:tc>
          <w:tcPr>
            <w:tcW w:w="1143" w:type="pct"/>
            <w:tcBorders>
              <w:right w:val="single" w:sz="4" w:space="0" w:color="auto"/>
            </w:tcBorders>
            <w:vAlign w:val="center"/>
          </w:tcPr>
          <w:p w14:paraId="5DEC799C"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The role of social influences unclear</w:t>
            </w:r>
          </w:p>
        </w:tc>
        <w:tc>
          <w:tcPr>
            <w:tcW w:w="2070" w:type="pct"/>
            <w:tcBorders>
              <w:right w:val="single" w:sz="4" w:space="0" w:color="auto"/>
            </w:tcBorders>
          </w:tcPr>
          <w:p w14:paraId="54024B3C" w14:textId="77777777" w:rsidR="00145BE8"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Address misperceptions by informing APHA staff, APHA contractors and leaders in the poultry industry about antivirals and how to minimise side effects.</w:t>
            </w:r>
          </w:p>
          <w:p w14:paraId="770D1668"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Identify role models who share their reasons for taking antivirals and their positive/neutral experiences.</w:t>
            </w:r>
          </w:p>
        </w:tc>
      </w:tr>
      <w:tr w:rsidR="00145BE8" w14:paraId="260897B3" w14:textId="77777777" w:rsidTr="00145BE8">
        <w:trPr>
          <w:trHeight w:val="288"/>
        </w:trPr>
        <w:tc>
          <w:tcPr>
            <w:tcW w:w="688" w:type="pct"/>
            <w:vMerge/>
            <w:tcBorders>
              <w:left w:val="single" w:sz="4" w:space="0" w:color="auto"/>
              <w:right w:val="single" w:sz="4" w:space="0" w:color="auto"/>
            </w:tcBorders>
            <w:shd w:val="clear" w:color="auto" w:fill="E7E6E6" w:themeFill="background2"/>
          </w:tcPr>
          <w:p w14:paraId="409B6C42"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tcBorders>
            <w:vAlign w:val="center"/>
          </w:tcPr>
          <w:p w14:paraId="2594F40C" w14:textId="77777777" w:rsidR="00145BE8" w:rsidRPr="00551593" w:rsidRDefault="00145BE8" w:rsidP="0034009B">
            <w:pPr>
              <w:rPr>
                <w:rFonts w:eastAsia="Times New Roman" w:cs="Arial"/>
                <w:color w:val="000000"/>
                <w:sz w:val="20"/>
                <w:szCs w:val="20"/>
                <w:lang w:eastAsia="en-GB"/>
              </w:rPr>
            </w:pPr>
          </w:p>
        </w:tc>
        <w:tc>
          <w:tcPr>
            <w:tcW w:w="520" w:type="pct"/>
            <w:vMerge w:val="restart"/>
            <w:tcBorders>
              <w:right w:val="single" w:sz="4" w:space="0" w:color="auto"/>
            </w:tcBorders>
            <w:vAlign w:val="center"/>
          </w:tcPr>
          <w:p w14:paraId="5E63428E" w14:textId="77777777" w:rsidR="00145BE8" w:rsidRDefault="00145BE8" w:rsidP="0034009B">
            <w:pPr>
              <w:rPr>
                <w:rFonts w:eastAsia="Times New Roman" w:cs="Arial"/>
                <w:b/>
                <w:bCs/>
                <w:color w:val="000000"/>
                <w:sz w:val="20"/>
                <w:szCs w:val="20"/>
                <w:lang w:eastAsia="en-GB"/>
              </w:rPr>
            </w:pPr>
            <w:r w:rsidRPr="00BC00CE">
              <w:rPr>
                <w:rFonts w:eastAsia="Times New Roman" w:cs="Arial"/>
                <w:b/>
                <w:bCs/>
                <w:color w:val="000000"/>
                <w:sz w:val="20"/>
                <w:szCs w:val="20"/>
                <w:lang w:eastAsia="en-GB"/>
              </w:rPr>
              <w:t>Physical</w:t>
            </w:r>
          </w:p>
          <w:p w14:paraId="20FD2565" w14:textId="77777777" w:rsidR="00145BE8" w:rsidRPr="00551593" w:rsidRDefault="00145BE8" w:rsidP="0034009B">
            <w:pPr>
              <w:rPr>
                <w:rFonts w:eastAsia="Times New Roman" w:cs="Arial"/>
                <w:color w:val="000000"/>
                <w:sz w:val="20"/>
                <w:szCs w:val="20"/>
                <w:lang w:eastAsia="en-GB"/>
              </w:rPr>
            </w:pPr>
            <w:r w:rsidRPr="001821C0">
              <w:rPr>
                <w:rFonts w:eastAsia="Times New Roman" w:cs="Arial"/>
                <w:color w:val="000000"/>
                <w:sz w:val="20"/>
                <w:szCs w:val="20"/>
                <w:lang w:eastAsia="en-GB"/>
              </w:rPr>
              <w:t>Physical opportunity in the environment</w:t>
            </w:r>
          </w:p>
        </w:tc>
        <w:tc>
          <w:tcPr>
            <w:tcW w:w="1143" w:type="pct"/>
            <w:tcBorders>
              <w:right w:val="single" w:sz="4" w:space="0" w:color="auto"/>
            </w:tcBorders>
            <w:vAlign w:val="center"/>
          </w:tcPr>
          <w:p w14:paraId="2A904512"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The importance of easy access (on-site, community pharmacy)</w:t>
            </w:r>
          </w:p>
        </w:tc>
        <w:tc>
          <w:tcPr>
            <w:tcW w:w="2070" w:type="pct"/>
            <w:tcBorders>
              <w:right w:val="single" w:sz="4" w:space="0" w:color="auto"/>
            </w:tcBorders>
          </w:tcPr>
          <w:p w14:paraId="7BB691E9"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Make access to antivirals easy by providing them on-site or arranging close to home for those at highest risk</w:t>
            </w:r>
          </w:p>
        </w:tc>
      </w:tr>
      <w:tr w:rsidR="00145BE8" w14:paraId="0003EF0A" w14:textId="77777777" w:rsidTr="00145BE8">
        <w:trPr>
          <w:trHeight w:val="288"/>
        </w:trPr>
        <w:tc>
          <w:tcPr>
            <w:tcW w:w="688" w:type="pct"/>
            <w:vMerge/>
            <w:tcBorders>
              <w:left w:val="single" w:sz="4" w:space="0" w:color="auto"/>
              <w:bottom w:val="single" w:sz="4" w:space="0" w:color="auto"/>
              <w:right w:val="single" w:sz="4" w:space="0" w:color="auto"/>
            </w:tcBorders>
            <w:shd w:val="clear" w:color="auto" w:fill="E7E6E6" w:themeFill="background2"/>
            <w:vAlign w:val="center"/>
          </w:tcPr>
          <w:p w14:paraId="32B071D7" w14:textId="77777777" w:rsidR="00145BE8" w:rsidRPr="00551593" w:rsidRDefault="00145BE8" w:rsidP="0034009B">
            <w:pPr>
              <w:rPr>
                <w:rFonts w:eastAsia="Times New Roman" w:cs="Arial"/>
                <w:color w:val="000000"/>
                <w:sz w:val="20"/>
                <w:szCs w:val="20"/>
                <w:lang w:eastAsia="en-GB"/>
              </w:rPr>
            </w:pPr>
          </w:p>
        </w:tc>
        <w:tc>
          <w:tcPr>
            <w:tcW w:w="580" w:type="pct"/>
            <w:vMerge/>
            <w:tcBorders>
              <w:left w:val="single" w:sz="4" w:space="0" w:color="auto"/>
              <w:bottom w:val="single" w:sz="4" w:space="0" w:color="auto"/>
            </w:tcBorders>
            <w:vAlign w:val="center"/>
          </w:tcPr>
          <w:p w14:paraId="360C0758" w14:textId="77777777" w:rsidR="00145BE8" w:rsidRPr="00551593" w:rsidRDefault="00145BE8" w:rsidP="0034009B">
            <w:pPr>
              <w:rPr>
                <w:rFonts w:eastAsia="Times New Roman" w:cs="Arial"/>
                <w:color w:val="000000"/>
                <w:sz w:val="20"/>
                <w:szCs w:val="20"/>
                <w:lang w:eastAsia="en-GB"/>
              </w:rPr>
            </w:pPr>
          </w:p>
        </w:tc>
        <w:tc>
          <w:tcPr>
            <w:tcW w:w="520" w:type="pct"/>
            <w:vMerge/>
            <w:tcBorders>
              <w:bottom w:val="single" w:sz="4" w:space="0" w:color="auto"/>
              <w:right w:val="single" w:sz="4" w:space="0" w:color="auto"/>
            </w:tcBorders>
            <w:vAlign w:val="center"/>
          </w:tcPr>
          <w:p w14:paraId="06828454" w14:textId="77777777" w:rsidR="00145BE8" w:rsidRPr="00551593" w:rsidRDefault="00145BE8" w:rsidP="0034009B">
            <w:pPr>
              <w:rPr>
                <w:rFonts w:eastAsia="Times New Roman" w:cs="Arial"/>
                <w:color w:val="000000"/>
                <w:sz w:val="20"/>
                <w:szCs w:val="20"/>
                <w:lang w:eastAsia="en-GB"/>
              </w:rPr>
            </w:pPr>
          </w:p>
        </w:tc>
        <w:tc>
          <w:tcPr>
            <w:tcW w:w="1143" w:type="pct"/>
            <w:tcBorders>
              <w:bottom w:val="single" w:sz="4" w:space="0" w:color="auto"/>
              <w:right w:val="single" w:sz="4" w:space="0" w:color="auto"/>
            </w:tcBorders>
            <w:vAlign w:val="center"/>
          </w:tcPr>
          <w:p w14:paraId="581B3752" w14:textId="77777777" w:rsidR="00145BE8" w:rsidRDefault="00145BE8" w:rsidP="0034009B">
            <w:pPr>
              <w:rPr>
                <w:rFonts w:eastAsia="Times New Roman" w:cs="Arial"/>
                <w:color w:val="000000"/>
                <w:sz w:val="20"/>
                <w:szCs w:val="20"/>
                <w:lang w:eastAsia="en-GB"/>
              </w:rPr>
            </w:pPr>
            <w:r w:rsidRPr="00551593">
              <w:rPr>
                <w:rFonts w:eastAsia="Times New Roman" w:cs="Arial"/>
                <w:color w:val="000000"/>
                <w:sz w:val="20"/>
                <w:szCs w:val="20"/>
                <w:lang w:eastAsia="en-GB"/>
              </w:rPr>
              <w:t>Contraindications</w:t>
            </w:r>
          </w:p>
        </w:tc>
        <w:tc>
          <w:tcPr>
            <w:tcW w:w="2070" w:type="pct"/>
            <w:tcBorders>
              <w:bottom w:val="single" w:sz="4" w:space="0" w:color="auto"/>
              <w:right w:val="single" w:sz="4" w:space="0" w:color="auto"/>
            </w:tcBorders>
          </w:tcPr>
          <w:p w14:paraId="27263675"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N/A</w:t>
            </w:r>
          </w:p>
        </w:tc>
      </w:tr>
      <w:tr w:rsidR="00145BE8" w14:paraId="247F62DE" w14:textId="77777777" w:rsidTr="00145BE8">
        <w:trPr>
          <w:trHeight w:val="288"/>
        </w:trPr>
        <w:tc>
          <w:tcPr>
            <w:tcW w:w="688" w:type="pct"/>
            <w:vMerge w:val="restart"/>
            <w:tcBorders>
              <w:left w:val="single" w:sz="4" w:space="0" w:color="auto"/>
              <w:right w:val="single" w:sz="4" w:space="0" w:color="auto"/>
            </w:tcBorders>
            <w:shd w:val="clear" w:color="auto" w:fill="E7E6E6" w:themeFill="background2"/>
            <w:vAlign w:val="center"/>
          </w:tcPr>
          <w:p w14:paraId="31F5FF84" w14:textId="77777777" w:rsidR="00145BE8" w:rsidRPr="00551593" w:rsidRDefault="00145BE8" w:rsidP="0034009B">
            <w:pPr>
              <w:rPr>
                <w:rFonts w:eastAsia="Times New Roman" w:cs="Arial"/>
                <w:color w:val="000000"/>
                <w:sz w:val="20"/>
                <w:szCs w:val="20"/>
                <w:lang w:eastAsia="en-GB"/>
              </w:rPr>
            </w:pPr>
            <w:r w:rsidRPr="00551593">
              <w:rPr>
                <w:rFonts w:eastAsia="Times New Roman" w:cs="Arial"/>
                <w:b/>
                <w:bCs/>
                <w:color w:val="000000"/>
                <w:sz w:val="20"/>
                <w:szCs w:val="20"/>
                <w:lang w:eastAsia="en-GB"/>
              </w:rPr>
              <w:t>Non-adherence with antivirals</w:t>
            </w:r>
          </w:p>
        </w:tc>
        <w:tc>
          <w:tcPr>
            <w:tcW w:w="580" w:type="pct"/>
            <w:tcBorders>
              <w:left w:val="single" w:sz="4" w:space="0" w:color="auto"/>
              <w:bottom w:val="single" w:sz="4" w:space="0" w:color="auto"/>
            </w:tcBorders>
            <w:vAlign w:val="center"/>
          </w:tcPr>
          <w:p w14:paraId="45583D3A" w14:textId="77777777" w:rsidR="00145BE8" w:rsidRPr="00551593" w:rsidRDefault="00145BE8" w:rsidP="0034009B">
            <w:pPr>
              <w:rPr>
                <w:rFonts w:eastAsia="Times New Roman" w:cs="Arial"/>
                <w:color w:val="000000"/>
                <w:sz w:val="20"/>
                <w:szCs w:val="20"/>
                <w:lang w:eastAsia="en-GB"/>
              </w:rPr>
            </w:pPr>
            <w:r w:rsidRPr="00551593">
              <w:rPr>
                <w:rFonts w:eastAsia="Times New Roman" w:cs="Arial"/>
                <w:b/>
                <w:bCs/>
                <w:color w:val="000000"/>
                <w:sz w:val="20"/>
                <w:szCs w:val="20"/>
                <w:lang w:eastAsia="en-GB"/>
              </w:rPr>
              <w:t>Motivation</w:t>
            </w:r>
            <w:r w:rsidRPr="00A864EA">
              <w:rPr>
                <w:rFonts w:eastAsia="Times New Roman" w:cs="Arial"/>
                <w:color w:val="000000"/>
                <w:sz w:val="20"/>
                <w:szCs w:val="20"/>
                <w:lang w:eastAsia="en-GB"/>
              </w:rPr>
              <w:t xml:space="preserve"> (brain processes that energise and direct behaviour)</w:t>
            </w:r>
          </w:p>
        </w:tc>
        <w:tc>
          <w:tcPr>
            <w:tcW w:w="520" w:type="pct"/>
            <w:tcBorders>
              <w:bottom w:val="single" w:sz="4" w:space="0" w:color="auto"/>
              <w:right w:val="single" w:sz="4" w:space="0" w:color="auto"/>
            </w:tcBorders>
            <w:vAlign w:val="center"/>
          </w:tcPr>
          <w:p w14:paraId="6531AC4D" w14:textId="77777777" w:rsidR="00145BE8" w:rsidRPr="00BC00CE" w:rsidRDefault="00145BE8" w:rsidP="0034009B">
            <w:pPr>
              <w:rPr>
                <w:rFonts w:eastAsia="Times New Roman" w:cs="Arial"/>
                <w:b/>
                <w:bCs/>
                <w:color w:val="000000"/>
                <w:sz w:val="20"/>
                <w:szCs w:val="20"/>
                <w:lang w:eastAsia="en-GB"/>
              </w:rPr>
            </w:pPr>
            <w:r w:rsidRPr="00BC00CE">
              <w:rPr>
                <w:rFonts w:eastAsia="Times New Roman" w:cs="Arial"/>
                <w:b/>
                <w:bCs/>
                <w:color w:val="000000"/>
                <w:sz w:val="20"/>
                <w:szCs w:val="20"/>
                <w:lang w:eastAsia="en-GB"/>
              </w:rPr>
              <w:t>Automatic</w:t>
            </w:r>
          </w:p>
          <w:p w14:paraId="3DAC0068" w14:textId="77777777" w:rsidR="00145BE8" w:rsidRPr="00551593" w:rsidRDefault="00145BE8" w:rsidP="0034009B">
            <w:pPr>
              <w:rPr>
                <w:rFonts w:eastAsia="Times New Roman" w:cs="Arial"/>
                <w:color w:val="000000"/>
                <w:sz w:val="20"/>
                <w:szCs w:val="20"/>
                <w:lang w:eastAsia="en-GB"/>
              </w:rPr>
            </w:pPr>
            <w:r w:rsidRPr="001821C0">
              <w:rPr>
                <w:rFonts w:eastAsia="Times New Roman" w:cs="Arial"/>
                <w:color w:val="000000"/>
                <w:sz w:val="20"/>
                <w:szCs w:val="20"/>
                <w:lang w:eastAsia="en-GB"/>
              </w:rPr>
              <w:t>Emotions and impulses</w:t>
            </w:r>
          </w:p>
        </w:tc>
        <w:tc>
          <w:tcPr>
            <w:tcW w:w="1143" w:type="pct"/>
            <w:tcBorders>
              <w:bottom w:val="single" w:sz="4" w:space="0" w:color="auto"/>
              <w:right w:val="single" w:sz="4" w:space="0" w:color="auto"/>
            </w:tcBorders>
            <w:vAlign w:val="center"/>
          </w:tcPr>
          <w:p w14:paraId="0A9867FB" w14:textId="77777777" w:rsidR="00145BE8"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Side effects were the biggest barrier to adherence</w:t>
            </w:r>
          </w:p>
        </w:tc>
        <w:tc>
          <w:tcPr>
            <w:tcW w:w="2070" w:type="pct"/>
            <w:tcBorders>
              <w:bottom w:val="single" w:sz="4" w:space="0" w:color="auto"/>
              <w:right w:val="single" w:sz="4" w:space="0" w:color="auto"/>
            </w:tcBorders>
          </w:tcPr>
          <w:p w14:paraId="13D9C5A1"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sidRPr="00E8207D">
              <w:rPr>
                <w:rFonts w:eastAsia="Times New Roman" w:cs="Arial"/>
                <w:color w:val="000000"/>
                <w:sz w:val="20"/>
                <w:szCs w:val="20"/>
                <w:lang w:eastAsia="en-GB"/>
              </w:rPr>
              <w:t>Public health guidance should carefully consider the risk-benefit ratio of prophylactic antivirals when advised at scale to facilitate sustained uptake and adherence.</w:t>
            </w:r>
          </w:p>
        </w:tc>
      </w:tr>
      <w:tr w:rsidR="00145BE8" w14:paraId="105AA70C" w14:textId="77777777" w:rsidTr="00145BE8">
        <w:trPr>
          <w:trHeight w:val="288"/>
        </w:trPr>
        <w:tc>
          <w:tcPr>
            <w:tcW w:w="688" w:type="pct"/>
            <w:vMerge/>
            <w:tcBorders>
              <w:left w:val="single" w:sz="4" w:space="0" w:color="auto"/>
              <w:bottom w:val="single" w:sz="4" w:space="0" w:color="auto"/>
              <w:right w:val="single" w:sz="4" w:space="0" w:color="auto"/>
            </w:tcBorders>
            <w:shd w:val="clear" w:color="auto" w:fill="E7E6E6" w:themeFill="background2"/>
            <w:vAlign w:val="center"/>
          </w:tcPr>
          <w:p w14:paraId="4600AD06" w14:textId="77777777" w:rsidR="00145BE8" w:rsidRPr="00551593" w:rsidRDefault="00145BE8" w:rsidP="0034009B">
            <w:pPr>
              <w:rPr>
                <w:rFonts w:eastAsia="Times New Roman" w:cs="Arial"/>
                <w:color w:val="000000"/>
                <w:sz w:val="20"/>
                <w:szCs w:val="20"/>
                <w:lang w:eastAsia="en-GB"/>
              </w:rPr>
            </w:pPr>
          </w:p>
        </w:tc>
        <w:tc>
          <w:tcPr>
            <w:tcW w:w="1100" w:type="pct"/>
            <w:gridSpan w:val="2"/>
            <w:tcBorders>
              <w:left w:val="single" w:sz="4" w:space="0" w:color="auto"/>
              <w:bottom w:val="single" w:sz="4" w:space="0" w:color="auto"/>
              <w:right w:val="single" w:sz="4" w:space="0" w:color="auto"/>
            </w:tcBorders>
            <w:vAlign w:val="center"/>
          </w:tcPr>
          <w:p w14:paraId="22FA98DF" w14:textId="77777777" w:rsidR="00145BE8" w:rsidRPr="00551593" w:rsidRDefault="00145BE8" w:rsidP="0034009B">
            <w:pPr>
              <w:rPr>
                <w:rFonts w:eastAsia="Times New Roman" w:cs="Arial"/>
                <w:color w:val="000000"/>
                <w:sz w:val="20"/>
                <w:szCs w:val="20"/>
                <w:lang w:eastAsia="en-GB"/>
              </w:rPr>
            </w:pPr>
            <w:r>
              <w:rPr>
                <w:rFonts w:eastAsia="Times New Roman" w:cs="Arial"/>
                <w:color w:val="000000"/>
                <w:sz w:val="20"/>
                <w:szCs w:val="20"/>
                <w:lang w:eastAsia="en-GB"/>
              </w:rPr>
              <w:t>Not mapped to COM-B</w:t>
            </w:r>
          </w:p>
        </w:tc>
        <w:tc>
          <w:tcPr>
            <w:tcW w:w="1143" w:type="pct"/>
            <w:tcBorders>
              <w:bottom w:val="single" w:sz="4" w:space="0" w:color="auto"/>
              <w:right w:val="single" w:sz="4" w:space="0" w:color="auto"/>
            </w:tcBorders>
            <w:vAlign w:val="center"/>
          </w:tcPr>
          <w:p w14:paraId="02C766C0" w14:textId="77777777" w:rsidR="00145BE8" w:rsidRDefault="00145BE8" w:rsidP="0034009B">
            <w:pPr>
              <w:rPr>
                <w:rFonts w:eastAsia="Times New Roman" w:cs="Arial"/>
                <w:color w:val="000000"/>
                <w:sz w:val="20"/>
                <w:szCs w:val="20"/>
                <w:lang w:eastAsia="en-GB"/>
              </w:rPr>
            </w:pPr>
            <w:r w:rsidRPr="00A864EA">
              <w:rPr>
                <w:rFonts w:eastAsia="Times New Roman" w:cs="Arial"/>
                <w:color w:val="000000"/>
                <w:sz w:val="20"/>
                <w:szCs w:val="20"/>
                <w:lang w:eastAsia="en-GB"/>
              </w:rPr>
              <w:t>Evidence of frequent non-adherence</w:t>
            </w:r>
          </w:p>
        </w:tc>
        <w:tc>
          <w:tcPr>
            <w:tcW w:w="2070" w:type="pct"/>
            <w:tcBorders>
              <w:bottom w:val="single" w:sz="4" w:space="0" w:color="auto"/>
              <w:right w:val="single" w:sz="4" w:space="0" w:color="auto"/>
            </w:tcBorders>
          </w:tcPr>
          <w:p w14:paraId="36BD8F05" w14:textId="77777777" w:rsidR="00145BE8" w:rsidRDefault="00145BE8" w:rsidP="0034009B">
            <w:pPr>
              <w:pStyle w:val="ListParagraph"/>
              <w:numPr>
                <w:ilvl w:val="0"/>
                <w:numId w:val="1"/>
              </w:numPr>
              <w:spacing w:after="160" w:line="360" w:lineRule="auto"/>
              <w:ind w:left="388"/>
              <w:rPr>
                <w:rFonts w:eastAsia="Times New Roman" w:cs="Arial"/>
                <w:color w:val="000000"/>
                <w:sz w:val="20"/>
                <w:szCs w:val="20"/>
                <w:lang w:eastAsia="en-GB"/>
              </w:rPr>
            </w:pPr>
            <w:r>
              <w:rPr>
                <w:rFonts w:eastAsia="Times New Roman" w:cs="Arial"/>
                <w:color w:val="000000"/>
                <w:sz w:val="20"/>
                <w:szCs w:val="20"/>
                <w:lang w:eastAsia="en-GB"/>
              </w:rPr>
              <w:t>Inform people why finishing the prescribed course is important.</w:t>
            </w:r>
          </w:p>
          <w:p w14:paraId="2124804C" w14:textId="77777777" w:rsidR="00145BE8" w:rsidRPr="00E8207D" w:rsidRDefault="00145BE8" w:rsidP="0034009B">
            <w:pPr>
              <w:pStyle w:val="ListParagraph"/>
              <w:numPr>
                <w:ilvl w:val="0"/>
                <w:numId w:val="1"/>
              </w:numPr>
              <w:spacing w:line="360" w:lineRule="auto"/>
              <w:ind w:left="388"/>
              <w:rPr>
                <w:rFonts w:eastAsia="Times New Roman" w:cs="Arial"/>
                <w:color w:val="000000"/>
                <w:sz w:val="20"/>
                <w:szCs w:val="20"/>
                <w:lang w:eastAsia="en-GB"/>
              </w:rPr>
            </w:pPr>
            <w:r>
              <w:rPr>
                <w:rFonts w:eastAsia="Times New Roman" w:cs="Arial"/>
                <w:color w:val="000000"/>
                <w:sz w:val="20"/>
                <w:szCs w:val="20"/>
                <w:lang w:eastAsia="en-GB"/>
              </w:rPr>
              <w:t>Inform and encourage exposed individuals to return unused antivirals to the pharmacy.</w:t>
            </w:r>
          </w:p>
        </w:tc>
      </w:tr>
    </w:tbl>
    <w:p w14:paraId="330CD3D0" w14:textId="77777777" w:rsidR="00145BE8" w:rsidRDefault="00145BE8"/>
    <w:sectPr w:rsidR="00145BE8" w:rsidSect="00145BE8">
      <w:foot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30FC6" w14:textId="77777777" w:rsidR="00145BE8" w:rsidRDefault="00145BE8" w:rsidP="00145BE8">
      <w:pPr>
        <w:spacing w:after="0" w:line="240" w:lineRule="auto"/>
      </w:pPr>
      <w:r>
        <w:separator/>
      </w:r>
    </w:p>
  </w:endnote>
  <w:endnote w:type="continuationSeparator" w:id="0">
    <w:p w14:paraId="40F6197A" w14:textId="77777777" w:rsidR="00145BE8" w:rsidRDefault="00145BE8" w:rsidP="00145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00124FA3" w14:paraId="12C1A780" w14:textId="77777777" w:rsidTr="00BE6964">
      <w:trPr>
        <w:trHeight w:val="300"/>
      </w:trPr>
      <w:tc>
        <w:tcPr>
          <w:tcW w:w="3005" w:type="dxa"/>
        </w:tcPr>
        <w:p w14:paraId="3B9C1A39" w14:textId="77777777" w:rsidR="5185ECD6" w:rsidRDefault="00145BE8" w:rsidP="00BE6964">
          <w:pPr>
            <w:pStyle w:val="Header"/>
            <w:ind w:left="-115"/>
          </w:pPr>
        </w:p>
      </w:tc>
      <w:tc>
        <w:tcPr>
          <w:tcW w:w="3005" w:type="dxa"/>
        </w:tcPr>
        <w:p w14:paraId="6EA6BEDE" w14:textId="77777777" w:rsidR="5185ECD6" w:rsidRDefault="00145BE8" w:rsidP="00BE6964">
          <w:pPr>
            <w:pStyle w:val="Header"/>
            <w:jc w:val="center"/>
          </w:pPr>
        </w:p>
      </w:tc>
      <w:tc>
        <w:tcPr>
          <w:tcW w:w="3005" w:type="dxa"/>
        </w:tcPr>
        <w:p w14:paraId="0DF53367" w14:textId="77777777" w:rsidR="5185ECD6" w:rsidRDefault="00145BE8" w:rsidP="00BE6964">
          <w:pPr>
            <w:pStyle w:val="Header"/>
            <w:ind w:right="-115"/>
            <w:jc w:val="right"/>
          </w:pPr>
        </w:p>
      </w:tc>
    </w:tr>
  </w:tbl>
  <w:p w14:paraId="2A438C01" w14:textId="77777777" w:rsidR="5185ECD6" w:rsidRDefault="00145BE8" w:rsidP="00BE69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860F7" w14:textId="77777777" w:rsidR="00145BE8" w:rsidRDefault="00145BE8" w:rsidP="00145BE8">
      <w:pPr>
        <w:spacing w:after="0" w:line="240" w:lineRule="auto"/>
      </w:pPr>
      <w:r>
        <w:separator/>
      </w:r>
    </w:p>
  </w:footnote>
  <w:footnote w:type="continuationSeparator" w:id="0">
    <w:p w14:paraId="22B18AE2" w14:textId="77777777" w:rsidR="00145BE8" w:rsidRDefault="00145BE8" w:rsidP="00145B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63AFF"/>
    <w:multiLevelType w:val="hybridMultilevel"/>
    <w:tmpl w:val="ADBA3D6C"/>
    <w:lvl w:ilvl="0" w:tplc="87B6FC7C">
      <w:start w:val="1"/>
      <w:numFmt w:val="decimal"/>
      <w:lvlText w:val="%1."/>
      <w:lvlJc w:val="left"/>
      <w:pPr>
        <w:ind w:left="720" w:hanging="360"/>
      </w:pPr>
      <w:rPr>
        <w:rFonts w:hint="default"/>
      </w:rPr>
    </w:lvl>
    <w:lvl w:ilvl="1" w:tplc="AC142EFE">
      <w:start w:val="1"/>
      <w:numFmt w:val="lowerLetter"/>
      <w:lvlText w:val="%2."/>
      <w:lvlJc w:val="left"/>
      <w:pPr>
        <w:ind w:left="1440" w:hanging="360"/>
      </w:pPr>
    </w:lvl>
    <w:lvl w:ilvl="2" w:tplc="354C2D62" w:tentative="1">
      <w:start w:val="1"/>
      <w:numFmt w:val="lowerRoman"/>
      <w:lvlText w:val="%3."/>
      <w:lvlJc w:val="right"/>
      <w:pPr>
        <w:ind w:left="2160" w:hanging="180"/>
      </w:pPr>
    </w:lvl>
    <w:lvl w:ilvl="3" w:tplc="67128B0C" w:tentative="1">
      <w:start w:val="1"/>
      <w:numFmt w:val="decimal"/>
      <w:lvlText w:val="%4."/>
      <w:lvlJc w:val="left"/>
      <w:pPr>
        <w:ind w:left="2880" w:hanging="360"/>
      </w:pPr>
    </w:lvl>
    <w:lvl w:ilvl="4" w:tplc="E32A3DE0" w:tentative="1">
      <w:start w:val="1"/>
      <w:numFmt w:val="lowerLetter"/>
      <w:lvlText w:val="%5."/>
      <w:lvlJc w:val="left"/>
      <w:pPr>
        <w:ind w:left="3600" w:hanging="360"/>
      </w:pPr>
    </w:lvl>
    <w:lvl w:ilvl="5" w:tplc="208C00F0" w:tentative="1">
      <w:start w:val="1"/>
      <w:numFmt w:val="lowerRoman"/>
      <w:lvlText w:val="%6."/>
      <w:lvlJc w:val="right"/>
      <w:pPr>
        <w:ind w:left="4320" w:hanging="180"/>
      </w:pPr>
    </w:lvl>
    <w:lvl w:ilvl="6" w:tplc="78CEE2C6" w:tentative="1">
      <w:start w:val="1"/>
      <w:numFmt w:val="decimal"/>
      <w:lvlText w:val="%7."/>
      <w:lvlJc w:val="left"/>
      <w:pPr>
        <w:ind w:left="5040" w:hanging="360"/>
      </w:pPr>
    </w:lvl>
    <w:lvl w:ilvl="7" w:tplc="56A2EDA4" w:tentative="1">
      <w:start w:val="1"/>
      <w:numFmt w:val="lowerLetter"/>
      <w:lvlText w:val="%8."/>
      <w:lvlJc w:val="left"/>
      <w:pPr>
        <w:ind w:left="5760" w:hanging="360"/>
      </w:pPr>
    </w:lvl>
    <w:lvl w:ilvl="8" w:tplc="2DDA6D40" w:tentative="1">
      <w:start w:val="1"/>
      <w:numFmt w:val="lowerRoman"/>
      <w:lvlText w:val="%9."/>
      <w:lvlJc w:val="right"/>
      <w:pPr>
        <w:ind w:left="6480" w:hanging="180"/>
      </w:pPr>
    </w:lvl>
  </w:abstractNum>
  <w:abstractNum w:abstractNumId="1" w15:restartNumberingAfterBreak="0">
    <w:nsid w:val="34D63719"/>
    <w:multiLevelType w:val="hybridMultilevel"/>
    <w:tmpl w:val="C0A406C0"/>
    <w:lvl w:ilvl="0" w:tplc="C4405F3E">
      <w:start w:val="1"/>
      <w:numFmt w:val="bullet"/>
      <w:lvlText w:val=""/>
      <w:lvlJc w:val="left"/>
      <w:pPr>
        <w:ind w:left="720" w:hanging="360"/>
      </w:pPr>
      <w:rPr>
        <w:rFonts w:ascii="Symbol" w:hAnsi="Symbol" w:hint="default"/>
      </w:rPr>
    </w:lvl>
    <w:lvl w:ilvl="1" w:tplc="4974591A" w:tentative="1">
      <w:start w:val="1"/>
      <w:numFmt w:val="bullet"/>
      <w:lvlText w:val="o"/>
      <w:lvlJc w:val="left"/>
      <w:pPr>
        <w:ind w:left="1440" w:hanging="360"/>
      </w:pPr>
      <w:rPr>
        <w:rFonts w:ascii="Courier New" w:hAnsi="Courier New" w:cs="Courier New" w:hint="default"/>
      </w:rPr>
    </w:lvl>
    <w:lvl w:ilvl="2" w:tplc="A5DED254" w:tentative="1">
      <w:start w:val="1"/>
      <w:numFmt w:val="bullet"/>
      <w:lvlText w:val=""/>
      <w:lvlJc w:val="left"/>
      <w:pPr>
        <w:ind w:left="2160" w:hanging="360"/>
      </w:pPr>
      <w:rPr>
        <w:rFonts w:ascii="Wingdings" w:hAnsi="Wingdings" w:hint="default"/>
      </w:rPr>
    </w:lvl>
    <w:lvl w:ilvl="3" w:tplc="8AA099EC" w:tentative="1">
      <w:start w:val="1"/>
      <w:numFmt w:val="bullet"/>
      <w:lvlText w:val=""/>
      <w:lvlJc w:val="left"/>
      <w:pPr>
        <w:ind w:left="2880" w:hanging="360"/>
      </w:pPr>
      <w:rPr>
        <w:rFonts w:ascii="Symbol" w:hAnsi="Symbol" w:hint="default"/>
      </w:rPr>
    </w:lvl>
    <w:lvl w:ilvl="4" w:tplc="A1501EEA" w:tentative="1">
      <w:start w:val="1"/>
      <w:numFmt w:val="bullet"/>
      <w:lvlText w:val="o"/>
      <w:lvlJc w:val="left"/>
      <w:pPr>
        <w:ind w:left="3600" w:hanging="360"/>
      </w:pPr>
      <w:rPr>
        <w:rFonts w:ascii="Courier New" w:hAnsi="Courier New" w:cs="Courier New" w:hint="default"/>
      </w:rPr>
    </w:lvl>
    <w:lvl w:ilvl="5" w:tplc="3A5C2CC4" w:tentative="1">
      <w:start w:val="1"/>
      <w:numFmt w:val="bullet"/>
      <w:lvlText w:val=""/>
      <w:lvlJc w:val="left"/>
      <w:pPr>
        <w:ind w:left="4320" w:hanging="360"/>
      </w:pPr>
      <w:rPr>
        <w:rFonts w:ascii="Wingdings" w:hAnsi="Wingdings" w:hint="default"/>
      </w:rPr>
    </w:lvl>
    <w:lvl w:ilvl="6" w:tplc="E4AE9F14" w:tentative="1">
      <w:start w:val="1"/>
      <w:numFmt w:val="bullet"/>
      <w:lvlText w:val=""/>
      <w:lvlJc w:val="left"/>
      <w:pPr>
        <w:ind w:left="5040" w:hanging="360"/>
      </w:pPr>
      <w:rPr>
        <w:rFonts w:ascii="Symbol" w:hAnsi="Symbol" w:hint="default"/>
      </w:rPr>
    </w:lvl>
    <w:lvl w:ilvl="7" w:tplc="44D4CACC" w:tentative="1">
      <w:start w:val="1"/>
      <w:numFmt w:val="bullet"/>
      <w:lvlText w:val="o"/>
      <w:lvlJc w:val="left"/>
      <w:pPr>
        <w:ind w:left="5760" w:hanging="360"/>
      </w:pPr>
      <w:rPr>
        <w:rFonts w:ascii="Courier New" w:hAnsi="Courier New" w:cs="Courier New" w:hint="default"/>
      </w:rPr>
    </w:lvl>
    <w:lvl w:ilvl="8" w:tplc="97728C7A" w:tentative="1">
      <w:start w:val="1"/>
      <w:numFmt w:val="bullet"/>
      <w:lvlText w:val=""/>
      <w:lvlJc w:val="left"/>
      <w:pPr>
        <w:ind w:left="6480" w:hanging="360"/>
      </w:pPr>
      <w:rPr>
        <w:rFonts w:ascii="Wingdings" w:hAnsi="Wingdings" w:hint="default"/>
      </w:rPr>
    </w:lvl>
  </w:abstractNum>
  <w:abstractNum w:abstractNumId="2" w15:restartNumberingAfterBreak="0">
    <w:nsid w:val="784F2F0C"/>
    <w:multiLevelType w:val="hybridMultilevel"/>
    <w:tmpl w:val="2A4C13E0"/>
    <w:lvl w:ilvl="0" w:tplc="F9B2AE1A">
      <w:start w:val="1"/>
      <w:numFmt w:val="bullet"/>
      <w:lvlText w:val=""/>
      <w:lvlJc w:val="left"/>
      <w:pPr>
        <w:ind w:left="720" w:hanging="360"/>
      </w:pPr>
      <w:rPr>
        <w:rFonts w:ascii="Symbol" w:hAnsi="Symbol" w:hint="default"/>
      </w:rPr>
    </w:lvl>
    <w:lvl w:ilvl="1" w:tplc="99B8BF02" w:tentative="1">
      <w:start w:val="1"/>
      <w:numFmt w:val="bullet"/>
      <w:lvlText w:val="o"/>
      <w:lvlJc w:val="left"/>
      <w:pPr>
        <w:ind w:left="1440" w:hanging="360"/>
      </w:pPr>
      <w:rPr>
        <w:rFonts w:ascii="Courier New" w:hAnsi="Courier New" w:cs="Courier New" w:hint="default"/>
      </w:rPr>
    </w:lvl>
    <w:lvl w:ilvl="2" w:tplc="53E27474" w:tentative="1">
      <w:start w:val="1"/>
      <w:numFmt w:val="bullet"/>
      <w:lvlText w:val=""/>
      <w:lvlJc w:val="left"/>
      <w:pPr>
        <w:ind w:left="2160" w:hanging="360"/>
      </w:pPr>
      <w:rPr>
        <w:rFonts w:ascii="Wingdings" w:hAnsi="Wingdings" w:hint="default"/>
      </w:rPr>
    </w:lvl>
    <w:lvl w:ilvl="3" w:tplc="F42842FC" w:tentative="1">
      <w:start w:val="1"/>
      <w:numFmt w:val="bullet"/>
      <w:lvlText w:val=""/>
      <w:lvlJc w:val="left"/>
      <w:pPr>
        <w:ind w:left="2880" w:hanging="360"/>
      </w:pPr>
      <w:rPr>
        <w:rFonts w:ascii="Symbol" w:hAnsi="Symbol" w:hint="default"/>
      </w:rPr>
    </w:lvl>
    <w:lvl w:ilvl="4" w:tplc="1BB0940E" w:tentative="1">
      <w:start w:val="1"/>
      <w:numFmt w:val="bullet"/>
      <w:lvlText w:val="o"/>
      <w:lvlJc w:val="left"/>
      <w:pPr>
        <w:ind w:left="3600" w:hanging="360"/>
      </w:pPr>
      <w:rPr>
        <w:rFonts w:ascii="Courier New" w:hAnsi="Courier New" w:cs="Courier New" w:hint="default"/>
      </w:rPr>
    </w:lvl>
    <w:lvl w:ilvl="5" w:tplc="52CCCD0E" w:tentative="1">
      <w:start w:val="1"/>
      <w:numFmt w:val="bullet"/>
      <w:lvlText w:val=""/>
      <w:lvlJc w:val="left"/>
      <w:pPr>
        <w:ind w:left="4320" w:hanging="360"/>
      </w:pPr>
      <w:rPr>
        <w:rFonts w:ascii="Wingdings" w:hAnsi="Wingdings" w:hint="default"/>
      </w:rPr>
    </w:lvl>
    <w:lvl w:ilvl="6" w:tplc="13C6CFFE" w:tentative="1">
      <w:start w:val="1"/>
      <w:numFmt w:val="bullet"/>
      <w:lvlText w:val=""/>
      <w:lvlJc w:val="left"/>
      <w:pPr>
        <w:ind w:left="5040" w:hanging="360"/>
      </w:pPr>
      <w:rPr>
        <w:rFonts w:ascii="Symbol" w:hAnsi="Symbol" w:hint="default"/>
      </w:rPr>
    </w:lvl>
    <w:lvl w:ilvl="7" w:tplc="C25E24EA" w:tentative="1">
      <w:start w:val="1"/>
      <w:numFmt w:val="bullet"/>
      <w:lvlText w:val="o"/>
      <w:lvlJc w:val="left"/>
      <w:pPr>
        <w:ind w:left="5760" w:hanging="360"/>
      </w:pPr>
      <w:rPr>
        <w:rFonts w:ascii="Courier New" w:hAnsi="Courier New" w:cs="Courier New" w:hint="default"/>
      </w:rPr>
    </w:lvl>
    <w:lvl w:ilvl="8" w:tplc="95569D82" w:tentative="1">
      <w:start w:val="1"/>
      <w:numFmt w:val="bullet"/>
      <w:lvlText w:val=""/>
      <w:lvlJc w:val="left"/>
      <w:pPr>
        <w:ind w:left="6480" w:hanging="360"/>
      </w:pPr>
      <w:rPr>
        <w:rFonts w:ascii="Wingdings" w:hAnsi="Wingdings" w:hint="default"/>
      </w:rPr>
    </w:lvl>
  </w:abstractNum>
  <w:num w:numId="1" w16cid:durableId="1524903631">
    <w:abstractNumId w:val="1"/>
  </w:num>
  <w:num w:numId="2" w16cid:durableId="88619047">
    <w:abstractNumId w:val="2"/>
  </w:num>
  <w:num w:numId="3" w16cid:durableId="1690984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BE8"/>
    <w:rsid w:val="00145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DC869"/>
  <w15:chartTrackingRefBased/>
  <w15:docId w15:val="{A9DED949-7F4E-4006-9B70-E45FEE8BF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BE8"/>
    <w:rPr>
      <w:rFonts w:ascii="Arial" w:hAnsi="Arial"/>
    </w:rPr>
  </w:style>
  <w:style w:type="paragraph" w:styleId="Heading2">
    <w:name w:val="heading 2"/>
    <w:basedOn w:val="Normal"/>
    <w:link w:val="Heading2Char"/>
    <w:uiPriority w:val="9"/>
    <w:qFormat/>
    <w:rsid w:val="00145BE8"/>
    <w:pPr>
      <w:spacing w:before="100" w:beforeAutospacing="1" w:after="100" w:afterAutospacing="1" w:line="240" w:lineRule="auto"/>
      <w:outlineLvl w:val="1"/>
    </w:pPr>
    <w:rPr>
      <w:rFonts w:eastAsia="Times New Roman" w:cs="Times New Roman"/>
      <w:b/>
      <w:bCs/>
      <w:color w:val="007C91"/>
      <w:sz w:val="32"/>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45BE8"/>
    <w:rPr>
      <w:rFonts w:ascii="Arial" w:eastAsia="Times New Roman" w:hAnsi="Arial" w:cs="Times New Roman"/>
      <w:b/>
      <w:bCs/>
      <w:color w:val="007C91"/>
      <w:sz w:val="32"/>
      <w:szCs w:val="36"/>
      <w:lang w:eastAsia="en-GB"/>
    </w:rPr>
  </w:style>
  <w:style w:type="paragraph" w:styleId="ListParagraph">
    <w:name w:val="List Paragraph"/>
    <w:basedOn w:val="Normal"/>
    <w:uiPriority w:val="34"/>
    <w:qFormat/>
    <w:rsid w:val="00145BE8"/>
    <w:pPr>
      <w:ind w:left="720"/>
      <w:contextualSpacing/>
    </w:pPr>
  </w:style>
  <w:style w:type="paragraph" w:styleId="Header">
    <w:name w:val="header"/>
    <w:basedOn w:val="Normal"/>
    <w:link w:val="HeaderChar"/>
    <w:uiPriority w:val="99"/>
    <w:unhideWhenUsed/>
    <w:rsid w:val="00145BE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5BE8"/>
    <w:rPr>
      <w:rFonts w:ascii="Arial" w:hAnsi="Arial"/>
    </w:rPr>
  </w:style>
  <w:style w:type="paragraph" w:styleId="Footer">
    <w:name w:val="footer"/>
    <w:basedOn w:val="Normal"/>
    <w:link w:val="FooterChar"/>
    <w:uiPriority w:val="99"/>
    <w:unhideWhenUsed/>
    <w:rsid w:val="00145B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5BE8"/>
    <w:rPr>
      <w:rFonts w:ascii="Arial" w:hAnsi="Arial"/>
    </w:rPr>
  </w:style>
  <w:style w:type="paragraph" w:customStyle="1" w:styleId="paragraph">
    <w:name w:val="paragraph"/>
    <w:basedOn w:val="Normal"/>
    <w:rsid w:val="00145BE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45BE8"/>
  </w:style>
  <w:style w:type="table" w:styleId="TableGridLight">
    <w:name w:val="Grid Table Light"/>
    <w:basedOn w:val="TableNormal"/>
    <w:uiPriority w:val="40"/>
    <w:rsid w:val="00145BE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145B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773</Words>
  <Characters>4409</Characters>
  <Application>Microsoft Office Word</Application>
  <DocSecurity>0</DocSecurity>
  <Lines>36</Lines>
  <Paragraphs>10</Paragraphs>
  <ScaleCrop>false</ScaleCrop>
  <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Riinu Pae</dc:creator>
  <cp:keywords/>
  <dc:description/>
  <cp:lastModifiedBy>Riinu Pae</cp:lastModifiedBy>
  <cp:revision>1</cp:revision>
  <dcterms:created xsi:type="dcterms:W3CDTF">2024-01-11T09:31:00Z</dcterms:created>
  <dcterms:modified xsi:type="dcterms:W3CDTF">2024-01-11T09:33:00Z</dcterms:modified>
</cp:coreProperties>
</file>