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3A1F5" w14:textId="6ED368BC" w:rsidR="0086719A" w:rsidRDefault="007A0486" w:rsidP="00392505">
      <w:pPr>
        <w:spacing w:after="200" w:line="480" w:lineRule="auto"/>
        <w:jc w:val="both"/>
        <w:rPr>
          <w:rFonts w:ascii="Times New Roman" w:eastAsia="Calibri" w:hAnsi="Times New Roman" w:cs="Times New Roman"/>
          <w:b/>
          <w:sz w:val="36"/>
          <w:szCs w:val="36"/>
          <w:lang w:val="en-US"/>
        </w:rPr>
      </w:pPr>
      <w:r w:rsidRPr="0040049C">
        <w:rPr>
          <w:rFonts w:ascii="Times New Roman" w:eastAsia="Calibri" w:hAnsi="Times New Roman" w:cs="Times New Roman"/>
          <w:b/>
          <w:sz w:val="36"/>
          <w:szCs w:val="36"/>
          <w:lang w:val="en-US"/>
        </w:rPr>
        <w:t xml:space="preserve">Supplementary </w:t>
      </w:r>
      <w:r>
        <w:rPr>
          <w:rFonts w:ascii="Times New Roman" w:eastAsia="Calibri" w:hAnsi="Times New Roman" w:cs="Times New Roman"/>
          <w:b/>
          <w:sz w:val="36"/>
          <w:szCs w:val="36"/>
          <w:lang w:val="en-US"/>
        </w:rPr>
        <w:t>Material</w:t>
      </w:r>
    </w:p>
    <w:p w14:paraId="01875A9D" w14:textId="1215ED4F" w:rsidR="00121FD7" w:rsidRDefault="00121FD7" w:rsidP="00392505">
      <w:pPr>
        <w:spacing w:after="200" w:line="480" w:lineRule="auto"/>
        <w:jc w:val="both"/>
        <w:rPr>
          <w:rFonts w:ascii="Times New Roman" w:eastAsia="Calibri" w:hAnsi="Times New Roman" w:cs="Times New Roman"/>
          <w:b/>
          <w:sz w:val="32"/>
          <w:szCs w:val="32"/>
          <w:lang w:val="en-US"/>
        </w:rPr>
      </w:pPr>
      <w:r w:rsidRPr="00921949">
        <w:rPr>
          <w:rFonts w:ascii="Times New Roman" w:eastAsia="Calibri" w:hAnsi="Times New Roman" w:cs="Times New Roman"/>
          <w:b/>
          <w:sz w:val="32"/>
          <w:szCs w:val="32"/>
          <w:lang w:val="en-US"/>
        </w:rPr>
        <w:t>Supplementary methods</w:t>
      </w:r>
    </w:p>
    <w:p w14:paraId="5F93CEF3" w14:textId="4E31FD05" w:rsidR="00121FD7" w:rsidRPr="00921949" w:rsidRDefault="00121FD7" w:rsidP="00392505">
      <w:pPr>
        <w:spacing w:after="200" w:line="480" w:lineRule="auto"/>
        <w:jc w:val="both"/>
        <w:rPr>
          <w:rFonts w:ascii="Times New Roman" w:eastAsia="Calibri" w:hAnsi="Times New Roman" w:cs="Times New Roman"/>
          <w:b/>
          <w:sz w:val="28"/>
          <w:szCs w:val="28"/>
          <w:lang w:val="en-US"/>
        </w:rPr>
      </w:pPr>
      <w:r w:rsidRPr="00921949">
        <w:rPr>
          <w:rFonts w:ascii="Times New Roman" w:eastAsia="Calibri" w:hAnsi="Times New Roman" w:cs="Times New Roman"/>
          <w:b/>
          <w:sz w:val="28"/>
          <w:szCs w:val="28"/>
          <w:lang w:val="en-US"/>
        </w:rPr>
        <w:t>MTG labelling of EVs</w:t>
      </w:r>
    </w:p>
    <w:p w14:paraId="296274DD" w14:textId="123FFFE9" w:rsidR="00121FD7" w:rsidRPr="0086719A" w:rsidRDefault="004854BE" w:rsidP="00392505">
      <w:pPr>
        <w:spacing w:after="200" w:line="480" w:lineRule="auto"/>
        <w:jc w:val="both"/>
        <w:rPr>
          <w:rFonts w:ascii="Times New Roman" w:eastAsia="Calibri" w:hAnsi="Times New Roman" w:cs="Times New Roman"/>
          <w:b/>
          <w:sz w:val="24"/>
          <w:szCs w:val="24"/>
          <w:lang w:val="en-US"/>
        </w:rPr>
      </w:pPr>
      <w:r>
        <w:rPr>
          <w:rFonts w:ascii="Times New Roman" w:eastAsia="Calibri" w:hAnsi="Times New Roman" w:cs="Times New Roman"/>
          <w:sz w:val="24"/>
          <w:lang w:val="en-US"/>
        </w:rPr>
        <w:t>To identify EV population at flow cytometry,</w:t>
      </w:r>
      <w:r w:rsidRPr="006F552B">
        <w:rPr>
          <w:rFonts w:ascii="Times New Roman" w:eastAsia="Calibri" w:hAnsi="Times New Roman" w:cs="Times New Roman"/>
          <w:sz w:val="24"/>
          <w:lang w:val="en-US"/>
        </w:rPr>
        <w:t xml:space="preserve"> </w:t>
      </w:r>
      <w:r w:rsidR="00086463" w:rsidRPr="006F552B">
        <w:rPr>
          <w:rFonts w:ascii="Times New Roman" w:eastAsia="Calibri" w:hAnsi="Times New Roman" w:cs="Times New Roman"/>
          <w:sz w:val="24"/>
          <w:lang w:val="en-US"/>
        </w:rPr>
        <w:t xml:space="preserve">SEC-purified plasma EVs or </w:t>
      </w:r>
      <w:r w:rsidR="00086463">
        <w:rPr>
          <w:rFonts w:ascii="Times New Roman" w:eastAsia="Calibri" w:hAnsi="Times New Roman" w:cs="Times New Roman"/>
          <w:sz w:val="24"/>
          <w:lang w:val="en-US"/>
        </w:rPr>
        <w:t>PPP</w:t>
      </w:r>
      <w:r w:rsidR="00811321">
        <w:rPr>
          <w:rFonts w:ascii="Times New Roman" w:eastAsia="Calibri" w:hAnsi="Times New Roman" w:cs="Times New Roman"/>
          <w:sz w:val="24"/>
          <w:lang w:val="en-US"/>
        </w:rPr>
        <w:t xml:space="preserve"> containing EVs</w:t>
      </w:r>
      <w:r w:rsidR="00086463" w:rsidRPr="006F552B">
        <w:rPr>
          <w:rFonts w:ascii="Times New Roman" w:eastAsia="Calibri" w:hAnsi="Times New Roman" w:cs="Times New Roman"/>
          <w:sz w:val="24"/>
          <w:lang w:val="en-US"/>
        </w:rPr>
        <w:t xml:space="preserve"> </w:t>
      </w:r>
      <w:proofErr w:type="gramStart"/>
      <w:r w:rsidR="00086463" w:rsidRPr="006F552B">
        <w:rPr>
          <w:rFonts w:ascii="Times New Roman" w:eastAsia="Calibri" w:hAnsi="Times New Roman" w:cs="Times New Roman"/>
          <w:sz w:val="24"/>
          <w:lang w:val="en-US"/>
        </w:rPr>
        <w:t>were labeled</w:t>
      </w:r>
      <w:proofErr w:type="gramEnd"/>
      <w:r w:rsidR="00086463" w:rsidRPr="006F552B">
        <w:rPr>
          <w:rFonts w:ascii="Times New Roman" w:eastAsia="Calibri" w:hAnsi="Times New Roman" w:cs="Times New Roman"/>
          <w:sz w:val="24"/>
          <w:lang w:val="en-US"/>
        </w:rPr>
        <w:t xml:space="preserve"> with MITO Tracker Green FM (MTG) (Molecular Probes-Invitrogen) at 100 </w:t>
      </w:r>
      <w:proofErr w:type="spellStart"/>
      <w:r w:rsidR="00086463" w:rsidRPr="006F552B">
        <w:rPr>
          <w:rFonts w:ascii="Times New Roman" w:eastAsia="Calibri" w:hAnsi="Times New Roman" w:cs="Times New Roman"/>
          <w:sz w:val="24"/>
          <w:lang w:val="en-US"/>
        </w:rPr>
        <w:t>nM</w:t>
      </w:r>
      <w:proofErr w:type="spellEnd"/>
      <w:r w:rsidR="00086463" w:rsidRPr="006F552B">
        <w:rPr>
          <w:rFonts w:ascii="Times New Roman" w:eastAsia="Calibri" w:hAnsi="Times New Roman" w:cs="Times New Roman"/>
          <w:sz w:val="24"/>
          <w:lang w:val="en-US"/>
        </w:rPr>
        <w:t xml:space="preserve"> for 15 min at RT </w:t>
      </w:r>
      <w:r>
        <w:rPr>
          <w:rFonts w:ascii="Times New Roman" w:eastAsia="Calibri" w:hAnsi="Times New Roman" w:cs="Times New Roman"/>
          <w:sz w:val="24"/>
          <w:lang w:val="en-US"/>
        </w:rPr>
        <w:t xml:space="preserve">or </w:t>
      </w:r>
      <w:r w:rsidR="00121FD7" w:rsidRPr="006F552B">
        <w:rPr>
          <w:rFonts w:ascii="Times New Roman" w:eastAsia="Calibri" w:hAnsi="Times New Roman" w:cs="Times New Roman"/>
          <w:sz w:val="24"/>
          <w:lang w:val="en-US"/>
        </w:rPr>
        <w:t>PKH67 Green Fluorescent Cell Linker Kit for General Cell Membrane Labeling (Sigma-Aldr</w:t>
      </w:r>
      <w:r w:rsidR="00121FD7">
        <w:rPr>
          <w:rFonts w:ascii="Times New Roman" w:eastAsia="Calibri" w:hAnsi="Times New Roman" w:cs="Times New Roman"/>
          <w:sz w:val="24"/>
          <w:lang w:val="en-US"/>
        </w:rPr>
        <w:t>ich), according to manufacturer’s</w:t>
      </w:r>
      <w:r w:rsidR="00121FD7" w:rsidRPr="006F552B">
        <w:rPr>
          <w:rFonts w:ascii="Times New Roman" w:eastAsia="Calibri" w:hAnsi="Times New Roman" w:cs="Times New Roman"/>
          <w:sz w:val="24"/>
          <w:lang w:val="en-US"/>
        </w:rPr>
        <w:t xml:space="preserve"> instruction</w:t>
      </w:r>
      <w:r w:rsidR="00121FD7">
        <w:rPr>
          <w:rFonts w:ascii="Times New Roman" w:eastAsia="Calibri" w:hAnsi="Times New Roman" w:cs="Times New Roman"/>
          <w:sz w:val="24"/>
          <w:lang w:val="en-US"/>
        </w:rPr>
        <w:t>s</w:t>
      </w:r>
      <w:r w:rsidR="00121FD7" w:rsidRPr="006F552B">
        <w:rPr>
          <w:rFonts w:ascii="Times New Roman" w:eastAsia="Calibri" w:hAnsi="Times New Roman" w:cs="Times New Roman"/>
          <w:sz w:val="24"/>
          <w:lang w:val="en-US"/>
        </w:rPr>
        <w:t xml:space="preserve">. </w:t>
      </w:r>
    </w:p>
    <w:p w14:paraId="412A0CD7" w14:textId="77777777" w:rsidR="00121FD7" w:rsidRPr="00921949" w:rsidRDefault="00121FD7" w:rsidP="00392505">
      <w:pPr>
        <w:spacing w:after="200" w:line="480" w:lineRule="auto"/>
        <w:jc w:val="both"/>
        <w:rPr>
          <w:rFonts w:ascii="Times New Roman" w:eastAsia="Times New Roman" w:hAnsi="Times New Roman" w:cs="Times New Roman"/>
          <w:b/>
          <w:bCs/>
          <w:color w:val="000000"/>
          <w:sz w:val="28"/>
          <w:szCs w:val="28"/>
          <w:lang w:val="en-GB" w:eastAsia="it-IT"/>
        </w:rPr>
      </w:pPr>
      <w:r w:rsidRPr="00921949">
        <w:rPr>
          <w:rFonts w:ascii="Times New Roman" w:eastAsia="Times New Roman" w:hAnsi="Times New Roman" w:cs="Times New Roman"/>
          <w:b/>
          <w:bCs/>
          <w:color w:val="000000"/>
          <w:sz w:val="28"/>
          <w:szCs w:val="28"/>
          <w:lang w:val="en-GB" w:eastAsia="it-IT"/>
        </w:rPr>
        <w:t>EV treatment with thiol-blocking reagents before MTG labelling</w:t>
      </w:r>
    </w:p>
    <w:p w14:paraId="1A989E67" w14:textId="05F93492" w:rsidR="00921949" w:rsidRPr="0086719A" w:rsidRDefault="00121FD7" w:rsidP="00392505">
      <w:pPr>
        <w:spacing w:after="200" w:line="480" w:lineRule="auto"/>
        <w:jc w:val="both"/>
        <w:rPr>
          <w:rFonts w:ascii="Times New Roman" w:eastAsia="Calibri" w:hAnsi="Times New Roman" w:cs="Times New Roman"/>
          <w:sz w:val="24"/>
          <w:lang w:val="en-US"/>
        </w:rPr>
      </w:pPr>
      <w:r w:rsidRPr="00975232">
        <w:rPr>
          <w:rFonts w:ascii="Times New Roman" w:eastAsia="Calibri" w:hAnsi="Times New Roman" w:cs="Times New Roman"/>
          <w:sz w:val="24"/>
          <w:lang w:val="en-US"/>
        </w:rPr>
        <w:t>SE</w:t>
      </w:r>
      <w:r w:rsidRPr="006F552B">
        <w:rPr>
          <w:rFonts w:ascii="Times New Roman" w:eastAsia="Calibri" w:hAnsi="Times New Roman" w:cs="Times New Roman"/>
          <w:sz w:val="24"/>
          <w:lang w:val="en-US"/>
        </w:rPr>
        <w:t xml:space="preserve">C-purified plasma EVs (from two different samples) were diluted  in PBS  and treated for 30 min at 37°C with different oxidant and alkylating agents: 1mM </w:t>
      </w:r>
      <w:r w:rsidRPr="006F552B">
        <w:rPr>
          <w:rFonts w:ascii="Times New Roman" w:eastAsia="Calibri" w:hAnsi="Times New Roman" w:cs="Times New Roman"/>
          <w:sz w:val="24"/>
          <w:lang w:val="en-GB"/>
        </w:rPr>
        <w:t xml:space="preserve">6,6’-dinitro 3,3’-dithiobenzoic acid (DTNB), 1 </w:t>
      </w:r>
      <w:proofErr w:type="spellStart"/>
      <w:r w:rsidRPr="006F552B">
        <w:rPr>
          <w:rFonts w:ascii="Times New Roman" w:eastAsia="Calibri" w:hAnsi="Times New Roman" w:cs="Times New Roman"/>
          <w:sz w:val="24"/>
          <w:lang w:val="en-GB"/>
        </w:rPr>
        <w:t>mM</w:t>
      </w:r>
      <w:proofErr w:type="spellEnd"/>
      <w:r w:rsidRPr="006F552B">
        <w:rPr>
          <w:rFonts w:ascii="Times New Roman" w:eastAsia="Calibri" w:hAnsi="Times New Roman" w:cs="Times New Roman"/>
          <w:sz w:val="24"/>
          <w:lang w:val="en-GB"/>
        </w:rPr>
        <w:t xml:space="preserve"> N-</w:t>
      </w:r>
      <w:proofErr w:type="spellStart"/>
      <w:r w:rsidRPr="006F552B">
        <w:rPr>
          <w:rFonts w:ascii="Times New Roman" w:eastAsia="Calibri" w:hAnsi="Times New Roman" w:cs="Times New Roman"/>
          <w:sz w:val="24"/>
          <w:lang w:val="en-GB"/>
        </w:rPr>
        <w:t>ethylmaleimide</w:t>
      </w:r>
      <w:proofErr w:type="spellEnd"/>
      <w:r w:rsidRPr="006F552B">
        <w:rPr>
          <w:rFonts w:ascii="Times New Roman" w:eastAsia="Calibri" w:hAnsi="Times New Roman" w:cs="Times New Roman"/>
          <w:sz w:val="24"/>
          <w:lang w:val="en-GB"/>
        </w:rPr>
        <w:t xml:space="preserve"> (NEM),1 </w:t>
      </w:r>
      <w:proofErr w:type="spellStart"/>
      <w:r w:rsidRPr="006F552B">
        <w:rPr>
          <w:rFonts w:ascii="Times New Roman" w:eastAsia="Calibri" w:hAnsi="Times New Roman" w:cs="Times New Roman"/>
          <w:sz w:val="24"/>
          <w:lang w:val="en-GB"/>
        </w:rPr>
        <w:t>mM</w:t>
      </w:r>
      <w:proofErr w:type="spellEnd"/>
      <w:r w:rsidRPr="006F552B">
        <w:rPr>
          <w:rFonts w:ascii="Times New Roman" w:eastAsia="Calibri" w:hAnsi="Times New Roman" w:cs="Times New Roman"/>
          <w:sz w:val="24"/>
          <w:lang w:val="en-GB"/>
        </w:rPr>
        <w:t xml:space="preserve">  </w:t>
      </w:r>
      <w:proofErr w:type="spellStart"/>
      <w:r w:rsidRPr="006F552B">
        <w:rPr>
          <w:rFonts w:ascii="Times New Roman" w:eastAsia="Calibri" w:hAnsi="Times New Roman" w:cs="Times New Roman"/>
          <w:sz w:val="24"/>
          <w:lang w:val="en-GB"/>
        </w:rPr>
        <w:t>diamede</w:t>
      </w:r>
      <w:proofErr w:type="spellEnd"/>
      <w:r w:rsidRPr="006F552B">
        <w:rPr>
          <w:rFonts w:ascii="Times New Roman" w:eastAsia="Calibri" w:hAnsi="Times New Roman" w:cs="Times New Roman"/>
          <w:sz w:val="24"/>
          <w:lang w:val="en-GB"/>
        </w:rPr>
        <w:t xml:space="preserve"> (DIA),10 </w:t>
      </w:r>
      <w:proofErr w:type="spellStart"/>
      <w:r w:rsidRPr="006F552B">
        <w:rPr>
          <w:rFonts w:ascii="Times New Roman" w:eastAsia="Calibri" w:hAnsi="Times New Roman" w:cs="Times New Roman"/>
          <w:sz w:val="24"/>
          <w:lang w:val="en-GB"/>
        </w:rPr>
        <w:t>mM</w:t>
      </w:r>
      <w:proofErr w:type="spellEnd"/>
      <w:r w:rsidRPr="006F552B">
        <w:rPr>
          <w:rFonts w:ascii="Times New Roman" w:eastAsia="Calibri" w:hAnsi="Times New Roman" w:cs="Times New Roman"/>
          <w:sz w:val="24"/>
          <w:lang w:val="en-GB"/>
        </w:rPr>
        <w:t xml:space="preserve">  </w:t>
      </w:r>
      <w:r w:rsidRPr="006F552B">
        <w:rPr>
          <w:rFonts w:ascii="Times New Roman" w:eastAsia="Calibri" w:hAnsi="Times New Roman" w:cs="Times New Roman"/>
          <w:sz w:val="24"/>
          <w:lang w:val="en-US"/>
        </w:rPr>
        <w:t>t-butyl-</w:t>
      </w:r>
      <w:proofErr w:type="spellStart"/>
      <w:r w:rsidRPr="006F552B">
        <w:rPr>
          <w:rFonts w:ascii="Times New Roman" w:eastAsia="Calibri" w:hAnsi="Times New Roman" w:cs="Times New Roman"/>
          <w:sz w:val="24"/>
          <w:lang w:val="en-US"/>
        </w:rPr>
        <w:t>hydroperoxide</w:t>
      </w:r>
      <w:proofErr w:type="spellEnd"/>
      <w:r w:rsidRPr="006F552B">
        <w:rPr>
          <w:rFonts w:ascii="Times New Roman" w:eastAsia="Calibri" w:hAnsi="Times New Roman" w:cs="Times New Roman"/>
          <w:sz w:val="24"/>
          <w:lang w:val="en-US"/>
        </w:rPr>
        <w:t xml:space="preserve"> (t-BHP) and 10 </w:t>
      </w:r>
      <w:proofErr w:type="spellStart"/>
      <w:r w:rsidRPr="006F552B">
        <w:rPr>
          <w:rFonts w:ascii="Times New Roman" w:eastAsia="Calibri" w:hAnsi="Times New Roman" w:cs="Times New Roman"/>
          <w:sz w:val="24"/>
          <w:lang w:val="en-US"/>
        </w:rPr>
        <w:t>mM</w:t>
      </w:r>
      <w:proofErr w:type="spellEnd"/>
      <w:r w:rsidRPr="006F552B">
        <w:rPr>
          <w:rFonts w:ascii="Times New Roman" w:eastAsia="Calibri" w:hAnsi="Times New Roman" w:cs="Times New Roman"/>
          <w:sz w:val="24"/>
          <w:lang w:val="en-US"/>
        </w:rPr>
        <w:t xml:space="preserve"> Hydrogen peroxide (H</w:t>
      </w:r>
      <w:r>
        <w:rPr>
          <w:rFonts w:ascii="Times New Roman" w:eastAsia="Calibri" w:hAnsi="Times New Roman" w:cs="Times New Roman"/>
          <w:sz w:val="24"/>
          <w:lang w:val="en-US"/>
        </w:rPr>
        <w:t>P</w:t>
      </w:r>
      <w:r w:rsidRPr="006F552B">
        <w:rPr>
          <w:rFonts w:ascii="Times New Roman" w:eastAsia="Calibri" w:hAnsi="Times New Roman" w:cs="Times New Roman"/>
          <w:sz w:val="24"/>
          <w:lang w:val="en-US"/>
        </w:rPr>
        <w:t xml:space="preserve">). At the end of the treatment, EVs were </w:t>
      </w:r>
      <w:proofErr w:type="spellStart"/>
      <w:r w:rsidRPr="006F552B">
        <w:rPr>
          <w:rFonts w:ascii="Times New Roman" w:eastAsia="Calibri" w:hAnsi="Times New Roman" w:cs="Times New Roman"/>
          <w:sz w:val="24"/>
          <w:lang w:val="en-US"/>
        </w:rPr>
        <w:t>centrifugated</w:t>
      </w:r>
      <w:proofErr w:type="spellEnd"/>
      <w:r w:rsidRPr="006F552B">
        <w:rPr>
          <w:rFonts w:ascii="Times New Roman" w:eastAsia="Calibri" w:hAnsi="Times New Roman" w:cs="Times New Roman"/>
          <w:sz w:val="24"/>
          <w:lang w:val="en-US"/>
        </w:rPr>
        <w:t xml:space="preserve"> (100.000g) for 20 min, </w:t>
      </w:r>
      <w:proofErr w:type="spellStart"/>
      <w:r w:rsidRPr="006F552B">
        <w:rPr>
          <w:rFonts w:ascii="Times New Roman" w:eastAsia="Calibri" w:hAnsi="Times New Roman" w:cs="Times New Roman"/>
          <w:sz w:val="24"/>
          <w:lang w:val="en-US"/>
        </w:rPr>
        <w:t>resuspended</w:t>
      </w:r>
      <w:proofErr w:type="spellEnd"/>
      <w:r w:rsidRPr="006F552B">
        <w:rPr>
          <w:rFonts w:ascii="Times New Roman" w:eastAsia="Calibri" w:hAnsi="Times New Roman" w:cs="Times New Roman"/>
          <w:sz w:val="24"/>
          <w:lang w:val="en-US"/>
        </w:rPr>
        <w:t xml:space="preserve"> in 100 µl PBS and MTG labelled for 15 min before flow cytometry analysis. Moreover, SEC-purified plasma EVs</w:t>
      </w:r>
      <w:r>
        <w:rPr>
          <w:rFonts w:ascii="Times New Roman" w:eastAsia="Calibri" w:hAnsi="Times New Roman" w:cs="Times New Roman"/>
          <w:sz w:val="24"/>
          <w:lang w:val="en-US"/>
        </w:rPr>
        <w:t>,</w:t>
      </w:r>
      <w:r w:rsidRPr="006F552B">
        <w:rPr>
          <w:rFonts w:ascii="Times New Roman" w:eastAsia="Calibri" w:hAnsi="Times New Roman" w:cs="Times New Roman"/>
          <w:sz w:val="24"/>
          <w:lang w:val="en-US"/>
        </w:rPr>
        <w:t xml:space="preserve"> from three different samples</w:t>
      </w:r>
      <w:r>
        <w:rPr>
          <w:rFonts w:ascii="Times New Roman" w:eastAsia="Calibri" w:hAnsi="Times New Roman" w:cs="Times New Roman"/>
          <w:sz w:val="24"/>
          <w:lang w:val="en-US"/>
        </w:rPr>
        <w:t xml:space="preserve">, </w:t>
      </w:r>
      <w:proofErr w:type="gramStart"/>
      <w:r>
        <w:rPr>
          <w:rFonts w:ascii="Times New Roman" w:eastAsia="Calibri" w:hAnsi="Times New Roman" w:cs="Times New Roman"/>
          <w:sz w:val="24"/>
          <w:lang w:val="en-US"/>
        </w:rPr>
        <w:t xml:space="preserve">were treated </w:t>
      </w:r>
      <w:r w:rsidRPr="006F552B">
        <w:rPr>
          <w:rFonts w:ascii="Times New Roman" w:eastAsia="Calibri" w:hAnsi="Times New Roman" w:cs="Times New Roman"/>
          <w:sz w:val="24"/>
          <w:lang w:val="en-US"/>
        </w:rPr>
        <w:t xml:space="preserve">with 10 </w:t>
      </w:r>
      <w:proofErr w:type="spellStart"/>
      <w:r w:rsidRPr="006F552B">
        <w:rPr>
          <w:rFonts w:ascii="Times New Roman" w:eastAsia="Calibri" w:hAnsi="Times New Roman" w:cs="Times New Roman"/>
          <w:sz w:val="24"/>
          <w:lang w:val="en-US"/>
        </w:rPr>
        <w:t>mM</w:t>
      </w:r>
      <w:proofErr w:type="spellEnd"/>
      <w:r w:rsidRPr="006F552B">
        <w:rPr>
          <w:rFonts w:ascii="Times New Roman" w:eastAsia="Calibri" w:hAnsi="Times New Roman" w:cs="Times New Roman"/>
          <w:sz w:val="24"/>
          <w:lang w:val="en-US"/>
        </w:rPr>
        <w:t xml:space="preserve"> </w:t>
      </w:r>
      <w:r>
        <w:rPr>
          <w:rFonts w:ascii="Times New Roman" w:eastAsia="Calibri" w:hAnsi="Times New Roman" w:cs="Times New Roman"/>
          <w:sz w:val="24"/>
          <w:lang w:val="en-US"/>
        </w:rPr>
        <w:t xml:space="preserve">HP </w:t>
      </w:r>
      <w:r w:rsidRPr="006F552B">
        <w:rPr>
          <w:rFonts w:ascii="Times New Roman" w:eastAsia="Calibri" w:hAnsi="Times New Roman" w:cs="Times New Roman"/>
          <w:sz w:val="24"/>
          <w:lang w:val="en-US"/>
        </w:rPr>
        <w:t>for 30 min at 37°C and stained</w:t>
      </w:r>
      <w:r w:rsidR="00480978" w:rsidRPr="00480978">
        <w:rPr>
          <w:rFonts w:ascii="Times New Roman" w:eastAsia="Calibri" w:hAnsi="Times New Roman" w:cs="Times New Roman"/>
          <w:sz w:val="24"/>
          <w:lang w:val="en-US"/>
        </w:rPr>
        <w:t xml:space="preserve"> </w:t>
      </w:r>
      <w:r w:rsidR="00480978">
        <w:rPr>
          <w:rFonts w:ascii="Times New Roman" w:eastAsia="Calibri" w:hAnsi="Times New Roman" w:cs="Times New Roman"/>
          <w:sz w:val="24"/>
          <w:lang w:val="en-US"/>
        </w:rPr>
        <w:t xml:space="preserve">with </w:t>
      </w:r>
      <w:r w:rsidR="00480978" w:rsidRPr="006F552B">
        <w:rPr>
          <w:rFonts w:ascii="Times New Roman" w:eastAsia="Calibri" w:hAnsi="Times New Roman" w:cs="Times New Roman"/>
          <w:sz w:val="24"/>
          <w:lang w:val="en-US"/>
        </w:rPr>
        <w:t>MTG</w:t>
      </w:r>
      <w:r w:rsidRPr="006F552B">
        <w:rPr>
          <w:rFonts w:ascii="Times New Roman" w:eastAsia="Calibri" w:hAnsi="Times New Roman" w:cs="Times New Roman"/>
          <w:sz w:val="24"/>
          <w:lang w:val="en-US"/>
        </w:rPr>
        <w:t>.</w:t>
      </w:r>
      <w:proofErr w:type="gramEnd"/>
      <w:r w:rsidRPr="006F552B">
        <w:rPr>
          <w:rFonts w:ascii="Times New Roman" w:eastAsia="Calibri" w:hAnsi="Times New Roman" w:cs="Times New Roman"/>
          <w:sz w:val="24"/>
          <w:lang w:val="en-US"/>
        </w:rPr>
        <w:t xml:space="preserve"> </w:t>
      </w:r>
    </w:p>
    <w:p w14:paraId="526BE04E" w14:textId="77777777" w:rsidR="00121FD7" w:rsidRPr="00921949" w:rsidRDefault="00121FD7" w:rsidP="00392505">
      <w:pPr>
        <w:spacing w:after="200" w:line="480" w:lineRule="auto"/>
        <w:jc w:val="both"/>
        <w:rPr>
          <w:rFonts w:ascii="Times New Roman" w:eastAsia="Times New Roman" w:hAnsi="Times New Roman" w:cs="Times New Roman"/>
          <w:b/>
          <w:bCs/>
          <w:color w:val="000000"/>
          <w:sz w:val="28"/>
          <w:szCs w:val="28"/>
          <w:lang w:val="en-GB" w:eastAsia="it-IT"/>
        </w:rPr>
      </w:pPr>
      <w:r w:rsidRPr="00921949">
        <w:rPr>
          <w:rFonts w:ascii="Times New Roman" w:eastAsia="Calibri" w:hAnsi="Times New Roman" w:cs="Times New Roman"/>
          <w:b/>
          <w:sz w:val="28"/>
          <w:szCs w:val="28"/>
          <w:lang w:val="en-GB"/>
        </w:rPr>
        <w:t>Detergent Treatment of EVs</w:t>
      </w:r>
    </w:p>
    <w:p w14:paraId="0F88DEDD" w14:textId="2656077E" w:rsidR="00121FD7" w:rsidRDefault="00121FD7" w:rsidP="00392505">
      <w:pPr>
        <w:spacing w:after="200" w:line="480" w:lineRule="auto"/>
        <w:jc w:val="both"/>
        <w:rPr>
          <w:rFonts w:ascii="Times New Roman" w:eastAsia="Calibri" w:hAnsi="Times New Roman" w:cs="Times New Roman"/>
          <w:sz w:val="24"/>
          <w:lang w:val="en-GB"/>
        </w:rPr>
      </w:pPr>
      <w:r w:rsidRPr="006F552B">
        <w:rPr>
          <w:rFonts w:ascii="Times New Roman" w:eastAsia="Calibri" w:hAnsi="Times New Roman" w:cs="Times New Roman"/>
          <w:sz w:val="24"/>
          <w:lang w:val="en-GB"/>
        </w:rPr>
        <w:t>SEC-</w:t>
      </w:r>
      <w:r w:rsidRPr="00B8287F">
        <w:rPr>
          <w:rFonts w:ascii="Times New Roman" w:eastAsia="Calibri" w:hAnsi="Times New Roman" w:cs="Times New Roman"/>
          <w:sz w:val="24"/>
          <w:lang w:val="en-GB"/>
        </w:rPr>
        <w:t>purified EVs or</w:t>
      </w:r>
      <w:r w:rsidRPr="006F552B">
        <w:rPr>
          <w:rFonts w:ascii="Times New Roman" w:eastAsia="Calibri" w:hAnsi="Times New Roman" w:cs="Times New Roman"/>
          <w:sz w:val="24"/>
          <w:lang w:val="en-GB"/>
        </w:rPr>
        <w:t xml:space="preserve"> PPP containing </w:t>
      </w:r>
      <w:proofErr w:type="gramStart"/>
      <w:r w:rsidRPr="006F552B">
        <w:rPr>
          <w:rFonts w:ascii="Times New Roman" w:eastAsia="Calibri" w:hAnsi="Times New Roman" w:cs="Times New Roman"/>
          <w:sz w:val="24"/>
          <w:lang w:val="en-GB"/>
        </w:rPr>
        <w:t>EVs,</w:t>
      </w:r>
      <w:proofErr w:type="gramEnd"/>
      <w:r w:rsidRPr="006F552B">
        <w:rPr>
          <w:rFonts w:ascii="Times New Roman" w:eastAsia="Calibri" w:hAnsi="Times New Roman" w:cs="Times New Roman"/>
          <w:sz w:val="24"/>
          <w:lang w:val="en-GB"/>
        </w:rPr>
        <w:t xml:space="preserve"> were untreated or treated for 15 min at RT with 0.075% Triton-X100 in PBS. After detergent incubation, </w:t>
      </w:r>
      <w:r>
        <w:rPr>
          <w:rFonts w:ascii="Times New Roman" w:eastAsia="Calibri" w:hAnsi="Times New Roman" w:cs="Times New Roman"/>
          <w:sz w:val="24"/>
          <w:lang w:val="en-GB"/>
        </w:rPr>
        <w:t xml:space="preserve">MTG </w:t>
      </w:r>
      <w:proofErr w:type="gramStart"/>
      <w:r>
        <w:rPr>
          <w:rFonts w:ascii="Times New Roman" w:eastAsia="Calibri" w:hAnsi="Times New Roman" w:cs="Times New Roman"/>
          <w:sz w:val="24"/>
          <w:lang w:val="en-GB"/>
        </w:rPr>
        <w:t>was added</w:t>
      </w:r>
      <w:proofErr w:type="gramEnd"/>
      <w:r>
        <w:rPr>
          <w:rFonts w:ascii="Times New Roman" w:eastAsia="Calibri" w:hAnsi="Times New Roman" w:cs="Times New Roman"/>
          <w:sz w:val="24"/>
          <w:lang w:val="en-GB"/>
        </w:rPr>
        <w:t xml:space="preserve"> to the samples 15 min before </w:t>
      </w:r>
      <w:proofErr w:type="spellStart"/>
      <w:r w:rsidRPr="006F552B">
        <w:rPr>
          <w:rFonts w:ascii="Times New Roman" w:eastAsia="Calibri" w:hAnsi="Times New Roman" w:cs="Times New Roman"/>
          <w:sz w:val="24"/>
          <w:lang w:val="en-GB"/>
        </w:rPr>
        <w:t>cytofluorimetric</w:t>
      </w:r>
      <w:proofErr w:type="spellEnd"/>
      <w:r w:rsidRPr="006F552B">
        <w:rPr>
          <w:rFonts w:ascii="Times New Roman" w:eastAsia="Calibri" w:hAnsi="Times New Roman" w:cs="Times New Roman"/>
          <w:sz w:val="24"/>
          <w:lang w:val="en-GB"/>
        </w:rPr>
        <w:t xml:space="preserve"> analysis.</w:t>
      </w:r>
      <w:r w:rsidRPr="006F552B">
        <w:rPr>
          <w:rFonts w:ascii="Times New Roman" w:eastAsia="Calibri" w:hAnsi="Times New Roman" w:cs="Times New Roman"/>
          <w:i/>
          <w:iCs/>
          <w:sz w:val="24"/>
          <w:lang w:val="en-GB"/>
        </w:rPr>
        <w:t xml:space="preserve"> </w:t>
      </w:r>
      <w:r>
        <w:rPr>
          <w:rFonts w:ascii="Times New Roman" w:eastAsia="Calibri" w:hAnsi="Times New Roman" w:cs="Times New Roman"/>
          <w:sz w:val="24"/>
          <w:lang w:val="en-GB"/>
        </w:rPr>
        <w:t xml:space="preserve">Flow-Count </w:t>
      </w:r>
      <w:proofErr w:type="spellStart"/>
      <w:r>
        <w:rPr>
          <w:rFonts w:ascii="Times New Roman" w:eastAsia="Calibri" w:hAnsi="Times New Roman" w:cs="Times New Roman"/>
          <w:sz w:val="24"/>
          <w:lang w:val="en-GB"/>
        </w:rPr>
        <w:t>F</w:t>
      </w:r>
      <w:r w:rsidRPr="006F552B">
        <w:rPr>
          <w:rFonts w:ascii="Times New Roman" w:eastAsia="Calibri" w:hAnsi="Times New Roman" w:cs="Times New Roman"/>
          <w:sz w:val="24"/>
          <w:lang w:val="en-GB"/>
        </w:rPr>
        <w:t>luorospheres</w:t>
      </w:r>
      <w:proofErr w:type="spellEnd"/>
      <w:r w:rsidRPr="006F552B">
        <w:rPr>
          <w:rFonts w:ascii="Times New Roman" w:eastAsia="Calibri" w:hAnsi="Times New Roman" w:cs="Times New Roman"/>
          <w:sz w:val="24"/>
          <w:lang w:val="en-GB"/>
        </w:rPr>
        <w:t xml:space="preserve"> (Beckman Coulter</w:t>
      </w:r>
      <w:r>
        <w:rPr>
          <w:rFonts w:ascii="Times New Roman" w:eastAsia="Calibri" w:hAnsi="Times New Roman" w:cs="Times New Roman"/>
          <w:sz w:val="24"/>
          <w:lang w:val="en-GB"/>
        </w:rPr>
        <w:t>,</w:t>
      </w:r>
      <w:r w:rsidRPr="00781D6A">
        <w:rPr>
          <w:rFonts w:ascii="Times New Roman" w:eastAsia="Calibri" w:hAnsi="Times New Roman" w:cs="Times New Roman"/>
          <w:sz w:val="24"/>
          <w:lang w:val="en-GB"/>
        </w:rPr>
        <w:t xml:space="preserve"> </w:t>
      </w:r>
      <w:proofErr w:type="spellStart"/>
      <w:r w:rsidRPr="006F552B">
        <w:rPr>
          <w:rFonts w:ascii="Times New Roman" w:eastAsia="Calibri" w:hAnsi="Times New Roman" w:cs="Times New Roman"/>
          <w:sz w:val="24"/>
          <w:lang w:val="en-GB"/>
        </w:rPr>
        <w:t>California</w:t>
      </w:r>
      <w:proofErr w:type="gramStart"/>
      <w:r w:rsidRPr="006F552B">
        <w:rPr>
          <w:rFonts w:ascii="Times New Roman" w:eastAsia="Calibri" w:hAnsi="Times New Roman" w:cs="Times New Roman"/>
          <w:sz w:val="24"/>
          <w:lang w:val="en-GB"/>
        </w:rPr>
        <w:t>,USA</w:t>
      </w:r>
      <w:proofErr w:type="spellEnd"/>
      <w:proofErr w:type="gramEnd"/>
      <w:r w:rsidRPr="006F552B">
        <w:rPr>
          <w:rFonts w:ascii="Times New Roman" w:eastAsia="Calibri" w:hAnsi="Times New Roman" w:cs="Times New Roman"/>
          <w:sz w:val="24"/>
          <w:lang w:val="en-GB"/>
        </w:rPr>
        <w:t>) were used to determine the exact event number</w:t>
      </w:r>
      <w:r w:rsidR="006320C2">
        <w:rPr>
          <w:rFonts w:ascii="Times New Roman" w:eastAsia="Calibri" w:hAnsi="Times New Roman" w:cs="Times New Roman"/>
          <w:sz w:val="24"/>
          <w:lang w:val="en-GB"/>
        </w:rPr>
        <w:t xml:space="preserve"> in EV gate</w:t>
      </w:r>
      <w:r w:rsidRPr="006F552B">
        <w:rPr>
          <w:rFonts w:ascii="Times New Roman" w:eastAsia="Calibri" w:hAnsi="Times New Roman" w:cs="Times New Roman"/>
          <w:sz w:val="24"/>
          <w:lang w:val="en-GB"/>
        </w:rPr>
        <w:t xml:space="preserve">. </w:t>
      </w:r>
    </w:p>
    <w:p w14:paraId="4D6A2CC3" w14:textId="77777777" w:rsidR="005C7866" w:rsidRDefault="005C7866" w:rsidP="00392505">
      <w:pPr>
        <w:spacing w:after="200" w:line="480" w:lineRule="auto"/>
        <w:jc w:val="both"/>
        <w:rPr>
          <w:rFonts w:ascii="Times New Roman" w:eastAsia="Calibri" w:hAnsi="Times New Roman" w:cs="Times New Roman"/>
          <w:sz w:val="24"/>
          <w:lang w:val="en-GB"/>
        </w:rPr>
      </w:pPr>
    </w:p>
    <w:p w14:paraId="50699D15" w14:textId="77777777" w:rsidR="004A759C" w:rsidRPr="009208F6" w:rsidRDefault="004A759C" w:rsidP="00392505">
      <w:pPr>
        <w:spacing w:after="200" w:line="480" w:lineRule="auto"/>
        <w:jc w:val="both"/>
        <w:rPr>
          <w:rFonts w:ascii="Times New Roman" w:eastAsia="Calibri" w:hAnsi="Times New Roman" w:cs="Times New Roman"/>
          <w:b/>
          <w:sz w:val="28"/>
          <w:szCs w:val="28"/>
          <w:lang w:val="en-US"/>
        </w:rPr>
      </w:pPr>
      <w:r w:rsidRPr="009208F6">
        <w:rPr>
          <w:rFonts w:ascii="Times New Roman" w:eastAsia="Calibri" w:hAnsi="Times New Roman" w:cs="Times New Roman"/>
          <w:b/>
          <w:sz w:val="28"/>
          <w:szCs w:val="28"/>
          <w:lang w:val="en-US"/>
        </w:rPr>
        <w:lastRenderedPageBreak/>
        <w:t>EAAT2 detection on EVs isolated from U251 and K562 cell line supernatants</w:t>
      </w:r>
    </w:p>
    <w:p w14:paraId="11804FC8" w14:textId="29784564" w:rsidR="00921949" w:rsidRPr="0086719A" w:rsidRDefault="004A759C" w:rsidP="00392505">
      <w:pPr>
        <w:spacing w:after="200" w:line="480" w:lineRule="auto"/>
        <w:jc w:val="both"/>
        <w:rPr>
          <w:rFonts w:ascii="Times New Roman" w:eastAsia="Calibri" w:hAnsi="Times New Roman" w:cs="Times New Roman"/>
          <w:sz w:val="24"/>
          <w:szCs w:val="24"/>
          <w:lang w:val="en-US"/>
        </w:rPr>
      </w:pPr>
      <w:r w:rsidRPr="009208F6">
        <w:rPr>
          <w:rFonts w:ascii="Times New Roman" w:eastAsia="Calibri" w:hAnsi="Times New Roman" w:cs="Times New Roman"/>
          <w:sz w:val="24"/>
          <w:szCs w:val="24"/>
          <w:lang w:val="en-US"/>
        </w:rPr>
        <w:t>The U251 and K562 cell line</w:t>
      </w:r>
      <w:r w:rsidR="00043252">
        <w:rPr>
          <w:rFonts w:ascii="Times New Roman" w:eastAsia="Calibri" w:hAnsi="Times New Roman" w:cs="Times New Roman"/>
          <w:sz w:val="24"/>
          <w:szCs w:val="24"/>
          <w:lang w:val="en-US"/>
        </w:rPr>
        <w:t>s</w:t>
      </w:r>
      <w:r w:rsidRPr="009208F6">
        <w:rPr>
          <w:rFonts w:ascii="Times New Roman" w:eastAsia="Calibri" w:hAnsi="Times New Roman" w:cs="Times New Roman"/>
          <w:sz w:val="24"/>
          <w:szCs w:val="24"/>
          <w:lang w:val="en-US"/>
        </w:rPr>
        <w:t xml:space="preserve"> </w:t>
      </w:r>
      <w:proofErr w:type="gramStart"/>
      <w:r w:rsidRPr="009208F6">
        <w:rPr>
          <w:rFonts w:ascii="Times New Roman" w:eastAsia="Calibri" w:hAnsi="Times New Roman" w:cs="Times New Roman"/>
          <w:sz w:val="24"/>
          <w:szCs w:val="24"/>
          <w:lang w:val="en-US"/>
        </w:rPr>
        <w:t>were cultured</w:t>
      </w:r>
      <w:proofErr w:type="gramEnd"/>
      <w:r w:rsidRPr="009208F6">
        <w:rPr>
          <w:rFonts w:ascii="Times New Roman" w:eastAsia="Calibri" w:hAnsi="Times New Roman" w:cs="Times New Roman"/>
          <w:sz w:val="24"/>
          <w:szCs w:val="24"/>
          <w:lang w:val="en-US"/>
        </w:rPr>
        <w:t xml:space="preserve"> according to ATCC guidelines. The culture medium was supplemented with 10% exosome-depleted FBS ≥</w:t>
      </w:r>
      <w:proofErr w:type="gramStart"/>
      <w:r w:rsidRPr="009208F6">
        <w:rPr>
          <w:rFonts w:ascii="Times New Roman" w:eastAsia="Calibri" w:hAnsi="Times New Roman" w:cs="Times New Roman"/>
          <w:sz w:val="24"/>
          <w:szCs w:val="24"/>
          <w:lang w:val="en-US"/>
        </w:rPr>
        <w:t>90%</w:t>
      </w:r>
      <w:proofErr w:type="gramEnd"/>
      <w:r w:rsidRPr="009208F6">
        <w:rPr>
          <w:rFonts w:ascii="Times New Roman" w:eastAsia="Calibri" w:hAnsi="Times New Roman" w:cs="Times New Roman"/>
          <w:sz w:val="24"/>
          <w:szCs w:val="24"/>
          <w:lang w:val="en-US"/>
        </w:rPr>
        <w:t xml:space="preserve"> (</w:t>
      </w:r>
      <w:proofErr w:type="spellStart"/>
      <w:r w:rsidRPr="009208F6">
        <w:rPr>
          <w:rFonts w:ascii="Times New Roman" w:eastAsia="Calibri" w:hAnsi="Times New Roman" w:cs="Times New Roman"/>
          <w:sz w:val="24"/>
          <w:szCs w:val="24"/>
          <w:lang w:val="en-US"/>
        </w:rPr>
        <w:t>Gibco</w:t>
      </w:r>
      <w:proofErr w:type="spellEnd"/>
      <w:r w:rsidRPr="009208F6">
        <w:rPr>
          <w:rFonts w:ascii="Times New Roman" w:eastAsia="Calibri" w:hAnsi="Times New Roman" w:cs="Times New Roman"/>
          <w:sz w:val="24"/>
          <w:szCs w:val="24"/>
          <w:lang w:val="en-US"/>
        </w:rPr>
        <w:t xml:space="preserve">). U251- and K562-derived EVs, isolated from cell-free culture supernatants by centrifugation (100.000g for 20 min), were used for EAAT2 detection in western blot analysis. Cultured U251 cells were stimulated with TNF-α (10 ng/mL), LPS (50 µg/mL) or serum starved, for the last </w:t>
      </w:r>
      <w:proofErr w:type="gramStart"/>
      <w:r w:rsidRPr="009208F6">
        <w:rPr>
          <w:rFonts w:ascii="Times New Roman" w:eastAsia="Calibri" w:hAnsi="Times New Roman" w:cs="Times New Roman"/>
          <w:sz w:val="24"/>
          <w:szCs w:val="24"/>
          <w:lang w:val="en-US"/>
        </w:rPr>
        <w:t>4</w:t>
      </w:r>
      <w:proofErr w:type="gramEnd"/>
      <w:r w:rsidRPr="009208F6">
        <w:rPr>
          <w:rFonts w:ascii="Times New Roman" w:eastAsia="Calibri" w:hAnsi="Times New Roman" w:cs="Times New Roman"/>
          <w:sz w:val="24"/>
          <w:szCs w:val="24"/>
          <w:lang w:val="en-US"/>
        </w:rPr>
        <w:t xml:space="preserve"> </w:t>
      </w:r>
      <w:proofErr w:type="spellStart"/>
      <w:r w:rsidRPr="009208F6">
        <w:rPr>
          <w:rFonts w:ascii="Times New Roman" w:eastAsia="Calibri" w:hAnsi="Times New Roman" w:cs="Times New Roman"/>
          <w:sz w:val="24"/>
          <w:szCs w:val="24"/>
          <w:lang w:val="en-US"/>
        </w:rPr>
        <w:t>hrs</w:t>
      </w:r>
      <w:proofErr w:type="spellEnd"/>
      <w:r w:rsidRPr="009208F6">
        <w:rPr>
          <w:rFonts w:ascii="Times New Roman" w:eastAsia="Calibri" w:hAnsi="Times New Roman" w:cs="Times New Roman"/>
          <w:sz w:val="24"/>
          <w:szCs w:val="24"/>
          <w:lang w:val="en-US"/>
        </w:rPr>
        <w:t xml:space="preserve"> of culture. Cell-free supernatant from treated and untreated U251 cells </w:t>
      </w:r>
      <w:proofErr w:type="gramStart"/>
      <w:r w:rsidRPr="009208F6">
        <w:rPr>
          <w:rFonts w:ascii="Times New Roman" w:eastAsia="Calibri" w:hAnsi="Times New Roman" w:cs="Times New Roman"/>
          <w:sz w:val="24"/>
          <w:szCs w:val="24"/>
          <w:lang w:val="en-US"/>
        </w:rPr>
        <w:t>was used</w:t>
      </w:r>
      <w:proofErr w:type="gramEnd"/>
      <w:r w:rsidRPr="009208F6">
        <w:rPr>
          <w:rFonts w:ascii="Times New Roman" w:eastAsia="Calibri" w:hAnsi="Times New Roman" w:cs="Times New Roman"/>
          <w:sz w:val="24"/>
          <w:szCs w:val="24"/>
          <w:lang w:val="en-US"/>
        </w:rPr>
        <w:t xml:space="preserve"> to isolate EVs for EAAT2 detection in flow cytometry.  PE-conjugated rabbit IgG isotype (</w:t>
      </w:r>
      <w:proofErr w:type="spellStart"/>
      <w:r w:rsidRPr="009208F6">
        <w:rPr>
          <w:rFonts w:ascii="Times New Roman" w:eastAsia="Calibri" w:hAnsi="Times New Roman" w:cs="Times New Roman"/>
          <w:sz w:val="24"/>
          <w:szCs w:val="24"/>
          <w:lang w:val="en-US"/>
        </w:rPr>
        <w:t>Bioss</w:t>
      </w:r>
      <w:proofErr w:type="spellEnd"/>
      <w:r w:rsidRPr="009208F6">
        <w:rPr>
          <w:rFonts w:ascii="Times New Roman" w:eastAsia="Calibri" w:hAnsi="Times New Roman" w:cs="Times New Roman"/>
          <w:sz w:val="24"/>
          <w:szCs w:val="24"/>
          <w:lang w:val="en-US"/>
        </w:rPr>
        <w:t xml:space="preserve">, Boston- Massachusetts USA) </w:t>
      </w:r>
      <w:proofErr w:type="gramStart"/>
      <w:r w:rsidRPr="009208F6">
        <w:rPr>
          <w:rFonts w:ascii="Times New Roman" w:eastAsia="Calibri" w:hAnsi="Times New Roman" w:cs="Times New Roman"/>
          <w:sz w:val="24"/>
          <w:szCs w:val="24"/>
          <w:lang w:val="en-US"/>
        </w:rPr>
        <w:t>was used</w:t>
      </w:r>
      <w:proofErr w:type="gramEnd"/>
      <w:r w:rsidRPr="009208F6">
        <w:rPr>
          <w:rFonts w:ascii="Times New Roman" w:eastAsia="Calibri" w:hAnsi="Times New Roman" w:cs="Times New Roman"/>
          <w:sz w:val="24"/>
          <w:szCs w:val="24"/>
          <w:lang w:val="en-US"/>
        </w:rPr>
        <w:t xml:space="preserve"> as negative control in flow cytometry.</w:t>
      </w:r>
    </w:p>
    <w:p w14:paraId="10DA858D" w14:textId="77777777" w:rsidR="007A0486" w:rsidRPr="0026676B" w:rsidRDefault="007A0486" w:rsidP="00392505">
      <w:pPr>
        <w:spacing w:after="200" w:line="480" w:lineRule="auto"/>
        <w:jc w:val="both"/>
        <w:rPr>
          <w:rFonts w:ascii="Times New Roman" w:eastAsia="Calibri" w:hAnsi="Times New Roman" w:cs="Times New Roman"/>
          <w:b/>
          <w:sz w:val="32"/>
          <w:szCs w:val="32"/>
          <w:lang w:val="en-US"/>
        </w:rPr>
      </w:pPr>
      <w:r w:rsidRPr="0026676B">
        <w:rPr>
          <w:rFonts w:ascii="Times New Roman" w:eastAsia="Calibri" w:hAnsi="Times New Roman" w:cs="Times New Roman"/>
          <w:b/>
          <w:sz w:val="32"/>
          <w:szCs w:val="32"/>
          <w:lang w:val="en-US"/>
        </w:rPr>
        <w:t xml:space="preserve">Supplementary </w:t>
      </w:r>
      <w:r w:rsidR="00F423DA" w:rsidRPr="0026676B">
        <w:rPr>
          <w:rFonts w:ascii="Times New Roman" w:eastAsia="Calibri" w:hAnsi="Times New Roman" w:cs="Times New Roman"/>
          <w:b/>
          <w:sz w:val="32"/>
          <w:szCs w:val="32"/>
          <w:lang w:val="en-US"/>
        </w:rPr>
        <w:t>R</w:t>
      </w:r>
      <w:r w:rsidR="00121FD7" w:rsidRPr="0026676B">
        <w:rPr>
          <w:rFonts w:ascii="Times New Roman" w:eastAsia="Calibri" w:hAnsi="Times New Roman" w:cs="Times New Roman"/>
          <w:b/>
          <w:sz w:val="32"/>
          <w:szCs w:val="32"/>
          <w:lang w:val="en-US"/>
        </w:rPr>
        <w:t xml:space="preserve">esults </w:t>
      </w:r>
    </w:p>
    <w:p w14:paraId="2A422DB8" w14:textId="1DF44BAA" w:rsidR="00B7695E" w:rsidRDefault="00B7695E" w:rsidP="00392505">
      <w:pPr>
        <w:spacing w:after="200" w:line="480" w:lineRule="auto"/>
        <w:jc w:val="both"/>
        <w:rPr>
          <w:rFonts w:ascii="Times New Roman" w:eastAsia="Calibri" w:hAnsi="Times New Roman" w:cs="Times New Roman"/>
          <w:sz w:val="24"/>
          <w:szCs w:val="24"/>
          <w:lang w:val="en-US"/>
        </w:rPr>
      </w:pPr>
      <w:r w:rsidRPr="00B7695E">
        <w:rPr>
          <w:rFonts w:ascii="Times New Roman" w:eastAsia="Calibri" w:hAnsi="Times New Roman" w:cs="Times New Roman"/>
          <w:sz w:val="24"/>
          <w:szCs w:val="24"/>
          <w:lang w:val="en-US"/>
        </w:rPr>
        <w:t xml:space="preserve">The proteomic analysis of SEC-purified plasma and CSF </w:t>
      </w:r>
      <w:r w:rsidR="000D02F7">
        <w:rPr>
          <w:rFonts w:ascii="Times New Roman" w:eastAsia="Calibri" w:hAnsi="Times New Roman" w:cs="Times New Roman"/>
          <w:sz w:val="24"/>
          <w:szCs w:val="24"/>
          <w:lang w:val="en-US"/>
        </w:rPr>
        <w:t xml:space="preserve">EVs identified a repertoire of </w:t>
      </w:r>
      <w:r w:rsidRPr="00B7695E">
        <w:rPr>
          <w:rFonts w:ascii="Times New Roman" w:eastAsia="Calibri" w:hAnsi="Times New Roman" w:cs="Times New Roman"/>
          <w:sz w:val="24"/>
          <w:szCs w:val="24"/>
          <w:lang w:val="en-US"/>
        </w:rPr>
        <w:t>250 and 152 proteins, respectively</w:t>
      </w:r>
      <w:r w:rsidR="00415850">
        <w:rPr>
          <w:rFonts w:ascii="Times New Roman" w:eastAsia="Calibri" w:hAnsi="Times New Roman" w:cs="Times New Roman"/>
          <w:sz w:val="24"/>
          <w:szCs w:val="24"/>
          <w:lang w:val="en-US"/>
        </w:rPr>
        <w:t xml:space="preserve"> (Supplementary table 1 and 5)</w:t>
      </w:r>
      <w:r w:rsidR="00121FD7">
        <w:rPr>
          <w:rFonts w:ascii="Times New Roman" w:eastAsia="Calibri" w:hAnsi="Times New Roman" w:cs="Times New Roman"/>
          <w:sz w:val="24"/>
          <w:szCs w:val="24"/>
          <w:lang w:val="en-US"/>
        </w:rPr>
        <w:t>. The list</w:t>
      </w:r>
      <w:r w:rsidR="007B2F97">
        <w:rPr>
          <w:rFonts w:ascii="Times New Roman" w:eastAsia="Calibri" w:hAnsi="Times New Roman" w:cs="Times New Roman"/>
          <w:sz w:val="24"/>
          <w:szCs w:val="24"/>
          <w:lang w:val="en-US"/>
        </w:rPr>
        <w:t xml:space="preserve"> of proteins obtained </w:t>
      </w:r>
      <w:r w:rsidR="00121FD7">
        <w:rPr>
          <w:rFonts w:ascii="Times New Roman" w:eastAsia="Calibri" w:hAnsi="Times New Roman" w:cs="Times New Roman"/>
          <w:sz w:val="24"/>
          <w:szCs w:val="24"/>
          <w:lang w:val="en-US"/>
        </w:rPr>
        <w:t>fr</w:t>
      </w:r>
      <w:r w:rsidR="00AF7E87">
        <w:rPr>
          <w:rFonts w:ascii="Times New Roman" w:eastAsia="Calibri" w:hAnsi="Times New Roman" w:cs="Times New Roman"/>
          <w:sz w:val="24"/>
          <w:szCs w:val="24"/>
          <w:lang w:val="en-US"/>
        </w:rPr>
        <w:t>om</w:t>
      </w:r>
      <w:r w:rsidR="00121FD7">
        <w:rPr>
          <w:rFonts w:ascii="Times New Roman" w:eastAsia="Calibri" w:hAnsi="Times New Roman" w:cs="Times New Roman"/>
          <w:sz w:val="24"/>
          <w:szCs w:val="24"/>
          <w:lang w:val="en-US"/>
        </w:rPr>
        <w:t xml:space="preserve"> </w:t>
      </w:r>
      <w:r w:rsidR="001A3954">
        <w:rPr>
          <w:rFonts w:ascii="Times New Roman" w:eastAsia="Calibri" w:hAnsi="Times New Roman" w:cs="Times New Roman"/>
          <w:sz w:val="24"/>
          <w:szCs w:val="24"/>
          <w:lang w:val="en-US"/>
        </w:rPr>
        <w:t xml:space="preserve">each plasma </w:t>
      </w:r>
      <w:r w:rsidR="00973501">
        <w:rPr>
          <w:rFonts w:ascii="Times New Roman" w:eastAsia="Calibri" w:hAnsi="Times New Roman" w:cs="Times New Roman"/>
          <w:sz w:val="24"/>
          <w:szCs w:val="24"/>
          <w:lang w:val="en-US"/>
        </w:rPr>
        <w:t xml:space="preserve">and CSF </w:t>
      </w:r>
      <w:r w:rsidR="00907B15">
        <w:rPr>
          <w:rFonts w:ascii="Times New Roman" w:eastAsia="Calibri" w:hAnsi="Times New Roman" w:cs="Times New Roman"/>
          <w:sz w:val="24"/>
          <w:szCs w:val="24"/>
          <w:lang w:val="en-US"/>
        </w:rPr>
        <w:t xml:space="preserve">sample </w:t>
      </w:r>
      <w:r w:rsidR="00121FD7">
        <w:rPr>
          <w:rFonts w:ascii="Times New Roman" w:eastAsia="Calibri" w:hAnsi="Times New Roman" w:cs="Times New Roman"/>
          <w:sz w:val="24"/>
          <w:szCs w:val="24"/>
          <w:lang w:val="en-US"/>
        </w:rPr>
        <w:t xml:space="preserve">group </w:t>
      </w:r>
      <w:proofErr w:type="gramStart"/>
      <w:r w:rsidR="00560641">
        <w:rPr>
          <w:rFonts w:ascii="Times New Roman" w:eastAsia="Calibri" w:hAnsi="Times New Roman" w:cs="Times New Roman"/>
          <w:sz w:val="24"/>
          <w:szCs w:val="24"/>
          <w:lang w:val="en-US"/>
        </w:rPr>
        <w:t>were reported</w:t>
      </w:r>
      <w:proofErr w:type="gramEnd"/>
      <w:r w:rsidR="00560641">
        <w:rPr>
          <w:rFonts w:ascii="Times New Roman" w:eastAsia="Calibri" w:hAnsi="Times New Roman" w:cs="Times New Roman"/>
          <w:sz w:val="24"/>
          <w:szCs w:val="24"/>
          <w:lang w:val="en-US"/>
        </w:rPr>
        <w:t xml:space="preserve"> </w:t>
      </w:r>
      <w:r w:rsidR="00973501">
        <w:rPr>
          <w:rFonts w:ascii="Times New Roman" w:eastAsia="Calibri" w:hAnsi="Times New Roman" w:cs="Times New Roman"/>
          <w:sz w:val="24"/>
          <w:szCs w:val="24"/>
          <w:lang w:val="en-US"/>
        </w:rPr>
        <w:t xml:space="preserve">in </w:t>
      </w:r>
      <w:r w:rsidRPr="00B7695E">
        <w:rPr>
          <w:rFonts w:ascii="Times New Roman" w:eastAsia="Calibri" w:hAnsi="Times New Roman" w:cs="Times New Roman"/>
          <w:sz w:val="24"/>
          <w:szCs w:val="24"/>
          <w:lang w:val="en-US"/>
        </w:rPr>
        <w:t>Supplementary Tables 2, 3, 4</w:t>
      </w:r>
      <w:r w:rsidR="00973501">
        <w:rPr>
          <w:rFonts w:ascii="Times New Roman" w:eastAsia="Calibri" w:hAnsi="Times New Roman" w:cs="Times New Roman"/>
          <w:sz w:val="24"/>
          <w:szCs w:val="24"/>
          <w:lang w:val="en-US"/>
        </w:rPr>
        <w:t xml:space="preserve"> and</w:t>
      </w:r>
      <w:r w:rsidR="00973501" w:rsidRPr="00973501">
        <w:rPr>
          <w:lang w:val="en-GB"/>
        </w:rPr>
        <w:t xml:space="preserve"> </w:t>
      </w:r>
      <w:r w:rsidR="00553E2E">
        <w:rPr>
          <w:rFonts w:ascii="Times New Roman" w:eastAsia="Calibri" w:hAnsi="Times New Roman" w:cs="Times New Roman"/>
          <w:sz w:val="24"/>
          <w:szCs w:val="24"/>
          <w:lang w:val="en-US"/>
        </w:rPr>
        <w:t xml:space="preserve">Supplementary Tables </w:t>
      </w:r>
      <w:r w:rsidR="00973501">
        <w:rPr>
          <w:rFonts w:ascii="Times New Roman" w:eastAsia="Calibri" w:hAnsi="Times New Roman" w:cs="Times New Roman"/>
          <w:sz w:val="24"/>
          <w:szCs w:val="24"/>
          <w:lang w:val="en-US"/>
        </w:rPr>
        <w:t>6 and 7, respectively.</w:t>
      </w:r>
      <w:r w:rsidRPr="00B7695E">
        <w:rPr>
          <w:rFonts w:ascii="Times New Roman" w:eastAsia="Calibri" w:hAnsi="Times New Roman" w:cs="Times New Roman"/>
          <w:sz w:val="24"/>
          <w:szCs w:val="24"/>
          <w:lang w:val="en-US"/>
        </w:rPr>
        <w:t xml:space="preserve"> </w:t>
      </w:r>
    </w:p>
    <w:p w14:paraId="40078509" w14:textId="03505377" w:rsidR="00D561D8" w:rsidRDefault="00D561D8" w:rsidP="00392505">
      <w:pPr>
        <w:spacing w:after="200" w:line="48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Supplementary tables 1,2,3,4,5,6,7.</w:t>
      </w:r>
    </w:p>
    <w:p w14:paraId="5FCD2F6F" w14:textId="7D03F229" w:rsidR="00760656" w:rsidRPr="00921949" w:rsidRDefault="0077570B" w:rsidP="00392505">
      <w:pPr>
        <w:spacing w:after="200" w:line="480" w:lineRule="auto"/>
        <w:jc w:val="both"/>
        <w:rPr>
          <w:rFonts w:ascii="Times New Roman" w:eastAsia="Calibri" w:hAnsi="Times New Roman" w:cs="Times New Roman"/>
          <w:b/>
          <w:sz w:val="28"/>
          <w:szCs w:val="28"/>
          <w:lang w:val="en-US"/>
        </w:rPr>
      </w:pPr>
      <w:r w:rsidRPr="00921949">
        <w:rPr>
          <w:rFonts w:ascii="Times New Roman" w:eastAsia="Calibri" w:hAnsi="Times New Roman" w:cs="Times New Roman"/>
          <w:b/>
          <w:sz w:val="28"/>
          <w:szCs w:val="28"/>
          <w:lang w:val="en-US"/>
        </w:rPr>
        <w:t xml:space="preserve">Efficiency and </w:t>
      </w:r>
      <w:r w:rsidR="00760656" w:rsidRPr="00921949">
        <w:rPr>
          <w:rFonts w:ascii="Times New Roman" w:eastAsia="Calibri" w:hAnsi="Times New Roman" w:cs="Times New Roman"/>
          <w:b/>
          <w:sz w:val="28"/>
          <w:szCs w:val="28"/>
          <w:lang w:val="en-US"/>
        </w:rPr>
        <w:t>s</w:t>
      </w:r>
      <w:proofErr w:type="spellStart"/>
      <w:r w:rsidR="00760656" w:rsidRPr="00921949">
        <w:rPr>
          <w:rFonts w:ascii="Times New Roman" w:eastAsia="Calibri" w:hAnsi="Times New Roman" w:cs="Times New Roman"/>
          <w:b/>
          <w:sz w:val="28"/>
          <w:szCs w:val="28"/>
          <w:lang w:val="en-GB"/>
        </w:rPr>
        <w:t>pecificity</w:t>
      </w:r>
      <w:proofErr w:type="spellEnd"/>
      <w:r w:rsidR="00760656" w:rsidRPr="00921949">
        <w:rPr>
          <w:rFonts w:ascii="Times New Roman" w:eastAsia="Calibri" w:hAnsi="Times New Roman" w:cs="Times New Roman"/>
          <w:b/>
          <w:sz w:val="28"/>
          <w:szCs w:val="28"/>
          <w:lang w:val="en-GB"/>
        </w:rPr>
        <w:t xml:space="preserve"> of MTG binding to </w:t>
      </w:r>
      <w:r w:rsidRPr="00921949">
        <w:rPr>
          <w:rFonts w:ascii="Times New Roman" w:eastAsia="Calibri" w:hAnsi="Times New Roman" w:cs="Times New Roman"/>
          <w:b/>
          <w:sz w:val="28"/>
          <w:szCs w:val="28"/>
          <w:lang w:val="en-GB"/>
        </w:rPr>
        <w:t xml:space="preserve">EV </w:t>
      </w:r>
      <w:r w:rsidR="0071736C" w:rsidRPr="00921949">
        <w:rPr>
          <w:rFonts w:ascii="Times New Roman" w:eastAsia="Calibri" w:hAnsi="Times New Roman" w:cs="Times New Roman"/>
          <w:b/>
          <w:sz w:val="28"/>
          <w:szCs w:val="28"/>
          <w:lang w:val="en-GB"/>
        </w:rPr>
        <w:t xml:space="preserve">free-thiol groups </w:t>
      </w:r>
    </w:p>
    <w:p w14:paraId="5DA1A078" w14:textId="77777777" w:rsidR="00760656" w:rsidRPr="00811321" w:rsidRDefault="002B4E98" w:rsidP="00392505">
      <w:pPr>
        <w:spacing w:after="0" w:line="480" w:lineRule="auto"/>
        <w:jc w:val="both"/>
        <w:rPr>
          <w:rFonts w:ascii="Times New Roman" w:eastAsia="Calibri" w:hAnsi="Times New Roman" w:cs="Times New Roman"/>
          <w:sz w:val="24"/>
          <w:lang w:val="en-GB"/>
        </w:rPr>
      </w:pPr>
      <w:r>
        <w:rPr>
          <w:rFonts w:ascii="Times New Roman" w:eastAsia="Calibri" w:hAnsi="Times New Roman" w:cs="Times New Roman"/>
          <w:sz w:val="24"/>
          <w:lang w:val="en-GB"/>
        </w:rPr>
        <w:t xml:space="preserve">To identify EV population </w:t>
      </w:r>
      <w:r w:rsidR="00760656">
        <w:rPr>
          <w:rFonts w:ascii="Times New Roman" w:eastAsia="Calibri" w:hAnsi="Times New Roman" w:cs="Times New Roman"/>
          <w:sz w:val="24"/>
          <w:lang w:val="en-GB"/>
        </w:rPr>
        <w:t xml:space="preserve">by FACS analysis, </w:t>
      </w:r>
      <w:r w:rsidR="00760656">
        <w:rPr>
          <w:rFonts w:ascii="Times New Roman" w:eastAsia="Calibri" w:hAnsi="Times New Roman" w:cs="Times New Roman"/>
          <w:sz w:val="24"/>
          <w:szCs w:val="24"/>
          <w:lang w:val="en-US"/>
        </w:rPr>
        <w:t>t</w:t>
      </w:r>
      <w:r w:rsidR="00760656" w:rsidRPr="006F552B">
        <w:rPr>
          <w:rFonts w:ascii="Times New Roman" w:eastAsia="Calibri" w:hAnsi="Times New Roman" w:cs="Times New Roman"/>
          <w:sz w:val="24"/>
          <w:szCs w:val="24"/>
          <w:lang w:val="en-US"/>
        </w:rPr>
        <w:t xml:space="preserve">he flow cytometer </w:t>
      </w:r>
      <w:proofErr w:type="gramStart"/>
      <w:r w:rsidR="00760656" w:rsidRPr="006F552B">
        <w:rPr>
          <w:rFonts w:ascii="Times New Roman" w:eastAsia="Calibri" w:hAnsi="Times New Roman" w:cs="Times New Roman"/>
          <w:sz w:val="24"/>
          <w:szCs w:val="24"/>
          <w:lang w:val="en-US"/>
        </w:rPr>
        <w:t>was adjusted</w:t>
      </w:r>
      <w:proofErr w:type="gramEnd"/>
      <w:r w:rsidR="00760656" w:rsidRPr="006F552B">
        <w:rPr>
          <w:rFonts w:ascii="Times New Roman" w:eastAsia="Calibri" w:hAnsi="Times New Roman" w:cs="Times New Roman"/>
          <w:sz w:val="24"/>
          <w:szCs w:val="24"/>
          <w:lang w:val="en-US"/>
        </w:rPr>
        <w:t xml:space="preserve"> to cover the EV size range between 0.5 and </w:t>
      </w:r>
      <w:r w:rsidR="00760656">
        <w:rPr>
          <w:rFonts w:ascii="Times New Roman" w:eastAsia="Calibri" w:hAnsi="Times New Roman" w:cs="Times New Roman"/>
          <w:sz w:val="24"/>
          <w:szCs w:val="24"/>
          <w:lang w:val="en-US"/>
        </w:rPr>
        <w:t>1 µ</w:t>
      </w:r>
      <w:r w:rsidR="00760656" w:rsidRPr="006F552B">
        <w:rPr>
          <w:rFonts w:ascii="Times New Roman" w:eastAsia="Calibri" w:hAnsi="Times New Roman" w:cs="Times New Roman"/>
          <w:sz w:val="24"/>
          <w:szCs w:val="24"/>
          <w:lang w:val="en-US"/>
        </w:rPr>
        <w:t>m</w:t>
      </w:r>
      <w:r w:rsidR="00760656">
        <w:rPr>
          <w:rFonts w:ascii="Times New Roman" w:eastAsia="Calibri" w:hAnsi="Times New Roman" w:cs="Times New Roman"/>
          <w:sz w:val="24"/>
          <w:szCs w:val="24"/>
          <w:lang w:val="en-US"/>
        </w:rPr>
        <w:t>, as</w:t>
      </w:r>
      <w:r w:rsidR="0094540B">
        <w:rPr>
          <w:rFonts w:ascii="Times New Roman" w:eastAsia="Calibri" w:hAnsi="Times New Roman" w:cs="Times New Roman"/>
          <w:sz w:val="24"/>
          <w:szCs w:val="24"/>
          <w:lang w:val="en-US"/>
        </w:rPr>
        <w:t xml:space="preserve"> shown </w:t>
      </w:r>
      <w:r w:rsidR="0094540B" w:rsidRPr="00811321">
        <w:rPr>
          <w:rFonts w:ascii="Times New Roman" w:eastAsia="Calibri" w:hAnsi="Times New Roman" w:cs="Times New Roman"/>
          <w:sz w:val="24"/>
          <w:szCs w:val="24"/>
          <w:lang w:val="en-US"/>
        </w:rPr>
        <w:t xml:space="preserve">in </w:t>
      </w:r>
      <w:r w:rsidR="002A51DF" w:rsidRPr="00811321">
        <w:rPr>
          <w:rFonts w:ascii="Times New Roman" w:eastAsia="Calibri" w:hAnsi="Times New Roman" w:cs="Times New Roman"/>
          <w:sz w:val="24"/>
          <w:szCs w:val="24"/>
          <w:lang w:val="en-US"/>
        </w:rPr>
        <w:t>Supplementary Fig. 2A</w:t>
      </w:r>
      <w:r w:rsidR="00760656" w:rsidRPr="00811321">
        <w:rPr>
          <w:rFonts w:ascii="Times New Roman" w:eastAsia="Calibri" w:hAnsi="Times New Roman" w:cs="Times New Roman"/>
          <w:sz w:val="24"/>
          <w:szCs w:val="24"/>
          <w:lang w:val="en-US"/>
        </w:rPr>
        <w:t xml:space="preserve">. </w:t>
      </w:r>
    </w:p>
    <w:p w14:paraId="1C96120F" w14:textId="44F6912E" w:rsidR="00760656" w:rsidRDefault="00760656" w:rsidP="00392505">
      <w:pPr>
        <w:spacing w:after="0" w:line="480" w:lineRule="auto"/>
        <w:jc w:val="both"/>
        <w:rPr>
          <w:rFonts w:ascii="Times New Roman" w:eastAsia="Calibri" w:hAnsi="Times New Roman" w:cs="Times New Roman"/>
          <w:sz w:val="24"/>
          <w:lang w:val="en-GB"/>
        </w:rPr>
      </w:pPr>
      <w:r w:rsidRPr="00811321">
        <w:rPr>
          <w:rFonts w:ascii="Times New Roman" w:eastAsia="Calibri" w:hAnsi="Times New Roman" w:cs="Times New Roman"/>
          <w:sz w:val="24"/>
          <w:lang w:val="en-GB"/>
        </w:rPr>
        <w:t>MTG labelling reagent,</w:t>
      </w:r>
      <w:r w:rsidR="00375D86" w:rsidRPr="00811321">
        <w:rPr>
          <w:rFonts w:ascii="Times New Roman" w:eastAsia="Calibri" w:hAnsi="Times New Roman" w:cs="Times New Roman"/>
          <w:sz w:val="24"/>
          <w:lang w:val="en-GB"/>
        </w:rPr>
        <w:t xml:space="preserve"> covalently binding to proteins</w:t>
      </w:r>
      <w:r w:rsidRPr="00811321">
        <w:rPr>
          <w:rFonts w:ascii="Times New Roman" w:eastAsia="Calibri" w:hAnsi="Times New Roman" w:cs="Times New Roman"/>
          <w:sz w:val="24"/>
          <w:lang w:val="en-GB"/>
        </w:rPr>
        <w:t xml:space="preserve"> by reacting with free thiol groups of cysteine residues, </w:t>
      </w:r>
      <w:proofErr w:type="gramStart"/>
      <w:r w:rsidRPr="00811321">
        <w:rPr>
          <w:rFonts w:ascii="Times New Roman" w:eastAsia="Calibri" w:hAnsi="Times New Roman" w:cs="Times New Roman"/>
          <w:sz w:val="24"/>
          <w:lang w:val="en-GB"/>
        </w:rPr>
        <w:t>was used</w:t>
      </w:r>
      <w:proofErr w:type="gramEnd"/>
      <w:r w:rsidRPr="00811321">
        <w:rPr>
          <w:rFonts w:ascii="Times New Roman" w:eastAsia="Calibri" w:hAnsi="Times New Roman" w:cs="Times New Roman"/>
          <w:sz w:val="24"/>
          <w:lang w:val="en-GB"/>
        </w:rPr>
        <w:t xml:space="preserve"> as a simple fluorescent probe to rapidly identify EVs suspended in plasma without the need to isolate them before flow cytometry analysis. In order to assess the efficiency of the MTG labelling technique for EVs, the lipophilic PKH67 Green dye or MTG-green dye </w:t>
      </w:r>
      <w:proofErr w:type="gramStart"/>
      <w:r w:rsidRPr="00811321">
        <w:rPr>
          <w:rFonts w:ascii="Times New Roman" w:eastAsia="Calibri" w:hAnsi="Times New Roman" w:cs="Times New Roman"/>
          <w:sz w:val="24"/>
          <w:lang w:val="en-GB"/>
        </w:rPr>
        <w:t>were used</w:t>
      </w:r>
      <w:proofErr w:type="gramEnd"/>
      <w:r w:rsidRPr="00811321">
        <w:rPr>
          <w:rFonts w:ascii="Times New Roman" w:eastAsia="Calibri" w:hAnsi="Times New Roman" w:cs="Times New Roman"/>
          <w:sz w:val="24"/>
          <w:lang w:val="en-GB"/>
        </w:rPr>
        <w:t xml:space="preserve"> to </w:t>
      </w:r>
      <w:r w:rsidR="001B0408" w:rsidRPr="00811321">
        <w:rPr>
          <w:rFonts w:ascii="Times New Roman" w:eastAsia="Calibri" w:hAnsi="Times New Roman" w:cs="Times New Roman"/>
          <w:sz w:val="24"/>
          <w:lang w:val="en-GB"/>
        </w:rPr>
        <w:t xml:space="preserve">stain </w:t>
      </w:r>
      <w:r w:rsidRPr="00811321">
        <w:rPr>
          <w:rFonts w:ascii="Times New Roman" w:eastAsia="Calibri" w:hAnsi="Times New Roman" w:cs="Times New Roman"/>
          <w:sz w:val="24"/>
          <w:lang w:val="en-GB"/>
        </w:rPr>
        <w:t xml:space="preserve">SEC-purified plasma EVs. MTG and PKH67 fluorescent dyes detected the same size-based </w:t>
      </w:r>
      <w:r w:rsidRPr="00811321">
        <w:rPr>
          <w:rFonts w:ascii="Times New Roman" w:eastAsia="Calibri" w:hAnsi="Times New Roman" w:cs="Times New Roman"/>
          <w:sz w:val="24"/>
          <w:lang w:val="en-GB"/>
        </w:rPr>
        <w:lastRenderedPageBreak/>
        <w:t xml:space="preserve">population of EVs, as indicated in Supplementary Fig. </w:t>
      </w:r>
      <w:r w:rsidR="00067700" w:rsidRPr="00811321">
        <w:rPr>
          <w:rFonts w:ascii="Times New Roman" w:eastAsia="Calibri" w:hAnsi="Times New Roman" w:cs="Times New Roman"/>
          <w:sz w:val="24"/>
          <w:lang w:val="en-GB"/>
        </w:rPr>
        <w:t>2B</w:t>
      </w:r>
      <w:r w:rsidRPr="00811321">
        <w:rPr>
          <w:rFonts w:ascii="Times New Roman" w:eastAsia="Calibri" w:hAnsi="Times New Roman" w:cs="Times New Roman"/>
          <w:sz w:val="24"/>
          <w:lang w:val="en-GB"/>
        </w:rPr>
        <w:t>. Moreover, the Triton X-100 treatment of SEC-purified plasma EVs</w:t>
      </w:r>
      <w:r w:rsidR="004E2730">
        <w:rPr>
          <w:rFonts w:ascii="Times New Roman" w:eastAsia="Calibri" w:hAnsi="Times New Roman" w:cs="Times New Roman"/>
          <w:sz w:val="24"/>
          <w:lang w:val="en-GB"/>
        </w:rPr>
        <w:t xml:space="preserve"> or not purified EVs (PPP containing EVs),</w:t>
      </w:r>
      <w:r w:rsidRPr="00811321">
        <w:rPr>
          <w:rFonts w:ascii="Times New Roman" w:eastAsia="Calibri" w:hAnsi="Times New Roman" w:cs="Times New Roman"/>
          <w:sz w:val="24"/>
          <w:lang w:val="en-GB"/>
        </w:rPr>
        <w:t xml:space="preserve"> labelled with MTG, showed that mos</w:t>
      </w:r>
      <w:r w:rsidR="004E2730">
        <w:rPr>
          <w:rFonts w:ascii="Times New Roman" w:eastAsia="Calibri" w:hAnsi="Times New Roman" w:cs="Times New Roman"/>
          <w:sz w:val="24"/>
          <w:lang w:val="en-GB"/>
        </w:rPr>
        <w:t>t of EV population disappeared  for 89% and 78% respectively</w:t>
      </w:r>
      <w:r w:rsidRPr="00811321">
        <w:rPr>
          <w:rFonts w:ascii="Times New Roman" w:eastAsia="Calibri" w:hAnsi="Times New Roman" w:cs="Times New Roman"/>
          <w:sz w:val="24"/>
          <w:lang w:val="en-GB"/>
        </w:rPr>
        <w:t>, indicating that the thiol-based fluorescence labelling method is ap</w:t>
      </w:r>
      <w:r w:rsidR="008416A7" w:rsidRPr="00811321">
        <w:rPr>
          <w:rFonts w:ascii="Times New Roman" w:eastAsia="Calibri" w:hAnsi="Times New Roman" w:cs="Times New Roman"/>
          <w:sz w:val="24"/>
          <w:lang w:val="en-GB"/>
        </w:rPr>
        <w:t>propriate for EV staining (Supplementary Fig. 2</w:t>
      </w:r>
      <w:r w:rsidRPr="00811321">
        <w:rPr>
          <w:rFonts w:ascii="Times New Roman" w:eastAsia="Calibri" w:hAnsi="Times New Roman" w:cs="Times New Roman"/>
          <w:sz w:val="24"/>
          <w:lang w:val="en-GB"/>
        </w:rPr>
        <w:t>C</w:t>
      </w:r>
      <w:r w:rsidR="004E2730">
        <w:rPr>
          <w:rFonts w:ascii="Times New Roman" w:eastAsia="Calibri" w:hAnsi="Times New Roman" w:cs="Times New Roman"/>
          <w:sz w:val="24"/>
          <w:lang w:val="en-GB"/>
        </w:rPr>
        <w:t xml:space="preserve"> and 2D</w:t>
      </w:r>
      <w:r w:rsidRPr="00811321">
        <w:rPr>
          <w:rFonts w:ascii="Times New Roman" w:eastAsia="Calibri" w:hAnsi="Times New Roman" w:cs="Times New Roman"/>
          <w:sz w:val="24"/>
          <w:lang w:val="en-GB"/>
        </w:rPr>
        <w:t xml:space="preserve">). To demonstrate the specificity of MTG binding to free thiol groups in EVs, various thiol-blocking reagents </w:t>
      </w:r>
      <w:proofErr w:type="gramStart"/>
      <w:r w:rsidRPr="00811321">
        <w:rPr>
          <w:rFonts w:ascii="Times New Roman" w:eastAsia="Calibri" w:hAnsi="Times New Roman" w:cs="Times New Roman"/>
          <w:sz w:val="24"/>
          <w:lang w:val="en-GB"/>
        </w:rPr>
        <w:t>were used</w:t>
      </w:r>
      <w:proofErr w:type="gramEnd"/>
      <w:r w:rsidRPr="00811321">
        <w:rPr>
          <w:rFonts w:ascii="Times New Roman" w:eastAsia="Calibri" w:hAnsi="Times New Roman" w:cs="Times New Roman"/>
          <w:sz w:val="24"/>
          <w:lang w:val="en-GB"/>
        </w:rPr>
        <w:t xml:space="preserve"> to treat different samples of SEC-purified plasma EVs. All reagents used for EV treatments, alkylating reagents (NEM, DTNB and DIA) and oxidant reagents (t-BHP and HP), caused a </w:t>
      </w:r>
      <w:r w:rsidR="007E505A" w:rsidRPr="00811321">
        <w:rPr>
          <w:rFonts w:ascii="Times New Roman" w:eastAsia="Calibri" w:hAnsi="Times New Roman" w:cs="Times New Roman"/>
          <w:sz w:val="24"/>
          <w:lang w:val="en-GB"/>
        </w:rPr>
        <w:t xml:space="preserve">mean fluorescence intensity (MFI) </w:t>
      </w:r>
      <w:r w:rsidRPr="00811321">
        <w:rPr>
          <w:rFonts w:ascii="Times New Roman" w:eastAsia="Calibri" w:hAnsi="Times New Roman" w:cs="Times New Roman"/>
          <w:sz w:val="24"/>
          <w:lang w:val="en-GB"/>
        </w:rPr>
        <w:t xml:space="preserve">decrease of </w:t>
      </w:r>
      <w:r w:rsidR="007E505A" w:rsidRPr="00811321">
        <w:rPr>
          <w:rFonts w:ascii="Times New Roman" w:eastAsia="Calibri" w:hAnsi="Times New Roman" w:cs="Times New Roman"/>
          <w:sz w:val="24"/>
          <w:lang w:val="en-GB"/>
        </w:rPr>
        <w:t xml:space="preserve">the </w:t>
      </w:r>
      <w:r w:rsidRPr="00811321">
        <w:rPr>
          <w:rFonts w:ascii="Times New Roman" w:eastAsia="Calibri" w:hAnsi="Times New Roman" w:cs="Times New Roman"/>
          <w:sz w:val="24"/>
          <w:lang w:val="en-GB"/>
        </w:rPr>
        <w:t>EV</w:t>
      </w:r>
      <w:r w:rsidR="007E505A" w:rsidRPr="00811321">
        <w:rPr>
          <w:rFonts w:ascii="Times New Roman" w:eastAsia="Calibri" w:hAnsi="Times New Roman" w:cs="Times New Roman"/>
          <w:sz w:val="24"/>
          <w:lang w:val="en-GB"/>
        </w:rPr>
        <w:t>-</w:t>
      </w:r>
      <w:r w:rsidRPr="00811321">
        <w:rPr>
          <w:rFonts w:ascii="Times New Roman" w:eastAsia="Calibri" w:hAnsi="Times New Roman" w:cs="Times New Roman"/>
          <w:sz w:val="24"/>
          <w:lang w:val="en-GB"/>
        </w:rPr>
        <w:t>MTG</w:t>
      </w:r>
      <w:r w:rsidR="007E505A" w:rsidRPr="00811321">
        <w:rPr>
          <w:rFonts w:ascii="Times New Roman" w:eastAsia="Calibri" w:hAnsi="Times New Roman" w:cs="Times New Roman"/>
          <w:b/>
          <w:sz w:val="24"/>
          <w:vertAlign w:val="superscript"/>
          <w:lang w:val="en-GB"/>
        </w:rPr>
        <w:t>+</w:t>
      </w:r>
      <w:r w:rsidRPr="00811321">
        <w:rPr>
          <w:rFonts w:ascii="Times New Roman" w:eastAsia="Calibri" w:hAnsi="Times New Roman" w:cs="Times New Roman"/>
          <w:sz w:val="24"/>
          <w:lang w:val="en-GB"/>
        </w:rPr>
        <w:t xml:space="preserve"> (data not shown). In particular, in three different samples, the oxidant reagent HP was reported </w:t>
      </w:r>
      <w:proofErr w:type="gramStart"/>
      <w:r w:rsidRPr="00811321">
        <w:rPr>
          <w:rFonts w:ascii="Times New Roman" w:eastAsia="Calibri" w:hAnsi="Times New Roman" w:cs="Times New Roman"/>
          <w:sz w:val="24"/>
          <w:lang w:val="en-GB"/>
        </w:rPr>
        <w:t>to significantly decrease</w:t>
      </w:r>
      <w:proofErr w:type="gramEnd"/>
      <w:r w:rsidRPr="00811321">
        <w:rPr>
          <w:rFonts w:ascii="Times New Roman" w:eastAsia="Calibri" w:hAnsi="Times New Roman" w:cs="Times New Roman"/>
          <w:sz w:val="24"/>
          <w:lang w:val="en-GB"/>
        </w:rPr>
        <w:t xml:space="preserve"> the </w:t>
      </w:r>
      <w:r w:rsidR="007E505A" w:rsidRPr="00811321">
        <w:rPr>
          <w:rFonts w:ascii="Times New Roman" w:eastAsia="Calibri" w:hAnsi="Times New Roman" w:cs="Times New Roman"/>
          <w:sz w:val="24"/>
          <w:lang w:val="en-GB"/>
        </w:rPr>
        <w:t xml:space="preserve">MFI of </w:t>
      </w:r>
      <w:r w:rsidRPr="00811321">
        <w:rPr>
          <w:rFonts w:ascii="Times New Roman" w:eastAsia="Calibri" w:hAnsi="Times New Roman" w:cs="Times New Roman"/>
          <w:sz w:val="24"/>
          <w:lang w:val="en-GB"/>
        </w:rPr>
        <w:t>EV</w:t>
      </w:r>
      <w:r w:rsidR="00CB214F" w:rsidRPr="00811321">
        <w:rPr>
          <w:rFonts w:ascii="Times New Roman" w:eastAsia="Calibri" w:hAnsi="Times New Roman" w:cs="Times New Roman"/>
          <w:sz w:val="24"/>
          <w:lang w:val="en-GB"/>
        </w:rPr>
        <w:t>-</w:t>
      </w:r>
      <w:r w:rsidRPr="00811321">
        <w:rPr>
          <w:rFonts w:ascii="Times New Roman" w:eastAsia="Calibri" w:hAnsi="Times New Roman" w:cs="Times New Roman"/>
          <w:sz w:val="24"/>
          <w:lang w:val="en-GB"/>
        </w:rPr>
        <w:t>MTG</w:t>
      </w:r>
      <w:r w:rsidR="00CB214F" w:rsidRPr="00811321">
        <w:rPr>
          <w:rFonts w:ascii="Times New Roman" w:eastAsia="Calibri" w:hAnsi="Times New Roman" w:cs="Times New Roman"/>
          <w:b/>
          <w:sz w:val="24"/>
          <w:vertAlign w:val="superscript"/>
          <w:lang w:val="en-GB"/>
        </w:rPr>
        <w:t>+</w:t>
      </w:r>
      <w:r w:rsidR="00CB214F" w:rsidRPr="00811321">
        <w:rPr>
          <w:rFonts w:ascii="Times New Roman" w:eastAsia="Calibri" w:hAnsi="Times New Roman" w:cs="Times New Roman"/>
          <w:sz w:val="24"/>
          <w:vertAlign w:val="superscript"/>
          <w:lang w:val="en-GB"/>
        </w:rPr>
        <w:t xml:space="preserve"> </w:t>
      </w:r>
      <w:r w:rsidRPr="00811321">
        <w:rPr>
          <w:rFonts w:ascii="Times New Roman" w:eastAsia="Calibri" w:hAnsi="Times New Roman" w:cs="Times New Roman"/>
          <w:sz w:val="24"/>
          <w:lang w:val="en-GB"/>
        </w:rPr>
        <w:t>compared to untreated EVs (</w:t>
      </w:r>
      <w:r w:rsidR="007E505A" w:rsidRPr="00811321">
        <w:rPr>
          <w:rFonts w:ascii="Times New Roman" w:eastAsia="Calibri" w:hAnsi="Times New Roman" w:cs="Times New Roman"/>
          <w:sz w:val="24"/>
          <w:lang w:val="en-GB"/>
        </w:rPr>
        <w:t>Supplementary Fig.2</w:t>
      </w:r>
      <w:r w:rsidRPr="00811321">
        <w:rPr>
          <w:rFonts w:ascii="Times New Roman" w:eastAsia="Calibri" w:hAnsi="Times New Roman" w:cs="Times New Roman"/>
          <w:sz w:val="24"/>
          <w:lang w:val="en-GB"/>
        </w:rPr>
        <w:t>E).</w:t>
      </w:r>
    </w:p>
    <w:p w14:paraId="422C6674" w14:textId="3C635AB0" w:rsidR="00CC5A20" w:rsidRDefault="00CC5A20" w:rsidP="00392505">
      <w:pPr>
        <w:spacing w:after="0" w:line="480" w:lineRule="auto"/>
        <w:jc w:val="both"/>
        <w:rPr>
          <w:rFonts w:ascii="Times New Roman" w:eastAsia="Calibri" w:hAnsi="Times New Roman" w:cs="Times New Roman"/>
          <w:sz w:val="24"/>
          <w:lang w:val="en-GB"/>
        </w:rPr>
      </w:pPr>
    </w:p>
    <w:p w14:paraId="797AD9B7" w14:textId="77777777" w:rsidR="00CC5A20" w:rsidRPr="00CC5A20" w:rsidRDefault="00CC5A20" w:rsidP="00392505">
      <w:pPr>
        <w:spacing w:after="0" w:line="480" w:lineRule="auto"/>
        <w:jc w:val="both"/>
        <w:rPr>
          <w:rFonts w:ascii="Times New Roman" w:eastAsia="Calibri" w:hAnsi="Times New Roman" w:cs="Times New Roman"/>
          <w:sz w:val="24"/>
          <w:szCs w:val="24"/>
          <w:lang w:val="en-GB"/>
        </w:rPr>
      </w:pPr>
      <w:r w:rsidRPr="00CC5A20">
        <w:rPr>
          <w:rFonts w:ascii="Times New Roman" w:hAnsi="Times New Roman" w:cs="Times New Roman"/>
          <w:b/>
          <w:sz w:val="24"/>
          <w:szCs w:val="24"/>
          <w:lang w:val="en-GB"/>
        </w:rPr>
        <w:t>Supplementary Figure 1</w:t>
      </w:r>
      <w:r w:rsidRPr="00CC5A20">
        <w:rPr>
          <w:rFonts w:ascii="Times New Roman" w:hAnsi="Times New Roman" w:cs="Times New Roman"/>
          <w:sz w:val="24"/>
          <w:szCs w:val="24"/>
          <w:lang w:val="en-GB"/>
        </w:rPr>
        <w:t xml:space="preserve">. </w:t>
      </w:r>
      <w:r w:rsidRPr="00CC5A20">
        <w:rPr>
          <w:rFonts w:ascii="Times New Roman" w:hAnsi="Times New Roman" w:cs="Times New Roman"/>
          <w:b/>
          <w:sz w:val="24"/>
          <w:szCs w:val="24"/>
          <w:lang w:val="en-GB"/>
        </w:rPr>
        <w:t>Pairwise comparison of shared EV proteins</w:t>
      </w:r>
      <w:r w:rsidRPr="00CC5A20">
        <w:rPr>
          <w:rFonts w:ascii="Times New Roman" w:eastAsia="Calibri" w:hAnsi="Times New Roman" w:cs="Times New Roman"/>
          <w:sz w:val="24"/>
          <w:szCs w:val="24"/>
          <w:lang w:val="en-GB"/>
        </w:rPr>
        <w:t xml:space="preserve">. The matrix charts showing pairwise comparison of shared EV proteins (expressed </w:t>
      </w:r>
      <w:proofErr w:type="gramStart"/>
      <w:r w:rsidRPr="00CC5A20">
        <w:rPr>
          <w:rFonts w:ascii="Times New Roman" w:eastAsia="Calibri" w:hAnsi="Times New Roman" w:cs="Times New Roman"/>
          <w:sz w:val="24"/>
          <w:szCs w:val="24"/>
          <w:lang w:val="en-GB"/>
        </w:rPr>
        <w:t>both as a number and a</w:t>
      </w:r>
      <w:proofErr w:type="gramEnd"/>
      <w:r w:rsidRPr="00CC5A20">
        <w:rPr>
          <w:rFonts w:ascii="Times New Roman" w:eastAsia="Calibri" w:hAnsi="Times New Roman" w:cs="Times New Roman"/>
          <w:sz w:val="24"/>
          <w:szCs w:val="24"/>
          <w:lang w:val="en-GB"/>
        </w:rPr>
        <w:t xml:space="preserve"> percentage) between subjects belonging to the same group analysed. The chart </w:t>
      </w:r>
      <w:proofErr w:type="gramStart"/>
      <w:r w:rsidRPr="00CC5A20">
        <w:rPr>
          <w:rFonts w:ascii="Times New Roman" w:eastAsia="Calibri" w:hAnsi="Times New Roman" w:cs="Times New Roman"/>
          <w:sz w:val="24"/>
          <w:szCs w:val="24"/>
          <w:lang w:val="en-GB"/>
        </w:rPr>
        <w:t>was generated</w:t>
      </w:r>
      <w:proofErr w:type="gramEnd"/>
      <w:r w:rsidRPr="00CC5A20">
        <w:rPr>
          <w:rFonts w:ascii="Times New Roman" w:eastAsia="Calibri" w:hAnsi="Times New Roman" w:cs="Times New Roman"/>
          <w:sz w:val="24"/>
          <w:szCs w:val="24"/>
          <w:lang w:val="en-GB"/>
        </w:rPr>
        <w:t xml:space="preserve"> using the </w:t>
      </w:r>
      <w:proofErr w:type="spellStart"/>
      <w:r w:rsidRPr="00CC5A20">
        <w:rPr>
          <w:rFonts w:ascii="Times New Roman" w:eastAsia="Calibri" w:hAnsi="Times New Roman" w:cs="Times New Roman"/>
          <w:sz w:val="24"/>
          <w:szCs w:val="24"/>
          <w:lang w:val="en-GB"/>
        </w:rPr>
        <w:t>FunRich</w:t>
      </w:r>
      <w:proofErr w:type="spellEnd"/>
      <w:r w:rsidRPr="00CC5A20">
        <w:rPr>
          <w:rFonts w:ascii="Times New Roman" w:eastAsia="Calibri" w:hAnsi="Times New Roman" w:cs="Times New Roman"/>
          <w:sz w:val="24"/>
          <w:szCs w:val="24"/>
          <w:lang w:val="en-GB"/>
        </w:rPr>
        <w:t xml:space="preserve"> tool available at </w:t>
      </w:r>
      <w:hyperlink r:id="rId8" w:history="1">
        <w:r w:rsidRPr="00CC5A20">
          <w:rPr>
            <w:rFonts w:ascii="Times New Roman" w:eastAsia="Calibri" w:hAnsi="Times New Roman" w:cs="Times New Roman"/>
            <w:sz w:val="24"/>
            <w:szCs w:val="24"/>
            <w:lang w:val="en-GB"/>
          </w:rPr>
          <w:t>http://www.funrich.org</w:t>
        </w:r>
      </w:hyperlink>
      <w:r w:rsidRPr="00CC5A20">
        <w:rPr>
          <w:rFonts w:ascii="Times New Roman" w:eastAsia="Calibri" w:hAnsi="Times New Roman" w:cs="Times New Roman"/>
          <w:sz w:val="24"/>
          <w:szCs w:val="24"/>
          <w:lang w:val="en-GB"/>
        </w:rPr>
        <w:t xml:space="preserve">. </w:t>
      </w:r>
    </w:p>
    <w:p w14:paraId="3DD4012E" w14:textId="75B08F09" w:rsidR="00CC5A20" w:rsidRPr="00CC5A20" w:rsidRDefault="00CC5A20" w:rsidP="00392505">
      <w:pPr>
        <w:spacing w:line="480" w:lineRule="auto"/>
        <w:jc w:val="both"/>
        <w:rPr>
          <w:rFonts w:ascii="Times New Roman" w:eastAsia="Calibri" w:hAnsi="Times New Roman" w:cs="Times New Roman"/>
          <w:sz w:val="24"/>
          <w:szCs w:val="24"/>
          <w:lang w:val="en-GB"/>
        </w:rPr>
      </w:pPr>
      <w:r w:rsidRPr="00CC5A20">
        <w:rPr>
          <w:rFonts w:ascii="Times New Roman" w:eastAsia="Calibri" w:hAnsi="Times New Roman" w:cs="Times New Roman"/>
          <w:sz w:val="24"/>
          <w:szCs w:val="24"/>
          <w:lang w:val="en-GB"/>
        </w:rPr>
        <w:t>A1-6, B1-5, H1-5, L1-4, M1-3: patient’s identification letter.</w:t>
      </w:r>
    </w:p>
    <w:p w14:paraId="093E1E7A" w14:textId="77777777" w:rsidR="00CC5A20" w:rsidRPr="00CC5A20" w:rsidRDefault="00CC5A20" w:rsidP="00392505">
      <w:pPr>
        <w:spacing w:after="200" w:line="480" w:lineRule="auto"/>
        <w:jc w:val="both"/>
        <w:rPr>
          <w:rFonts w:ascii="Times New Roman" w:eastAsia="Calibri" w:hAnsi="Times New Roman" w:cs="Times New Roman"/>
          <w:sz w:val="24"/>
          <w:szCs w:val="24"/>
          <w:lang w:val="en-GB"/>
        </w:rPr>
      </w:pPr>
      <w:r w:rsidRPr="00CC5A20">
        <w:rPr>
          <w:rFonts w:ascii="Times New Roman" w:hAnsi="Times New Roman" w:cs="Times New Roman"/>
          <w:b/>
          <w:sz w:val="24"/>
          <w:szCs w:val="24"/>
          <w:lang w:val="en-GB"/>
        </w:rPr>
        <w:t>Supplementary Figure</w:t>
      </w:r>
      <w:r w:rsidRPr="00CC5A20">
        <w:rPr>
          <w:rFonts w:ascii="Times New Roman" w:eastAsia="Calibri" w:hAnsi="Times New Roman" w:cs="Times New Roman"/>
          <w:b/>
          <w:sz w:val="24"/>
          <w:szCs w:val="24"/>
          <w:lang w:val="en-GB"/>
        </w:rPr>
        <w:t xml:space="preserve"> 2</w:t>
      </w:r>
      <w:r w:rsidRPr="00CC5A20">
        <w:rPr>
          <w:rFonts w:ascii="Times New Roman" w:eastAsia="Calibri" w:hAnsi="Times New Roman" w:cs="Times New Roman"/>
          <w:sz w:val="24"/>
          <w:szCs w:val="24"/>
          <w:lang w:val="en-GB"/>
        </w:rPr>
        <w:t xml:space="preserve">. </w:t>
      </w:r>
      <w:r w:rsidRPr="00CC5A20">
        <w:rPr>
          <w:rFonts w:ascii="Times New Roman" w:eastAsia="Calibri" w:hAnsi="Times New Roman" w:cs="Times New Roman"/>
          <w:b/>
          <w:sz w:val="24"/>
          <w:szCs w:val="24"/>
          <w:lang w:val="en-GB"/>
        </w:rPr>
        <w:t xml:space="preserve">Flow </w:t>
      </w:r>
      <w:proofErr w:type="spellStart"/>
      <w:r w:rsidRPr="00CC5A20">
        <w:rPr>
          <w:rFonts w:ascii="Times New Roman" w:eastAsia="Calibri" w:hAnsi="Times New Roman" w:cs="Times New Roman"/>
          <w:b/>
          <w:sz w:val="24"/>
          <w:szCs w:val="24"/>
          <w:lang w:val="en-GB"/>
        </w:rPr>
        <w:t>cytometric</w:t>
      </w:r>
      <w:proofErr w:type="spellEnd"/>
      <w:r w:rsidRPr="00CC5A20">
        <w:rPr>
          <w:rFonts w:ascii="Times New Roman" w:eastAsia="Calibri" w:hAnsi="Times New Roman" w:cs="Times New Roman"/>
          <w:b/>
          <w:sz w:val="24"/>
          <w:szCs w:val="24"/>
          <w:lang w:val="en-GB"/>
        </w:rPr>
        <w:t xml:space="preserve"> detection of plasma EVs</w:t>
      </w:r>
      <w:r w:rsidRPr="00CC5A20">
        <w:rPr>
          <w:rFonts w:ascii="Times New Roman" w:eastAsia="Calibri" w:hAnsi="Times New Roman" w:cs="Times New Roman"/>
          <w:sz w:val="24"/>
          <w:szCs w:val="24"/>
          <w:lang w:val="en-GB"/>
        </w:rPr>
        <w:t>. (</w:t>
      </w:r>
      <w:r w:rsidRPr="00CC5A20">
        <w:rPr>
          <w:rFonts w:ascii="Times New Roman" w:eastAsia="Calibri" w:hAnsi="Times New Roman" w:cs="Times New Roman"/>
          <w:b/>
          <w:sz w:val="24"/>
          <w:szCs w:val="24"/>
          <w:lang w:val="en-GB"/>
        </w:rPr>
        <w:t>A</w:t>
      </w:r>
      <w:r w:rsidRPr="00CC5A20">
        <w:rPr>
          <w:rFonts w:ascii="Times New Roman" w:eastAsia="Calibri" w:hAnsi="Times New Roman" w:cs="Times New Roman"/>
          <w:sz w:val="24"/>
          <w:szCs w:val="24"/>
          <w:lang w:val="en-GB"/>
        </w:rPr>
        <w:t>) Gating strategy: on the left, forward scatter distribution histogram of a mixture of monodisperse beads of three different diameters ranging between 0.5 and 1 µ</w:t>
      </w:r>
      <w:proofErr w:type="gramStart"/>
      <w:r w:rsidRPr="00CC5A20">
        <w:rPr>
          <w:rFonts w:ascii="Times New Roman" w:eastAsia="Calibri" w:hAnsi="Times New Roman" w:cs="Times New Roman"/>
          <w:sz w:val="24"/>
          <w:szCs w:val="24"/>
          <w:lang w:val="en-GB"/>
        </w:rPr>
        <w:t>m which</w:t>
      </w:r>
      <w:proofErr w:type="gramEnd"/>
      <w:r w:rsidRPr="00CC5A20">
        <w:rPr>
          <w:rFonts w:ascii="Times New Roman" w:eastAsia="Calibri" w:hAnsi="Times New Roman" w:cs="Times New Roman"/>
          <w:sz w:val="24"/>
          <w:szCs w:val="24"/>
          <w:lang w:val="en-GB"/>
        </w:rPr>
        <w:t xml:space="preserve"> were used as size reference beads to construct the EVs gate within the sensitivity limit of the cytometer. On the right, an illustrative </w:t>
      </w:r>
      <w:proofErr w:type="spellStart"/>
      <w:r w:rsidRPr="00CC5A20">
        <w:rPr>
          <w:rFonts w:ascii="Times New Roman" w:eastAsia="Calibri" w:hAnsi="Times New Roman" w:cs="Times New Roman"/>
          <w:sz w:val="24"/>
          <w:szCs w:val="24"/>
          <w:lang w:val="en-GB"/>
        </w:rPr>
        <w:t>scattergram</w:t>
      </w:r>
      <w:proofErr w:type="spellEnd"/>
      <w:r w:rsidRPr="00CC5A20">
        <w:rPr>
          <w:rFonts w:ascii="Times New Roman" w:eastAsia="Calibri" w:hAnsi="Times New Roman" w:cs="Times New Roman"/>
          <w:sz w:val="24"/>
          <w:szCs w:val="24"/>
          <w:lang w:val="en-GB"/>
        </w:rPr>
        <w:t xml:space="preserve"> of SEC-purified plasma EVs with size reference beads for EVs gate setting. Only events in the EVs size range between 0.5 and 1 um were included in the analysis. (</w:t>
      </w:r>
      <w:r w:rsidRPr="00CC5A20">
        <w:rPr>
          <w:rFonts w:ascii="Times New Roman" w:eastAsia="Calibri" w:hAnsi="Times New Roman" w:cs="Times New Roman"/>
          <w:b/>
          <w:sz w:val="24"/>
          <w:szCs w:val="24"/>
          <w:lang w:val="en-GB"/>
        </w:rPr>
        <w:t>B</w:t>
      </w:r>
      <w:r w:rsidRPr="00CC5A20">
        <w:rPr>
          <w:rFonts w:ascii="Times New Roman" w:eastAsia="Calibri" w:hAnsi="Times New Roman" w:cs="Times New Roman"/>
          <w:sz w:val="24"/>
          <w:szCs w:val="24"/>
          <w:lang w:val="en-GB"/>
        </w:rPr>
        <w:t>) Labelling of EVs with PKH67 or MTG green dyes. On the left, representative EV population in 0</w:t>
      </w:r>
      <w:proofErr w:type="gramStart"/>
      <w:r w:rsidRPr="00CC5A20">
        <w:rPr>
          <w:rFonts w:ascii="Times New Roman" w:eastAsia="Calibri" w:hAnsi="Times New Roman" w:cs="Times New Roman"/>
          <w:sz w:val="24"/>
          <w:szCs w:val="24"/>
          <w:lang w:val="en-GB"/>
        </w:rPr>
        <w:t>,5</w:t>
      </w:r>
      <w:proofErr w:type="gramEnd"/>
      <w:r w:rsidRPr="00CC5A20">
        <w:rPr>
          <w:rFonts w:ascii="Times New Roman" w:eastAsia="Calibri" w:hAnsi="Times New Roman" w:cs="Times New Roman"/>
          <w:sz w:val="24"/>
          <w:szCs w:val="24"/>
          <w:lang w:val="en-GB"/>
        </w:rPr>
        <w:t xml:space="preserve">-1 µm gate. On the right, overlay histogram of PKH67- and MTG-labelled EVs in the gate. Unlabelled EVs </w:t>
      </w:r>
      <w:proofErr w:type="gramStart"/>
      <w:r w:rsidRPr="00CC5A20">
        <w:rPr>
          <w:rFonts w:ascii="Times New Roman" w:eastAsia="Calibri" w:hAnsi="Times New Roman" w:cs="Times New Roman"/>
          <w:sz w:val="24"/>
          <w:szCs w:val="24"/>
          <w:lang w:val="en-GB"/>
        </w:rPr>
        <w:t>were used</w:t>
      </w:r>
      <w:proofErr w:type="gramEnd"/>
      <w:r w:rsidRPr="00CC5A20">
        <w:rPr>
          <w:rFonts w:ascii="Times New Roman" w:eastAsia="Calibri" w:hAnsi="Times New Roman" w:cs="Times New Roman"/>
          <w:sz w:val="24"/>
          <w:szCs w:val="24"/>
          <w:lang w:val="en-GB"/>
        </w:rPr>
        <w:t xml:space="preserve"> as control. (</w:t>
      </w:r>
      <w:r w:rsidRPr="00CC5A20">
        <w:rPr>
          <w:rFonts w:ascii="Times New Roman" w:eastAsia="Calibri" w:hAnsi="Times New Roman" w:cs="Times New Roman"/>
          <w:b/>
          <w:sz w:val="24"/>
          <w:szCs w:val="24"/>
          <w:lang w:val="en-GB"/>
        </w:rPr>
        <w:t>C</w:t>
      </w:r>
      <w:r w:rsidRPr="00CC5A20">
        <w:rPr>
          <w:rFonts w:ascii="Times New Roman" w:eastAsia="Calibri" w:hAnsi="Times New Roman" w:cs="Times New Roman"/>
          <w:sz w:val="24"/>
          <w:szCs w:val="24"/>
          <w:lang w:val="en-GB"/>
        </w:rPr>
        <w:t>) (</w:t>
      </w:r>
      <w:r w:rsidRPr="00CC5A20">
        <w:rPr>
          <w:rFonts w:ascii="Times New Roman" w:eastAsia="Calibri" w:hAnsi="Times New Roman" w:cs="Times New Roman"/>
          <w:b/>
          <w:sz w:val="24"/>
          <w:szCs w:val="24"/>
          <w:lang w:val="en-GB"/>
        </w:rPr>
        <w:t>D</w:t>
      </w:r>
      <w:r w:rsidRPr="00CC5A20">
        <w:rPr>
          <w:rFonts w:ascii="Times New Roman" w:eastAsia="Calibri" w:hAnsi="Times New Roman" w:cs="Times New Roman"/>
          <w:sz w:val="24"/>
          <w:szCs w:val="24"/>
          <w:lang w:val="en-GB"/>
        </w:rPr>
        <w:t xml:space="preserve">) Effects of Triton X-100 treatment on SEC-purified or not purified (PPP) plasma EVs. On the left representative </w:t>
      </w:r>
      <w:r w:rsidRPr="00CC5A20">
        <w:rPr>
          <w:rFonts w:ascii="Times New Roman" w:eastAsia="Calibri" w:hAnsi="Times New Roman" w:cs="Times New Roman"/>
          <w:sz w:val="24"/>
          <w:szCs w:val="24"/>
          <w:lang w:val="en-GB"/>
        </w:rPr>
        <w:lastRenderedPageBreak/>
        <w:t>population of EVs in 0</w:t>
      </w:r>
      <w:proofErr w:type="gramStart"/>
      <w:r w:rsidRPr="00CC5A20">
        <w:rPr>
          <w:rFonts w:ascii="Times New Roman" w:eastAsia="Calibri" w:hAnsi="Times New Roman" w:cs="Times New Roman"/>
          <w:sz w:val="24"/>
          <w:szCs w:val="24"/>
          <w:lang w:val="en-GB"/>
        </w:rPr>
        <w:t>,5</w:t>
      </w:r>
      <w:proofErr w:type="gramEnd"/>
      <w:r w:rsidRPr="00CC5A20">
        <w:rPr>
          <w:rFonts w:ascii="Times New Roman" w:eastAsia="Calibri" w:hAnsi="Times New Roman" w:cs="Times New Roman"/>
          <w:sz w:val="24"/>
          <w:szCs w:val="24"/>
          <w:lang w:val="en-GB"/>
        </w:rPr>
        <w:t xml:space="preserve">-1 µm gate (untreated EVs). In the middle representative population of EVs after </w:t>
      </w:r>
      <w:proofErr w:type="gramStart"/>
      <w:r w:rsidRPr="00CC5A20">
        <w:rPr>
          <w:rFonts w:ascii="Times New Roman" w:eastAsia="Calibri" w:hAnsi="Times New Roman" w:cs="Times New Roman"/>
          <w:sz w:val="24"/>
          <w:szCs w:val="24"/>
          <w:lang w:val="en-GB"/>
        </w:rPr>
        <w:t>0,075%</w:t>
      </w:r>
      <w:proofErr w:type="gramEnd"/>
      <w:r w:rsidRPr="00CC5A20">
        <w:rPr>
          <w:rFonts w:ascii="Times New Roman" w:eastAsia="Calibri" w:hAnsi="Times New Roman" w:cs="Times New Roman"/>
          <w:sz w:val="24"/>
          <w:szCs w:val="24"/>
          <w:lang w:val="en-GB"/>
        </w:rPr>
        <w:t xml:space="preserve"> Triton X-100 treatment. On the right, overlay histogram of MTG-positive EV percentage before (grey) and after (black) Triton X-100 treatment. The event number of each EV sample was determined by employing Flow-Count </w:t>
      </w:r>
      <w:proofErr w:type="spellStart"/>
      <w:r w:rsidRPr="00CC5A20">
        <w:rPr>
          <w:rFonts w:ascii="Times New Roman" w:eastAsia="Calibri" w:hAnsi="Times New Roman" w:cs="Times New Roman"/>
          <w:sz w:val="24"/>
          <w:szCs w:val="24"/>
          <w:lang w:val="en-GB"/>
        </w:rPr>
        <w:t>fluorosferes</w:t>
      </w:r>
      <w:proofErr w:type="spellEnd"/>
      <w:r w:rsidRPr="00CC5A20">
        <w:rPr>
          <w:rFonts w:ascii="Times New Roman" w:eastAsia="Calibri" w:hAnsi="Times New Roman" w:cs="Times New Roman"/>
          <w:sz w:val="24"/>
          <w:szCs w:val="24"/>
          <w:lang w:val="en-GB"/>
        </w:rPr>
        <w:t xml:space="preserve"> (Beckman Coulter) used as internal reference counting beads. (</w:t>
      </w:r>
      <w:r w:rsidRPr="00CC5A20">
        <w:rPr>
          <w:rFonts w:ascii="Times New Roman" w:eastAsia="Calibri" w:hAnsi="Times New Roman" w:cs="Times New Roman"/>
          <w:b/>
          <w:sz w:val="24"/>
          <w:szCs w:val="24"/>
          <w:lang w:val="en-GB"/>
        </w:rPr>
        <w:t>E</w:t>
      </w:r>
      <w:r w:rsidRPr="00CC5A20">
        <w:rPr>
          <w:rFonts w:ascii="Times New Roman" w:eastAsia="Calibri" w:hAnsi="Times New Roman" w:cs="Times New Roman"/>
          <w:sz w:val="24"/>
          <w:szCs w:val="24"/>
          <w:lang w:val="en-GB"/>
        </w:rPr>
        <w:t xml:space="preserve">) Specificity of MTG binding to EV free thiol groups. The fluorescence histogram showing MFI of MTG-labelled SEC-purified plasma EVs untreated or treated with 10 </w:t>
      </w:r>
      <w:proofErr w:type="spellStart"/>
      <w:r w:rsidRPr="00CC5A20">
        <w:rPr>
          <w:rFonts w:ascii="Times New Roman" w:eastAsia="Calibri" w:hAnsi="Times New Roman" w:cs="Times New Roman"/>
          <w:sz w:val="24"/>
          <w:szCs w:val="24"/>
          <w:lang w:val="en-GB"/>
        </w:rPr>
        <w:t>mM</w:t>
      </w:r>
      <w:proofErr w:type="spellEnd"/>
      <w:r w:rsidRPr="00CC5A20">
        <w:rPr>
          <w:rFonts w:ascii="Times New Roman" w:eastAsia="Calibri" w:hAnsi="Times New Roman" w:cs="Times New Roman"/>
          <w:sz w:val="24"/>
          <w:szCs w:val="24"/>
          <w:lang w:val="en-GB"/>
        </w:rPr>
        <w:t xml:space="preserve"> HP, from three different samples. The MFI values (reported in the figure) </w:t>
      </w:r>
      <w:proofErr w:type="gramStart"/>
      <w:r w:rsidRPr="00CC5A20">
        <w:rPr>
          <w:rFonts w:ascii="Times New Roman" w:eastAsia="Calibri" w:hAnsi="Times New Roman" w:cs="Times New Roman"/>
          <w:sz w:val="24"/>
          <w:szCs w:val="24"/>
          <w:lang w:val="en-GB"/>
        </w:rPr>
        <w:t>were confirmed</w:t>
      </w:r>
      <w:proofErr w:type="gramEnd"/>
      <w:r w:rsidRPr="00CC5A20">
        <w:rPr>
          <w:rFonts w:ascii="Times New Roman" w:eastAsia="Calibri" w:hAnsi="Times New Roman" w:cs="Times New Roman"/>
          <w:sz w:val="24"/>
          <w:szCs w:val="24"/>
          <w:lang w:val="en-GB"/>
        </w:rPr>
        <w:t xml:space="preserve"> by a second experiment using the same three samples.</w:t>
      </w:r>
      <w:r w:rsidRPr="00CC5A20">
        <w:rPr>
          <w:rFonts w:ascii="Times New Roman" w:hAnsi="Times New Roman" w:cs="Times New Roman"/>
          <w:sz w:val="24"/>
          <w:szCs w:val="24"/>
          <w:lang w:val="en-GB"/>
        </w:rPr>
        <w:t xml:space="preserve"> </w:t>
      </w:r>
      <w:r w:rsidRPr="00CC5A20">
        <w:rPr>
          <w:rFonts w:ascii="Times New Roman" w:eastAsia="Calibri" w:hAnsi="Times New Roman" w:cs="Times New Roman"/>
          <w:sz w:val="24"/>
          <w:szCs w:val="24"/>
          <w:lang w:val="en-GB"/>
        </w:rPr>
        <w:t>Student’s t- test showed a statistically significant difference (</w:t>
      </w:r>
      <w:r w:rsidRPr="00CC5A20">
        <w:rPr>
          <w:rFonts w:ascii="Times New Roman" w:eastAsia="Calibri" w:hAnsi="Times New Roman" w:cs="Times New Roman"/>
          <w:i/>
          <w:sz w:val="24"/>
          <w:szCs w:val="24"/>
          <w:lang w:val="en-GB"/>
        </w:rPr>
        <w:t>P</w:t>
      </w:r>
      <w:r w:rsidRPr="00CC5A20">
        <w:rPr>
          <w:rFonts w:ascii="Times New Roman" w:eastAsia="Calibri" w:hAnsi="Times New Roman" w:cs="Times New Roman"/>
          <w:sz w:val="24"/>
          <w:szCs w:val="24"/>
          <w:lang w:val="en-GB"/>
        </w:rPr>
        <w:t>≤ 0</w:t>
      </w:r>
      <w:proofErr w:type="gramStart"/>
      <w:r w:rsidRPr="00CC5A20">
        <w:rPr>
          <w:rFonts w:ascii="Times New Roman" w:eastAsia="Calibri" w:hAnsi="Times New Roman" w:cs="Times New Roman"/>
          <w:sz w:val="24"/>
          <w:szCs w:val="24"/>
          <w:lang w:val="en-GB"/>
        </w:rPr>
        <w:t>,01</w:t>
      </w:r>
      <w:proofErr w:type="gramEnd"/>
      <w:r w:rsidRPr="00CC5A20">
        <w:rPr>
          <w:rFonts w:ascii="Times New Roman" w:eastAsia="Calibri" w:hAnsi="Times New Roman" w:cs="Times New Roman"/>
          <w:sz w:val="24"/>
          <w:szCs w:val="24"/>
          <w:lang w:val="en-GB"/>
        </w:rPr>
        <w:t>) between the two groups (untreated and HP treated EVs).</w:t>
      </w:r>
    </w:p>
    <w:p w14:paraId="0073ADBF" w14:textId="0931AB52" w:rsidR="009531E9" w:rsidRDefault="00CC5A20" w:rsidP="00FD6F63">
      <w:pPr>
        <w:spacing w:line="480" w:lineRule="auto"/>
        <w:jc w:val="both"/>
        <w:rPr>
          <w:rFonts w:ascii="Times New Roman" w:eastAsia="Calibri" w:hAnsi="Times New Roman" w:cs="Times New Roman"/>
          <w:sz w:val="24"/>
          <w:szCs w:val="24"/>
          <w:lang w:val="en-US"/>
        </w:rPr>
      </w:pPr>
      <w:r w:rsidRPr="00CC5A20">
        <w:rPr>
          <w:rFonts w:ascii="Times New Roman" w:eastAsia="Calibri" w:hAnsi="Times New Roman" w:cs="Times New Roman"/>
          <w:b/>
          <w:sz w:val="24"/>
          <w:szCs w:val="24"/>
          <w:lang w:val="en-US"/>
        </w:rPr>
        <w:t>Supplementary Figure 3</w:t>
      </w:r>
      <w:r w:rsidRPr="00CC5A20">
        <w:rPr>
          <w:rFonts w:ascii="Times New Roman" w:eastAsia="Calibri" w:hAnsi="Times New Roman" w:cs="Times New Roman"/>
          <w:sz w:val="24"/>
          <w:szCs w:val="24"/>
          <w:lang w:val="en-US"/>
        </w:rPr>
        <w:t>. (</w:t>
      </w:r>
      <w:r w:rsidRPr="00CC5A20">
        <w:rPr>
          <w:rFonts w:ascii="Times New Roman" w:eastAsia="Calibri" w:hAnsi="Times New Roman" w:cs="Times New Roman"/>
          <w:b/>
          <w:sz w:val="24"/>
          <w:szCs w:val="24"/>
          <w:lang w:val="en-US"/>
        </w:rPr>
        <w:t>A</w:t>
      </w:r>
      <w:r w:rsidRPr="00CC5A20">
        <w:rPr>
          <w:rFonts w:ascii="Times New Roman" w:eastAsia="Calibri" w:hAnsi="Times New Roman" w:cs="Times New Roman"/>
          <w:sz w:val="24"/>
          <w:szCs w:val="24"/>
          <w:lang w:val="en-US"/>
        </w:rPr>
        <w:t xml:space="preserve">) Representative histogram of one out of two experiments </w:t>
      </w:r>
      <w:proofErr w:type="gramStart"/>
      <w:r w:rsidRPr="00CC5A20">
        <w:rPr>
          <w:rFonts w:ascii="Times New Roman" w:eastAsia="Calibri" w:hAnsi="Times New Roman" w:cs="Times New Roman"/>
          <w:sz w:val="24"/>
          <w:szCs w:val="24"/>
          <w:lang w:val="en-US"/>
        </w:rPr>
        <w:t>showing flow cytometry analysis</w:t>
      </w:r>
      <w:proofErr w:type="gramEnd"/>
      <w:r w:rsidRPr="00CC5A20">
        <w:rPr>
          <w:rFonts w:ascii="Times New Roman" w:eastAsia="Calibri" w:hAnsi="Times New Roman" w:cs="Times New Roman"/>
          <w:sz w:val="24"/>
          <w:szCs w:val="24"/>
          <w:lang w:val="en-US"/>
        </w:rPr>
        <w:t xml:space="preserve"> of EAAT2+EVs in MTG-positive gate in culture supernatant from untreated or treated U251 cell line.</w:t>
      </w:r>
    </w:p>
    <w:tbl>
      <w:tblPr>
        <w:tblStyle w:val="Tabellasemplice-2"/>
        <w:tblpPr w:leftFromText="141" w:rightFromText="141" w:vertAnchor="text" w:horzAnchor="margin" w:tblpY="534"/>
        <w:tblW w:w="0" w:type="auto"/>
        <w:tblLook w:val="04A0" w:firstRow="1" w:lastRow="0" w:firstColumn="1" w:lastColumn="0" w:noHBand="0" w:noVBand="1"/>
      </w:tblPr>
      <w:tblGrid>
        <w:gridCol w:w="1774"/>
        <w:gridCol w:w="1781"/>
        <w:gridCol w:w="2176"/>
        <w:gridCol w:w="1582"/>
        <w:gridCol w:w="1782"/>
      </w:tblGrid>
      <w:tr w:rsidR="00DA08C6" w:rsidRPr="0020444F" w14:paraId="1657CA25" w14:textId="77777777" w:rsidTr="005E26AA">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095" w:type="dxa"/>
            <w:gridSpan w:val="5"/>
            <w:noWrap/>
            <w:hideMark/>
          </w:tcPr>
          <w:p w14:paraId="1E008E17" w14:textId="77777777" w:rsidR="00DA08C6" w:rsidRPr="0020444F" w:rsidRDefault="00DA08C6" w:rsidP="005E26AA">
            <w:pPr>
              <w:spacing w:line="480" w:lineRule="auto"/>
              <w:jc w:val="center"/>
              <w:rPr>
                <w:rFonts w:ascii="Times New Roman" w:hAnsi="Times New Roman" w:cs="Times New Roman"/>
                <w:sz w:val="24"/>
                <w:lang w:val="en-GB"/>
              </w:rPr>
            </w:pPr>
            <w:r w:rsidRPr="0020444F">
              <w:rPr>
                <w:rFonts w:ascii="Times New Roman" w:hAnsi="Times New Roman" w:cs="Times New Roman"/>
                <w:sz w:val="24"/>
                <w:lang w:val="en-GB"/>
              </w:rPr>
              <w:t>plasma EV</w:t>
            </w:r>
            <w:r>
              <w:rPr>
                <w:rFonts w:ascii="Times New Roman" w:hAnsi="Times New Roman" w:cs="Times New Roman"/>
                <w:sz w:val="24"/>
                <w:lang w:val="en-GB"/>
              </w:rPr>
              <w:t>-EAAT2</w:t>
            </w:r>
          </w:p>
        </w:tc>
      </w:tr>
      <w:tr w:rsidR="00DA08C6" w:rsidRPr="00286F39" w14:paraId="4925CD9F" w14:textId="77777777" w:rsidTr="005E26AA">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774" w:type="dxa"/>
            <w:noWrap/>
            <w:hideMark/>
          </w:tcPr>
          <w:p w14:paraId="40F2B35A" w14:textId="77777777" w:rsidR="00DA08C6" w:rsidRPr="0020444F" w:rsidRDefault="00DA08C6" w:rsidP="005E26AA">
            <w:pPr>
              <w:spacing w:line="480" w:lineRule="auto"/>
              <w:rPr>
                <w:rFonts w:ascii="Times New Roman" w:hAnsi="Times New Roman" w:cs="Times New Roman"/>
                <w:sz w:val="24"/>
                <w:lang w:val="en-GB"/>
              </w:rPr>
            </w:pPr>
          </w:p>
        </w:tc>
        <w:tc>
          <w:tcPr>
            <w:tcW w:w="1781" w:type="dxa"/>
            <w:noWrap/>
            <w:hideMark/>
          </w:tcPr>
          <w:p w14:paraId="39D7493B" w14:textId="77777777" w:rsidR="00DA08C6" w:rsidRPr="00286F39" w:rsidRDefault="00DA08C6" w:rsidP="005E26AA">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rPr>
            </w:pPr>
            <w:r w:rsidRPr="00286F39">
              <w:rPr>
                <w:rFonts w:ascii="Times New Roman" w:hAnsi="Times New Roman" w:cs="Times New Roman"/>
                <w:i/>
                <w:sz w:val="24"/>
              </w:rPr>
              <w:t>RRMS Relapse</w:t>
            </w:r>
          </w:p>
        </w:tc>
        <w:tc>
          <w:tcPr>
            <w:tcW w:w="2176" w:type="dxa"/>
            <w:noWrap/>
            <w:hideMark/>
          </w:tcPr>
          <w:p w14:paraId="1321257E" w14:textId="77777777" w:rsidR="00DA08C6" w:rsidRPr="00286F39" w:rsidRDefault="00DA08C6" w:rsidP="005E26AA">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rPr>
            </w:pPr>
            <w:r w:rsidRPr="00286F39">
              <w:rPr>
                <w:rFonts w:ascii="Times New Roman" w:hAnsi="Times New Roman" w:cs="Times New Roman"/>
                <w:i/>
                <w:sz w:val="24"/>
              </w:rPr>
              <w:t xml:space="preserve">RRMS </w:t>
            </w:r>
            <w:proofErr w:type="spellStart"/>
            <w:r w:rsidRPr="00286F39">
              <w:rPr>
                <w:rFonts w:ascii="Times New Roman" w:hAnsi="Times New Roman" w:cs="Times New Roman"/>
                <w:i/>
                <w:sz w:val="24"/>
              </w:rPr>
              <w:t>Remission</w:t>
            </w:r>
            <w:proofErr w:type="spellEnd"/>
          </w:p>
        </w:tc>
        <w:tc>
          <w:tcPr>
            <w:tcW w:w="1582" w:type="dxa"/>
            <w:noWrap/>
            <w:hideMark/>
          </w:tcPr>
          <w:p w14:paraId="79A80A11" w14:textId="77777777" w:rsidR="00DA08C6" w:rsidRPr="00286F39" w:rsidRDefault="00DA08C6" w:rsidP="005E26AA">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rPr>
            </w:pPr>
            <w:r w:rsidRPr="00286F39">
              <w:rPr>
                <w:rFonts w:ascii="Times New Roman" w:hAnsi="Times New Roman" w:cs="Times New Roman"/>
                <w:i/>
                <w:sz w:val="24"/>
              </w:rPr>
              <w:t>SPMS</w:t>
            </w:r>
          </w:p>
        </w:tc>
        <w:tc>
          <w:tcPr>
            <w:tcW w:w="1782" w:type="dxa"/>
            <w:noWrap/>
            <w:hideMark/>
          </w:tcPr>
          <w:p w14:paraId="3E973054" w14:textId="77777777" w:rsidR="00DA08C6" w:rsidRPr="00286F39" w:rsidRDefault="00DA08C6" w:rsidP="005E26AA">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rPr>
            </w:pPr>
            <w:r w:rsidRPr="00286F39">
              <w:rPr>
                <w:rFonts w:ascii="Times New Roman" w:hAnsi="Times New Roman" w:cs="Times New Roman"/>
                <w:i/>
                <w:sz w:val="24"/>
              </w:rPr>
              <w:t>HC</w:t>
            </w:r>
          </w:p>
        </w:tc>
      </w:tr>
      <w:tr w:rsidR="00DA08C6" w:rsidRPr="00286F39" w14:paraId="77D33A84" w14:textId="77777777" w:rsidTr="005E26AA">
        <w:trPr>
          <w:trHeight w:val="359"/>
        </w:trPr>
        <w:tc>
          <w:tcPr>
            <w:cnfStyle w:val="001000000000" w:firstRow="0" w:lastRow="0" w:firstColumn="1" w:lastColumn="0" w:oddVBand="0" w:evenVBand="0" w:oddHBand="0" w:evenHBand="0" w:firstRowFirstColumn="0" w:firstRowLastColumn="0" w:lastRowFirstColumn="0" w:lastRowLastColumn="0"/>
            <w:tcW w:w="1774" w:type="dxa"/>
            <w:noWrap/>
            <w:hideMark/>
          </w:tcPr>
          <w:p w14:paraId="4A4E3510" w14:textId="77777777" w:rsidR="00DA08C6" w:rsidRPr="00A95594" w:rsidRDefault="00DA08C6" w:rsidP="005E26AA">
            <w:pPr>
              <w:spacing w:line="480" w:lineRule="auto"/>
              <w:rPr>
                <w:rFonts w:ascii="Times New Roman" w:hAnsi="Times New Roman" w:cs="Times New Roman"/>
                <w:i/>
                <w:sz w:val="24"/>
              </w:rPr>
            </w:pPr>
            <w:r w:rsidRPr="00A95594">
              <w:rPr>
                <w:rFonts w:ascii="Times New Roman" w:hAnsi="Times New Roman" w:cs="Times New Roman"/>
                <w:i/>
                <w:sz w:val="24"/>
              </w:rPr>
              <w:t>P-</w:t>
            </w:r>
            <w:proofErr w:type="spellStart"/>
            <w:r w:rsidRPr="00A95594">
              <w:rPr>
                <w:rFonts w:ascii="Times New Roman" w:hAnsi="Times New Roman" w:cs="Times New Roman"/>
                <w:i/>
                <w:sz w:val="24"/>
              </w:rPr>
              <w:t>value</w:t>
            </w:r>
            <w:r w:rsidRPr="00A95594">
              <w:rPr>
                <w:rFonts w:ascii="Times New Roman" w:hAnsi="Times New Roman" w:cs="Times New Roman"/>
                <w:i/>
                <w:sz w:val="24"/>
                <w:vertAlign w:val="superscript"/>
              </w:rPr>
              <w:t>a</w:t>
            </w:r>
            <w:proofErr w:type="spellEnd"/>
          </w:p>
        </w:tc>
        <w:tc>
          <w:tcPr>
            <w:tcW w:w="1781" w:type="dxa"/>
            <w:noWrap/>
            <w:hideMark/>
          </w:tcPr>
          <w:p w14:paraId="35567AA9" w14:textId="77777777" w:rsidR="00DA08C6" w:rsidRPr="00286F39" w:rsidRDefault="00DA08C6" w:rsidP="005E26AA">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286F39">
              <w:rPr>
                <w:rFonts w:ascii="Times New Roman" w:hAnsi="Times New Roman" w:cs="Times New Roman"/>
                <w:sz w:val="24"/>
              </w:rPr>
              <w:t>0,5</w:t>
            </w:r>
          </w:p>
        </w:tc>
        <w:tc>
          <w:tcPr>
            <w:tcW w:w="2176" w:type="dxa"/>
            <w:noWrap/>
            <w:hideMark/>
          </w:tcPr>
          <w:p w14:paraId="51AC62AF" w14:textId="77777777" w:rsidR="00DA08C6" w:rsidRPr="00286F39" w:rsidRDefault="00DA08C6" w:rsidP="005E26AA">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286F39">
              <w:rPr>
                <w:rFonts w:ascii="Times New Roman" w:hAnsi="Times New Roman" w:cs="Times New Roman"/>
                <w:sz w:val="24"/>
              </w:rPr>
              <w:t>0,08</w:t>
            </w:r>
          </w:p>
        </w:tc>
        <w:tc>
          <w:tcPr>
            <w:tcW w:w="1582" w:type="dxa"/>
            <w:noWrap/>
            <w:hideMark/>
          </w:tcPr>
          <w:p w14:paraId="5D52C3BE" w14:textId="77777777" w:rsidR="00DA08C6" w:rsidRPr="00286F39" w:rsidRDefault="00DA08C6" w:rsidP="005E26AA">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286F39">
              <w:rPr>
                <w:rFonts w:ascii="Times New Roman" w:hAnsi="Times New Roman" w:cs="Times New Roman"/>
                <w:sz w:val="24"/>
              </w:rPr>
              <w:t>0,7</w:t>
            </w:r>
          </w:p>
        </w:tc>
        <w:tc>
          <w:tcPr>
            <w:tcW w:w="1782" w:type="dxa"/>
            <w:noWrap/>
            <w:hideMark/>
          </w:tcPr>
          <w:p w14:paraId="4B2C26A4" w14:textId="77777777" w:rsidR="00DA08C6" w:rsidRPr="00286F39" w:rsidRDefault="00DA08C6" w:rsidP="005E26AA">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286F39">
              <w:rPr>
                <w:rFonts w:ascii="Times New Roman" w:hAnsi="Times New Roman" w:cs="Times New Roman"/>
                <w:sz w:val="24"/>
              </w:rPr>
              <w:t>0,9</w:t>
            </w:r>
          </w:p>
        </w:tc>
      </w:tr>
    </w:tbl>
    <w:p w14:paraId="6196A33A" w14:textId="77777777" w:rsidR="00DA08C6" w:rsidRPr="00DA08C6" w:rsidRDefault="00DA08C6" w:rsidP="00DA08C6">
      <w:pPr>
        <w:spacing w:after="200" w:line="480" w:lineRule="auto"/>
        <w:rPr>
          <w:rFonts w:ascii="Times New Roman" w:eastAsia="Calibri" w:hAnsi="Times New Roman" w:cs="Times New Roman"/>
          <w:sz w:val="24"/>
          <w:szCs w:val="36"/>
          <w:lang w:val="en-US"/>
        </w:rPr>
      </w:pPr>
      <w:r w:rsidRPr="00DA08C6">
        <w:rPr>
          <w:rFonts w:ascii="Times New Roman" w:hAnsi="Times New Roman" w:cs="Times New Roman"/>
          <w:b/>
          <w:sz w:val="24"/>
          <w:szCs w:val="24"/>
          <w:lang w:val="en-GB"/>
        </w:rPr>
        <w:t>Supplementary</w:t>
      </w:r>
      <w:r w:rsidRPr="00DA08C6">
        <w:rPr>
          <w:rFonts w:ascii="Times New Roman" w:eastAsia="Calibri" w:hAnsi="Times New Roman" w:cs="Times New Roman"/>
          <w:b/>
          <w:sz w:val="24"/>
          <w:szCs w:val="36"/>
          <w:lang w:val="en-US"/>
        </w:rPr>
        <w:t xml:space="preserve"> table 8</w:t>
      </w:r>
      <w:r w:rsidRPr="00DA08C6">
        <w:rPr>
          <w:rFonts w:ascii="Times New Roman" w:eastAsia="Calibri" w:hAnsi="Times New Roman" w:cs="Times New Roman"/>
          <w:sz w:val="24"/>
          <w:szCs w:val="36"/>
          <w:lang w:val="en-US"/>
        </w:rPr>
        <w:t>. Statistical analysis of EV-EAAT2 plasma level and gender.</w:t>
      </w:r>
    </w:p>
    <w:p w14:paraId="51862BED" w14:textId="77777777" w:rsidR="00DA08C6" w:rsidRPr="00FD6F63" w:rsidRDefault="00DA08C6" w:rsidP="00FD6F63">
      <w:pPr>
        <w:spacing w:line="480" w:lineRule="auto"/>
        <w:jc w:val="both"/>
        <w:rPr>
          <w:rFonts w:ascii="Times New Roman" w:hAnsi="Times New Roman" w:cs="Times New Roman"/>
          <w:b/>
          <w:sz w:val="24"/>
          <w:szCs w:val="24"/>
          <w:lang w:val="en-US"/>
        </w:rPr>
      </w:pPr>
      <w:bookmarkStart w:id="0" w:name="_GoBack"/>
      <w:bookmarkEnd w:id="0"/>
    </w:p>
    <w:sectPr w:rsidR="00DA08C6" w:rsidRPr="00FD6F63" w:rsidSect="00392505">
      <w:footerReference w:type="default" r:id="rId9"/>
      <w:pgSz w:w="11906" w:h="16838"/>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718AD" w14:textId="77777777" w:rsidR="00BA7DF8" w:rsidRDefault="00BA7DF8" w:rsidP="00392505">
      <w:pPr>
        <w:spacing w:after="0" w:line="240" w:lineRule="auto"/>
      </w:pPr>
      <w:r>
        <w:separator/>
      </w:r>
    </w:p>
  </w:endnote>
  <w:endnote w:type="continuationSeparator" w:id="0">
    <w:p w14:paraId="1D7085B1" w14:textId="77777777" w:rsidR="00BA7DF8" w:rsidRDefault="00BA7DF8" w:rsidP="00392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2466203"/>
      <w:docPartObj>
        <w:docPartGallery w:val="Page Numbers (Bottom of Page)"/>
        <w:docPartUnique/>
      </w:docPartObj>
    </w:sdtPr>
    <w:sdtEndPr/>
    <w:sdtContent>
      <w:p w14:paraId="54B66F31" w14:textId="2E5C6751" w:rsidR="00392505" w:rsidRDefault="00392505">
        <w:pPr>
          <w:pStyle w:val="Pidipagina"/>
          <w:jc w:val="right"/>
        </w:pPr>
        <w:r>
          <w:fldChar w:fldCharType="begin"/>
        </w:r>
        <w:r>
          <w:instrText>PAGE   \* MERGEFORMAT</w:instrText>
        </w:r>
        <w:r>
          <w:fldChar w:fldCharType="separate"/>
        </w:r>
        <w:r w:rsidR="00DA08C6">
          <w:rPr>
            <w:noProof/>
          </w:rPr>
          <w:t>3</w:t>
        </w:r>
        <w:r>
          <w:fldChar w:fldCharType="end"/>
        </w:r>
      </w:p>
    </w:sdtContent>
  </w:sdt>
  <w:p w14:paraId="063C0577" w14:textId="77777777" w:rsidR="00392505" w:rsidRDefault="003925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5834E" w14:textId="77777777" w:rsidR="00BA7DF8" w:rsidRDefault="00BA7DF8" w:rsidP="00392505">
      <w:pPr>
        <w:spacing w:after="0" w:line="240" w:lineRule="auto"/>
      </w:pPr>
      <w:r>
        <w:separator/>
      </w:r>
    </w:p>
  </w:footnote>
  <w:footnote w:type="continuationSeparator" w:id="0">
    <w:p w14:paraId="68C5754C" w14:textId="77777777" w:rsidR="00BA7DF8" w:rsidRDefault="00BA7DF8" w:rsidP="003925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430BD"/>
    <w:multiLevelType w:val="hybridMultilevel"/>
    <w:tmpl w:val="E5C2F8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B18"/>
    <w:rsid w:val="00033323"/>
    <w:rsid w:val="00043252"/>
    <w:rsid w:val="000468B6"/>
    <w:rsid w:val="00046A63"/>
    <w:rsid w:val="000610BF"/>
    <w:rsid w:val="00067700"/>
    <w:rsid w:val="000853F3"/>
    <w:rsid w:val="00086463"/>
    <w:rsid w:val="000A0DB0"/>
    <w:rsid w:val="000A5576"/>
    <w:rsid w:val="000B3F7C"/>
    <w:rsid w:val="000B6558"/>
    <w:rsid w:val="000C7E9E"/>
    <w:rsid w:val="000D02F7"/>
    <w:rsid w:val="000D2C2A"/>
    <w:rsid w:val="00103326"/>
    <w:rsid w:val="001128D9"/>
    <w:rsid w:val="00113890"/>
    <w:rsid w:val="00121FD7"/>
    <w:rsid w:val="001313AD"/>
    <w:rsid w:val="00134A7C"/>
    <w:rsid w:val="001573ED"/>
    <w:rsid w:val="00160A27"/>
    <w:rsid w:val="00162E07"/>
    <w:rsid w:val="00171523"/>
    <w:rsid w:val="00171963"/>
    <w:rsid w:val="0017717A"/>
    <w:rsid w:val="001A23D2"/>
    <w:rsid w:val="001A3954"/>
    <w:rsid w:val="001B0408"/>
    <w:rsid w:val="001C1243"/>
    <w:rsid w:val="001C48D4"/>
    <w:rsid w:val="001D2F3A"/>
    <w:rsid w:val="001E5BE0"/>
    <w:rsid w:val="001F16C0"/>
    <w:rsid w:val="00206DEE"/>
    <w:rsid w:val="00225ECD"/>
    <w:rsid w:val="00236D32"/>
    <w:rsid w:val="00252468"/>
    <w:rsid w:val="00257E4D"/>
    <w:rsid w:val="0026201E"/>
    <w:rsid w:val="0026676B"/>
    <w:rsid w:val="00271F38"/>
    <w:rsid w:val="00283AF8"/>
    <w:rsid w:val="00297F47"/>
    <w:rsid w:val="002A0E37"/>
    <w:rsid w:val="002A51DF"/>
    <w:rsid w:val="002A7CE6"/>
    <w:rsid w:val="002B4E98"/>
    <w:rsid w:val="002B5ACC"/>
    <w:rsid w:val="002E64F8"/>
    <w:rsid w:val="002F76AF"/>
    <w:rsid w:val="00300039"/>
    <w:rsid w:val="00317163"/>
    <w:rsid w:val="00333423"/>
    <w:rsid w:val="0033393C"/>
    <w:rsid w:val="00346763"/>
    <w:rsid w:val="003469A7"/>
    <w:rsid w:val="003474B9"/>
    <w:rsid w:val="0035725A"/>
    <w:rsid w:val="003755DE"/>
    <w:rsid w:val="00375D86"/>
    <w:rsid w:val="00381C6D"/>
    <w:rsid w:val="00392505"/>
    <w:rsid w:val="003969F5"/>
    <w:rsid w:val="003C1412"/>
    <w:rsid w:val="003D75F0"/>
    <w:rsid w:val="0040049C"/>
    <w:rsid w:val="00413744"/>
    <w:rsid w:val="00415850"/>
    <w:rsid w:val="0041747F"/>
    <w:rsid w:val="00421C24"/>
    <w:rsid w:val="00422BA1"/>
    <w:rsid w:val="004271D1"/>
    <w:rsid w:val="004611FC"/>
    <w:rsid w:val="00480978"/>
    <w:rsid w:val="004854BE"/>
    <w:rsid w:val="0048622A"/>
    <w:rsid w:val="004867F4"/>
    <w:rsid w:val="00492507"/>
    <w:rsid w:val="004939B6"/>
    <w:rsid w:val="004A759C"/>
    <w:rsid w:val="004B5BF6"/>
    <w:rsid w:val="004B66F2"/>
    <w:rsid w:val="004C1A7A"/>
    <w:rsid w:val="004D489F"/>
    <w:rsid w:val="004E1072"/>
    <w:rsid w:val="004E2730"/>
    <w:rsid w:val="004F0840"/>
    <w:rsid w:val="00502FF1"/>
    <w:rsid w:val="0050409A"/>
    <w:rsid w:val="00507FD5"/>
    <w:rsid w:val="00510CC6"/>
    <w:rsid w:val="00534ACA"/>
    <w:rsid w:val="0053556B"/>
    <w:rsid w:val="00540D66"/>
    <w:rsid w:val="00553E2E"/>
    <w:rsid w:val="00560641"/>
    <w:rsid w:val="00562E19"/>
    <w:rsid w:val="00584AC2"/>
    <w:rsid w:val="00586E28"/>
    <w:rsid w:val="00592E67"/>
    <w:rsid w:val="00595947"/>
    <w:rsid w:val="005B0759"/>
    <w:rsid w:val="005B260C"/>
    <w:rsid w:val="005C7866"/>
    <w:rsid w:val="005E04B7"/>
    <w:rsid w:val="00606BAC"/>
    <w:rsid w:val="006320C2"/>
    <w:rsid w:val="00657DAC"/>
    <w:rsid w:val="006918BC"/>
    <w:rsid w:val="006A0DC0"/>
    <w:rsid w:val="006A12AC"/>
    <w:rsid w:val="006A19CA"/>
    <w:rsid w:val="006A39D2"/>
    <w:rsid w:val="006A5C50"/>
    <w:rsid w:val="006B29CD"/>
    <w:rsid w:val="006C3611"/>
    <w:rsid w:val="006C7CEC"/>
    <w:rsid w:val="0071736C"/>
    <w:rsid w:val="007245A9"/>
    <w:rsid w:val="00760656"/>
    <w:rsid w:val="00762317"/>
    <w:rsid w:val="0076403A"/>
    <w:rsid w:val="007706EC"/>
    <w:rsid w:val="0077570B"/>
    <w:rsid w:val="0077796E"/>
    <w:rsid w:val="00777E88"/>
    <w:rsid w:val="007828CC"/>
    <w:rsid w:val="00782D36"/>
    <w:rsid w:val="00791DD5"/>
    <w:rsid w:val="00793CD7"/>
    <w:rsid w:val="007A0486"/>
    <w:rsid w:val="007B2F97"/>
    <w:rsid w:val="007E505A"/>
    <w:rsid w:val="008016D4"/>
    <w:rsid w:val="0080654D"/>
    <w:rsid w:val="00811321"/>
    <w:rsid w:val="00822420"/>
    <w:rsid w:val="0082283F"/>
    <w:rsid w:val="008416A7"/>
    <w:rsid w:val="0086719A"/>
    <w:rsid w:val="0088455A"/>
    <w:rsid w:val="00887C53"/>
    <w:rsid w:val="0089577B"/>
    <w:rsid w:val="00896D3D"/>
    <w:rsid w:val="008B1F7C"/>
    <w:rsid w:val="008B34D5"/>
    <w:rsid w:val="008B3E95"/>
    <w:rsid w:val="00901DC4"/>
    <w:rsid w:val="00907B15"/>
    <w:rsid w:val="009208F6"/>
    <w:rsid w:val="00921949"/>
    <w:rsid w:val="009238E0"/>
    <w:rsid w:val="00924806"/>
    <w:rsid w:val="0094540B"/>
    <w:rsid w:val="009531E9"/>
    <w:rsid w:val="00961B69"/>
    <w:rsid w:val="0096215D"/>
    <w:rsid w:val="009632D0"/>
    <w:rsid w:val="009729C9"/>
    <w:rsid w:val="00973501"/>
    <w:rsid w:val="00975232"/>
    <w:rsid w:val="00983080"/>
    <w:rsid w:val="009A7584"/>
    <w:rsid w:val="009B397F"/>
    <w:rsid w:val="009D0260"/>
    <w:rsid w:val="009E72E7"/>
    <w:rsid w:val="00A01DC7"/>
    <w:rsid w:val="00A10EAA"/>
    <w:rsid w:val="00A200A9"/>
    <w:rsid w:val="00A61172"/>
    <w:rsid w:val="00A63125"/>
    <w:rsid w:val="00A70E0E"/>
    <w:rsid w:val="00A96747"/>
    <w:rsid w:val="00AA7643"/>
    <w:rsid w:val="00AC3B81"/>
    <w:rsid w:val="00AC674B"/>
    <w:rsid w:val="00AD5998"/>
    <w:rsid w:val="00AD7A68"/>
    <w:rsid w:val="00AF7E87"/>
    <w:rsid w:val="00B026EF"/>
    <w:rsid w:val="00B229EA"/>
    <w:rsid w:val="00B33B4D"/>
    <w:rsid w:val="00B50661"/>
    <w:rsid w:val="00B52D93"/>
    <w:rsid w:val="00B57E57"/>
    <w:rsid w:val="00B62C96"/>
    <w:rsid w:val="00B7695E"/>
    <w:rsid w:val="00B83459"/>
    <w:rsid w:val="00B9769A"/>
    <w:rsid w:val="00BA1CB5"/>
    <w:rsid w:val="00BA2998"/>
    <w:rsid w:val="00BA7DF8"/>
    <w:rsid w:val="00BD0691"/>
    <w:rsid w:val="00BD2484"/>
    <w:rsid w:val="00BE7F4F"/>
    <w:rsid w:val="00BF7707"/>
    <w:rsid w:val="00C007C7"/>
    <w:rsid w:val="00C022B4"/>
    <w:rsid w:val="00C11F2F"/>
    <w:rsid w:val="00C142DC"/>
    <w:rsid w:val="00C173CF"/>
    <w:rsid w:val="00C216EE"/>
    <w:rsid w:val="00C349B5"/>
    <w:rsid w:val="00C35AA6"/>
    <w:rsid w:val="00C4186C"/>
    <w:rsid w:val="00C4228E"/>
    <w:rsid w:val="00C73215"/>
    <w:rsid w:val="00C8167F"/>
    <w:rsid w:val="00C86FF5"/>
    <w:rsid w:val="00CB214F"/>
    <w:rsid w:val="00CB225B"/>
    <w:rsid w:val="00CC5A20"/>
    <w:rsid w:val="00CE76C7"/>
    <w:rsid w:val="00CF2C5A"/>
    <w:rsid w:val="00D101FA"/>
    <w:rsid w:val="00D11564"/>
    <w:rsid w:val="00D12491"/>
    <w:rsid w:val="00D151D2"/>
    <w:rsid w:val="00D17DBD"/>
    <w:rsid w:val="00D31A57"/>
    <w:rsid w:val="00D343F3"/>
    <w:rsid w:val="00D40013"/>
    <w:rsid w:val="00D52283"/>
    <w:rsid w:val="00D561D8"/>
    <w:rsid w:val="00D650C3"/>
    <w:rsid w:val="00D74DE1"/>
    <w:rsid w:val="00D77B18"/>
    <w:rsid w:val="00D82E24"/>
    <w:rsid w:val="00DA08C6"/>
    <w:rsid w:val="00DA2B01"/>
    <w:rsid w:val="00DA57E0"/>
    <w:rsid w:val="00DB4EC7"/>
    <w:rsid w:val="00DB6831"/>
    <w:rsid w:val="00DD3F7D"/>
    <w:rsid w:val="00DE4CA8"/>
    <w:rsid w:val="00DF24F4"/>
    <w:rsid w:val="00DF5C15"/>
    <w:rsid w:val="00DF764C"/>
    <w:rsid w:val="00E00BA6"/>
    <w:rsid w:val="00E011C5"/>
    <w:rsid w:val="00E15817"/>
    <w:rsid w:val="00E35618"/>
    <w:rsid w:val="00E44B15"/>
    <w:rsid w:val="00E55E69"/>
    <w:rsid w:val="00E75ABD"/>
    <w:rsid w:val="00E91DF8"/>
    <w:rsid w:val="00EA0C27"/>
    <w:rsid w:val="00EB4E88"/>
    <w:rsid w:val="00EF4DF3"/>
    <w:rsid w:val="00F22228"/>
    <w:rsid w:val="00F2303D"/>
    <w:rsid w:val="00F356FE"/>
    <w:rsid w:val="00F423DA"/>
    <w:rsid w:val="00F602C5"/>
    <w:rsid w:val="00F65503"/>
    <w:rsid w:val="00F94072"/>
    <w:rsid w:val="00FA3B59"/>
    <w:rsid w:val="00FD512C"/>
    <w:rsid w:val="00FD5884"/>
    <w:rsid w:val="00FD6F63"/>
    <w:rsid w:val="00FE5EAB"/>
    <w:rsid w:val="00FF3D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63531"/>
  <w15:chartTrackingRefBased/>
  <w15:docId w15:val="{40538AB1-E4B6-4C35-A813-45614AE66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77B1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B397F"/>
    <w:pPr>
      <w:spacing w:before="100" w:beforeAutospacing="1" w:after="100" w:afterAutospacing="1" w:line="240" w:lineRule="auto"/>
    </w:pPr>
    <w:rPr>
      <w:rFonts w:ascii="Times New Roman" w:eastAsiaTheme="minorEastAsia" w:hAnsi="Times New Roman" w:cs="Times New Roman"/>
      <w:sz w:val="24"/>
      <w:szCs w:val="24"/>
      <w:lang w:eastAsia="it-IT"/>
    </w:rPr>
  </w:style>
  <w:style w:type="table" w:styleId="Tabellasemplice-3">
    <w:name w:val="Plain Table 3"/>
    <w:basedOn w:val="Tabellanormale"/>
    <w:uiPriority w:val="43"/>
    <w:rsid w:val="0089577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gliatabella">
    <w:name w:val="Table Grid"/>
    <w:basedOn w:val="Tabellanormale"/>
    <w:uiPriority w:val="39"/>
    <w:rsid w:val="00895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rsid w:val="0089577B"/>
  </w:style>
  <w:style w:type="paragraph" w:styleId="Intestazione">
    <w:name w:val="header"/>
    <w:basedOn w:val="Normale"/>
    <w:link w:val="IntestazioneCarattere"/>
    <w:uiPriority w:val="99"/>
    <w:unhideWhenUsed/>
    <w:rsid w:val="008957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9577B"/>
  </w:style>
  <w:style w:type="paragraph" w:styleId="Pidipagina">
    <w:name w:val="footer"/>
    <w:basedOn w:val="Normale"/>
    <w:link w:val="PidipaginaCarattere"/>
    <w:uiPriority w:val="99"/>
    <w:unhideWhenUsed/>
    <w:rsid w:val="0089577B"/>
    <w:pPr>
      <w:tabs>
        <w:tab w:val="center" w:pos="4819"/>
        <w:tab w:val="right" w:pos="9638"/>
      </w:tabs>
      <w:spacing w:after="0" w:line="240" w:lineRule="auto"/>
    </w:pPr>
  </w:style>
  <w:style w:type="table" w:styleId="Tabellasemplice-2">
    <w:name w:val="Plain Table 2"/>
    <w:basedOn w:val="Tabellanormale"/>
    <w:uiPriority w:val="42"/>
    <w:rsid w:val="006A0D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llegamentoipertestuale">
    <w:name w:val="Hyperlink"/>
    <w:basedOn w:val="Carpredefinitoparagrafo"/>
    <w:uiPriority w:val="99"/>
    <w:unhideWhenUsed/>
    <w:rsid w:val="00C142DC"/>
    <w:rPr>
      <w:color w:val="0563C1"/>
      <w:u w:val="single"/>
    </w:rPr>
  </w:style>
  <w:style w:type="character" w:styleId="Collegamentovisitato">
    <w:name w:val="FollowedHyperlink"/>
    <w:basedOn w:val="Carpredefinitoparagrafo"/>
    <w:uiPriority w:val="99"/>
    <w:semiHidden/>
    <w:unhideWhenUsed/>
    <w:rsid w:val="00C142DC"/>
    <w:rPr>
      <w:color w:val="954F72"/>
      <w:u w:val="single"/>
    </w:rPr>
  </w:style>
  <w:style w:type="paragraph" w:customStyle="1" w:styleId="msonormal0">
    <w:name w:val="msonormal"/>
    <w:basedOn w:val="Normale"/>
    <w:rsid w:val="00C142D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65">
    <w:name w:val="xl65"/>
    <w:basedOn w:val="Normale"/>
    <w:rsid w:val="00C142DC"/>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0B655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B6558"/>
    <w:rPr>
      <w:rFonts w:ascii="Segoe UI" w:hAnsi="Segoe UI" w:cs="Segoe UI"/>
      <w:sz w:val="18"/>
      <w:szCs w:val="18"/>
    </w:rPr>
  </w:style>
  <w:style w:type="character" w:styleId="Rimandocommento">
    <w:name w:val="annotation reference"/>
    <w:basedOn w:val="Carpredefinitoparagrafo"/>
    <w:uiPriority w:val="99"/>
    <w:semiHidden/>
    <w:unhideWhenUsed/>
    <w:rsid w:val="000B6558"/>
    <w:rPr>
      <w:sz w:val="16"/>
      <w:szCs w:val="16"/>
    </w:rPr>
  </w:style>
  <w:style w:type="paragraph" w:styleId="Testocommento">
    <w:name w:val="annotation text"/>
    <w:basedOn w:val="Normale"/>
    <w:link w:val="TestocommentoCarattere"/>
    <w:uiPriority w:val="99"/>
    <w:semiHidden/>
    <w:unhideWhenUsed/>
    <w:rsid w:val="000B655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B6558"/>
    <w:rPr>
      <w:sz w:val="20"/>
      <w:szCs w:val="20"/>
    </w:rPr>
  </w:style>
  <w:style w:type="paragraph" w:styleId="Soggettocommento">
    <w:name w:val="annotation subject"/>
    <w:basedOn w:val="Testocommento"/>
    <w:next w:val="Testocommento"/>
    <w:link w:val="SoggettocommentoCarattere"/>
    <w:uiPriority w:val="99"/>
    <w:semiHidden/>
    <w:unhideWhenUsed/>
    <w:rsid w:val="000B6558"/>
    <w:rPr>
      <w:b/>
      <w:bCs/>
    </w:rPr>
  </w:style>
  <w:style w:type="character" w:customStyle="1" w:styleId="SoggettocommentoCarattere">
    <w:name w:val="Soggetto commento Carattere"/>
    <w:basedOn w:val="TestocommentoCarattere"/>
    <w:link w:val="Soggettocommento"/>
    <w:uiPriority w:val="99"/>
    <w:semiHidden/>
    <w:rsid w:val="000B6558"/>
    <w:rPr>
      <w:b/>
      <w:bCs/>
      <w:sz w:val="20"/>
      <w:szCs w:val="20"/>
    </w:rPr>
  </w:style>
  <w:style w:type="paragraph" w:styleId="Paragrafoelenco">
    <w:name w:val="List Paragraph"/>
    <w:basedOn w:val="Normale"/>
    <w:uiPriority w:val="34"/>
    <w:qFormat/>
    <w:rsid w:val="002E64F8"/>
    <w:pPr>
      <w:ind w:left="720"/>
      <w:contextualSpacing/>
    </w:pPr>
  </w:style>
  <w:style w:type="character" w:customStyle="1" w:styleId="IntestazioneCarattere1">
    <w:name w:val="Intestazione Carattere1"/>
    <w:basedOn w:val="Carpredefinitoparagrafo"/>
    <w:uiPriority w:val="99"/>
    <w:semiHidden/>
    <w:rsid w:val="00B52D93"/>
  </w:style>
  <w:style w:type="character" w:customStyle="1" w:styleId="PidipaginaCarattere1">
    <w:name w:val="Piè di pagina Carattere1"/>
    <w:basedOn w:val="Carpredefinitoparagrafo"/>
    <w:uiPriority w:val="99"/>
    <w:semiHidden/>
    <w:rsid w:val="00B52D93"/>
  </w:style>
  <w:style w:type="character" w:styleId="Numeroriga">
    <w:name w:val="line number"/>
    <w:basedOn w:val="Carpredefinitoparagrafo"/>
    <w:uiPriority w:val="99"/>
    <w:semiHidden/>
    <w:unhideWhenUsed/>
    <w:rsid w:val="00392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04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rich.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8AAC4-BEE9-4492-B45C-D1BF91294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1006</Words>
  <Characters>5737</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Margutti Paola</dc:creator>
  <cp:keywords/>
  <dc:description/>
  <cp:lastModifiedBy>Margutti Paola</cp:lastModifiedBy>
  <cp:revision>4</cp:revision>
  <cp:lastPrinted>2023-12-18T15:57:00Z</cp:lastPrinted>
  <dcterms:created xsi:type="dcterms:W3CDTF">2024-01-26T14:53:00Z</dcterms:created>
  <dcterms:modified xsi:type="dcterms:W3CDTF">2024-01-29T15:42:00Z</dcterms:modified>
</cp:coreProperties>
</file>