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84121" w:rsidRPr="00084121" w:rsidRDefault="00084121" w:rsidP="00084121">
      <w:pPr>
        <w:spacing w:before="100" w:beforeAutospacing="1" w:after="100" w:afterAutospacing="1" w:line="48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84121">
        <w:rPr>
          <w:rFonts w:ascii="Times New Roman" w:eastAsia="Times New Roman" w:hAnsi="Times New Roman" w:cs="Times New Roman"/>
          <w:b/>
          <w:sz w:val="24"/>
          <w:szCs w:val="24"/>
        </w:rPr>
        <w:t>S</w:t>
      </w:r>
      <w:r w:rsidRPr="00084121">
        <w:rPr>
          <w:rFonts w:ascii="Times New Roman" w:eastAsia="Times New Roman" w:hAnsi="Times New Roman" w:cs="Times New Roman"/>
          <w:b/>
          <w:sz w:val="24"/>
          <w:szCs w:val="24"/>
        </w:rPr>
        <w:t>ynthesis</w:t>
      </w:r>
      <w:r w:rsidRPr="00084121">
        <w:rPr>
          <w:rFonts w:ascii="Times New Roman" w:eastAsia="Times New Roman" w:hAnsi="Times New Roman" w:cs="Times New Roman"/>
          <w:b/>
          <w:sz w:val="24"/>
          <w:szCs w:val="24"/>
        </w:rPr>
        <w:t xml:space="preserve"> including </w:t>
      </w:r>
      <w:proofErr w:type="spellStart"/>
      <w:r w:rsidRPr="00084121">
        <w:rPr>
          <w:rFonts w:ascii="Times New Roman" w:eastAsia="Times New Roman" w:hAnsi="Times New Roman" w:cs="Times New Roman"/>
          <w:b/>
          <w:sz w:val="24"/>
          <w:szCs w:val="24"/>
        </w:rPr>
        <w:t>Mehra</w:t>
      </w:r>
      <w:proofErr w:type="spellEnd"/>
      <w:r w:rsidRPr="00084121">
        <w:rPr>
          <w:rFonts w:ascii="Times New Roman" w:eastAsia="Times New Roman" w:hAnsi="Times New Roman" w:cs="Times New Roman"/>
          <w:b/>
          <w:sz w:val="24"/>
          <w:szCs w:val="24"/>
        </w:rPr>
        <w:t xml:space="preserve"> et al (retracted study)</w:t>
      </w:r>
      <w:r w:rsidRPr="00084121">
        <w:rPr>
          <w:rFonts w:ascii="Times New Roman" w:eastAsia="Times New Roman" w:hAnsi="Times New Roman" w:cs="Times New Roman"/>
          <w:b/>
          <w:sz w:val="24"/>
          <w:szCs w:val="24"/>
        </w:rPr>
        <w:t xml:space="preserve"> of treatment outcome</w:t>
      </w:r>
    </w:p>
    <w:p w:rsidR="00084121" w:rsidRPr="00084121" w:rsidRDefault="00084121" w:rsidP="00084121">
      <w:pPr>
        <w:spacing w:before="100" w:beforeAutospacing="1" w:after="100" w:afterAutospacing="1" w:line="48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84121">
        <w:rPr>
          <w:rFonts w:ascii="Times New Roman" w:eastAsia="Times New Roman" w:hAnsi="Times New Roman" w:cs="Times New Roman"/>
          <w:b/>
          <w:sz w:val="24"/>
          <w:szCs w:val="24"/>
        </w:rPr>
        <w:t xml:space="preserve">1. </w:t>
      </w:r>
      <w:r w:rsidRPr="00084121">
        <w:rPr>
          <w:rFonts w:ascii="Times New Roman" w:eastAsia="Times New Roman" w:hAnsi="Times New Roman" w:cs="Times New Roman"/>
          <w:b/>
          <w:sz w:val="24"/>
          <w:szCs w:val="24"/>
        </w:rPr>
        <w:t>HCQ with or without AZT regimen and SOC versus SOC only; Mortality</w:t>
      </w:r>
    </w:p>
    <w:p w:rsidR="00084121" w:rsidRPr="00084121" w:rsidRDefault="00084121" w:rsidP="00084121">
      <w:pPr>
        <w:spacing w:before="100" w:beforeAutospacing="1" w:after="100" w:afterAutospacing="1" w:line="480" w:lineRule="auto"/>
        <w:jc w:val="both"/>
        <w:rPr>
          <w:rStyle w:val="fontstyle01"/>
          <w:rFonts w:ascii="Times New Roman" w:hAnsi="Times New Roman" w:cs="Times New Roman"/>
        </w:rPr>
      </w:pPr>
      <w:r w:rsidRPr="00084121">
        <w:rPr>
          <w:rStyle w:val="fontstyle01"/>
          <w:rFonts w:ascii="Times New Roman" w:hAnsi="Times New Roman" w:cs="Times New Roman"/>
        </w:rPr>
        <w:t xml:space="preserve">The meta-analysis </w:t>
      </w:r>
      <w:r w:rsidRPr="00084121">
        <w:rPr>
          <w:rStyle w:val="fontstyle01"/>
          <w:rFonts w:ascii="Times New Roman" w:hAnsi="Times New Roman" w:cs="Times New Roman"/>
        </w:rPr>
        <w:t>of</w:t>
      </w:r>
      <w:r w:rsidRPr="00084121">
        <w:rPr>
          <w:rStyle w:val="fontstyle01"/>
          <w:rFonts w:ascii="Times New Roman" w:hAnsi="Times New Roman" w:cs="Times New Roman"/>
        </w:rPr>
        <w:t xml:space="preserve"> mortality rate between HCQ with or without AZT regimen and standard </w:t>
      </w:r>
      <w:r w:rsidRPr="00084121">
        <w:rPr>
          <w:rStyle w:val="fontstyle01"/>
          <w:rFonts w:ascii="Times New Roman" w:hAnsi="Times New Roman" w:cs="Times New Roman"/>
        </w:rPr>
        <w:t xml:space="preserve">of care </w:t>
      </w:r>
      <w:r w:rsidRPr="00084121">
        <w:rPr>
          <w:rStyle w:val="fontstyle01"/>
          <w:rFonts w:ascii="Times New Roman" w:hAnsi="Times New Roman" w:cs="Times New Roman"/>
        </w:rPr>
        <w:t xml:space="preserve">group </w:t>
      </w:r>
      <w:r w:rsidRPr="00084121">
        <w:rPr>
          <w:rFonts w:ascii="Times New Roman" w:eastAsia="Times New Roman" w:hAnsi="Times New Roman" w:cs="Times New Roman"/>
          <w:sz w:val="24"/>
          <w:szCs w:val="24"/>
        </w:rPr>
        <w:t>compared with SOC alone</w:t>
      </w:r>
      <w:r w:rsidRPr="00084121">
        <w:rPr>
          <w:rStyle w:val="fontstyle01"/>
          <w:rFonts w:ascii="Times New Roman" w:hAnsi="Times New Roman" w:cs="Times New Roman"/>
        </w:rPr>
        <w:t xml:space="preserve"> (RR 1.22, 95% CI 0.77 to 1.92; participants = 94393; studies = 10; I</w:t>
      </w:r>
      <w:r w:rsidRPr="00084121">
        <w:rPr>
          <w:rStyle w:val="fontstyle01"/>
          <w:rFonts w:ascii="Times New Roman" w:hAnsi="Times New Roman" w:cs="Times New Roman"/>
          <w:vertAlign w:val="superscript"/>
        </w:rPr>
        <w:t>2</w:t>
      </w:r>
      <w:r w:rsidRPr="00084121">
        <w:rPr>
          <w:rStyle w:val="fontstyle01"/>
          <w:rFonts w:ascii="Times New Roman" w:hAnsi="Times New Roman" w:cs="Times New Roman"/>
        </w:rPr>
        <w:t xml:space="preserve"> = 91%; RD 0.01, 95% CI -0.05 to 0.08) (Fig. </w:t>
      </w:r>
      <w:r w:rsidRPr="00084121">
        <w:rPr>
          <w:rStyle w:val="fontstyle01"/>
          <w:rFonts w:ascii="Times New Roman" w:hAnsi="Times New Roman" w:cs="Times New Roman"/>
        </w:rPr>
        <w:t>1</w:t>
      </w:r>
      <w:r w:rsidRPr="00084121">
        <w:rPr>
          <w:rStyle w:val="fontstyle01"/>
          <w:rFonts w:ascii="Times New Roman" w:hAnsi="Times New Roman" w:cs="Times New Roman"/>
        </w:rPr>
        <w:t xml:space="preserve">). </w:t>
      </w:r>
    </w:p>
    <w:p w:rsidR="00084121" w:rsidRPr="00084121" w:rsidRDefault="00084121" w:rsidP="00084121">
      <w:pPr>
        <w:spacing w:before="100" w:beforeAutospacing="1" w:after="100" w:afterAutospacing="1" w:line="48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84121">
        <w:rPr>
          <w:rFonts w:ascii="Times New Roman" w:eastAsia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1C66595B" wp14:editId="1D7EA624">
            <wp:extent cx="5324475" cy="1881770"/>
            <wp:effectExtent l="0" t="0" r="0" b="444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341471" cy="18877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84121" w:rsidRPr="00084121" w:rsidRDefault="00084121" w:rsidP="00084121">
      <w:pPr>
        <w:spacing w:before="100" w:beforeAutospacing="1" w:after="100" w:afterAutospacing="1" w:line="48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84121">
        <w:rPr>
          <w:rFonts w:ascii="Times New Roman" w:eastAsia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1EB881C1" wp14:editId="27569850">
            <wp:extent cx="5400675" cy="1908700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404094" cy="19099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84121" w:rsidRPr="00084121" w:rsidRDefault="00084121" w:rsidP="00084121">
      <w:pPr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84121">
        <w:rPr>
          <w:rFonts w:ascii="Times New Roman" w:hAnsi="Times New Roman" w:cs="Times New Roman"/>
          <w:sz w:val="24"/>
          <w:szCs w:val="24"/>
        </w:rPr>
        <w:t xml:space="preserve">Figure </w:t>
      </w:r>
      <w:r w:rsidRPr="00084121">
        <w:rPr>
          <w:rFonts w:ascii="Times New Roman" w:hAnsi="Times New Roman" w:cs="Times New Roman"/>
          <w:sz w:val="24"/>
          <w:szCs w:val="24"/>
        </w:rPr>
        <w:t>1</w:t>
      </w:r>
      <w:r w:rsidRPr="00084121">
        <w:rPr>
          <w:rFonts w:ascii="Times New Roman" w:hAnsi="Times New Roman" w:cs="Times New Roman"/>
          <w:sz w:val="24"/>
          <w:szCs w:val="24"/>
        </w:rPr>
        <w:t xml:space="preserve">. Forest plot for risk ratios and risk differences regarding </w:t>
      </w:r>
      <w:r w:rsidRPr="00084121">
        <w:rPr>
          <w:rFonts w:ascii="Times New Roman" w:eastAsia="Times New Roman" w:hAnsi="Times New Roman" w:cs="Times New Roman"/>
          <w:sz w:val="24"/>
          <w:szCs w:val="24"/>
        </w:rPr>
        <w:t xml:space="preserve">HCQ with or without AZT in addition to SOC on </w:t>
      </w:r>
      <w:r w:rsidRPr="00084121">
        <w:rPr>
          <w:rFonts w:ascii="Times New Roman" w:hAnsi="Times New Roman" w:cs="Times New Roman"/>
          <w:sz w:val="24"/>
          <w:szCs w:val="24"/>
        </w:rPr>
        <w:t xml:space="preserve">mortality </w:t>
      </w:r>
      <w:r w:rsidRPr="00084121">
        <w:rPr>
          <w:rFonts w:ascii="Times New Roman" w:eastAsia="Times New Roman" w:hAnsi="Times New Roman" w:cs="Times New Roman"/>
          <w:sz w:val="24"/>
          <w:szCs w:val="24"/>
        </w:rPr>
        <w:t>compared with SOC alone</w:t>
      </w:r>
    </w:p>
    <w:p w:rsidR="00084121" w:rsidRPr="00084121" w:rsidRDefault="00084121" w:rsidP="00084121">
      <w:pPr>
        <w:spacing w:before="100" w:beforeAutospacing="1" w:after="100" w:afterAutospacing="1" w:line="48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84121">
        <w:rPr>
          <w:rStyle w:val="fontstyle01"/>
          <w:rFonts w:ascii="Times New Roman" w:hAnsi="Times New Roman" w:cs="Times New Roman"/>
          <w:b/>
        </w:rPr>
        <w:t>2.</w:t>
      </w:r>
      <w:r w:rsidRPr="00084121">
        <w:rPr>
          <w:rStyle w:val="fontstyle01"/>
          <w:rFonts w:ascii="Times New Roman" w:hAnsi="Times New Roman" w:cs="Times New Roman"/>
          <w:b/>
        </w:rPr>
        <w:t xml:space="preserve"> </w:t>
      </w:r>
      <w:r w:rsidRPr="00084121">
        <w:rPr>
          <w:rFonts w:ascii="Times New Roman" w:eastAsia="Times New Roman" w:hAnsi="Times New Roman" w:cs="Times New Roman"/>
          <w:b/>
          <w:sz w:val="24"/>
          <w:szCs w:val="24"/>
        </w:rPr>
        <w:t xml:space="preserve">HCQ with or without AZT regimen and SOC versus SOC only; </w:t>
      </w:r>
      <w:r w:rsidRPr="00084121">
        <w:rPr>
          <w:rStyle w:val="fontstyle01"/>
          <w:rFonts w:ascii="Times New Roman" w:hAnsi="Times New Roman" w:cs="Times New Roman"/>
          <w:b/>
        </w:rPr>
        <w:t>Intubation and Mechanical ventilation</w:t>
      </w:r>
    </w:p>
    <w:p w:rsidR="00084121" w:rsidRPr="00084121" w:rsidRDefault="00084121" w:rsidP="00084121">
      <w:pPr>
        <w:spacing w:before="100" w:beforeAutospacing="1" w:after="100" w:afterAutospacing="1" w:line="480" w:lineRule="auto"/>
        <w:jc w:val="both"/>
        <w:rPr>
          <w:rStyle w:val="fontstyle01"/>
          <w:rFonts w:ascii="Times New Roman" w:hAnsi="Times New Roman" w:cs="Times New Roman"/>
        </w:rPr>
      </w:pPr>
      <w:r w:rsidRPr="00084121">
        <w:rPr>
          <w:rStyle w:val="fontstyle01"/>
          <w:rFonts w:ascii="Times New Roman" w:hAnsi="Times New Roman" w:cs="Times New Roman"/>
        </w:rPr>
        <w:lastRenderedPageBreak/>
        <w:t xml:space="preserve">The meta-analysis between HCQ with or without AZT regimen and SOC versus SOC only about odds of intubation during treatment (OR 1.76, 95% CI 0.96 to 3.23; participants = 93887; studies = 7; I2 = 90%) (Fig. </w:t>
      </w:r>
      <w:r w:rsidRPr="00084121">
        <w:rPr>
          <w:rStyle w:val="fontstyle01"/>
          <w:rFonts w:ascii="Times New Roman" w:hAnsi="Times New Roman" w:cs="Times New Roman"/>
        </w:rPr>
        <w:t>2).</w:t>
      </w:r>
    </w:p>
    <w:p w:rsidR="00084121" w:rsidRPr="00084121" w:rsidRDefault="00084121" w:rsidP="00084121">
      <w:pPr>
        <w:spacing w:before="100" w:beforeAutospacing="1" w:after="100" w:afterAutospacing="1" w:line="480" w:lineRule="auto"/>
        <w:jc w:val="both"/>
        <w:rPr>
          <w:rStyle w:val="fontstyle01"/>
          <w:rFonts w:ascii="Times New Roman" w:hAnsi="Times New Roman" w:cs="Times New Roman"/>
        </w:rPr>
      </w:pPr>
      <w:r w:rsidRPr="00084121">
        <w:rPr>
          <w:rStyle w:val="fontstyle01"/>
          <w:rFonts w:ascii="Times New Roman" w:hAnsi="Times New Roman" w:cs="Times New Roman"/>
          <w:noProof/>
        </w:rPr>
        <w:drawing>
          <wp:inline distT="0" distB="0" distL="0" distR="0" wp14:anchorId="755AE42E" wp14:editId="3AF09C24">
            <wp:extent cx="5876925" cy="1730428"/>
            <wp:effectExtent l="0" t="0" r="0" b="317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896074" cy="17360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84121" w:rsidRPr="00084121" w:rsidRDefault="00084121" w:rsidP="00084121">
      <w:pPr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84121">
        <w:rPr>
          <w:rFonts w:ascii="Times New Roman" w:hAnsi="Times New Roman" w:cs="Times New Roman"/>
          <w:sz w:val="24"/>
          <w:szCs w:val="24"/>
        </w:rPr>
        <w:t xml:space="preserve">Figure </w:t>
      </w:r>
      <w:r w:rsidRPr="00084121">
        <w:rPr>
          <w:rFonts w:ascii="Times New Roman" w:hAnsi="Times New Roman" w:cs="Times New Roman"/>
          <w:sz w:val="24"/>
          <w:szCs w:val="24"/>
        </w:rPr>
        <w:t>2</w:t>
      </w:r>
      <w:r w:rsidRPr="00084121">
        <w:rPr>
          <w:rFonts w:ascii="Times New Roman" w:hAnsi="Times New Roman" w:cs="Times New Roman"/>
          <w:sz w:val="24"/>
          <w:szCs w:val="24"/>
        </w:rPr>
        <w:t xml:space="preserve">. Forest plot for odds ratios regarding </w:t>
      </w:r>
      <w:r w:rsidRPr="00084121">
        <w:rPr>
          <w:rFonts w:ascii="Times New Roman" w:eastAsia="Times New Roman" w:hAnsi="Times New Roman" w:cs="Times New Roman"/>
          <w:sz w:val="24"/>
          <w:szCs w:val="24"/>
        </w:rPr>
        <w:t xml:space="preserve">HCQ with or without AZT in addition to SOC on </w:t>
      </w:r>
      <w:r w:rsidRPr="00084121">
        <w:rPr>
          <w:rFonts w:ascii="Times New Roman" w:hAnsi="Times New Roman" w:cs="Times New Roman"/>
          <w:sz w:val="24"/>
          <w:szCs w:val="24"/>
        </w:rPr>
        <w:t xml:space="preserve">Intubation and Mechanical ventilation </w:t>
      </w:r>
      <w:r w:rsidRPr="00084121">
        <w:rPr>
          <w:rFonts w:ascii="Times New Roman" w:eastAsia="Times New Roman" w:hAnsi="Times New Roman" w:cs="Times New Roman"/>
          <w:sz w:val="24"/>
          <w:szCs w:val="24"/>
        </w:rPr>
        <w:t>compared with SOC alone</w:t>
      </w:r>
    </w:p>
    <w:p w:rsidR="00084121" w:rsidRPr="00084121" w:rsidRDefault="00084121" w:rsidP="00084121">
      <w:pPr>
        <w:spacing w:before="100" w:beforeAutospacing="1" w:after="100" w:afterAutospacing="1" w:line="480" w:lineRule="auto"/>
        <w:jc w:val="both"/>
        <w:rPr>
          <w:rFonts w:ascii="Times New Roman" w:hAnsi="Times New Roman" w:cs="Times New Roman"/>
          <w:b/>
          <w:bCs/>
          <w:iCs/>
          <w:color w:val="000000"/>
          <w:sz w:val="24"/>
          <w:szCs w:val="24"/>
        </w:rPr>
      </w:pPr>
      <w:r w:rsidRPr="00084121">
        <w:rPr>
          <w:rFonts w:ascii="Times New Roman" w:hAnsi="Times New Roman" w:cs="Times New Roman"/>
          <w:b/>
          <w:bCs/>
          <w:iCs/>
          <w:color w:val="000000"/>
          <w:sz w:val="24"/>
          <w:szCs w:val="24"/>
        </w:rPr>
        <w:t>3.</w:t>
      </w:r>
      <w:r w:rsidRPr="00084121">
        <w:rPr>
          <w:rFonts w:ascii="Times New Roman" w:hAnsi="Times New Roman" w:cs="Times New Roman"/>
          <w:b/>
          <w:bCs/>
          <w:iCs/>
          <w:color w:val="000000"/>
          <w:sz w:val="24"/>
          <w:szCs w:val="24"/>
        </w:rPr>
        <w:t xml:space="preserve"> </w:t>
      </w:r>
      <w:r w:rsidRPr="00084121">
        <w:rPr>
          <w:rFonts w:ascii="Times New Roman" w:eastAsia="Times New Roman" w:hAnsi="Times New Roman" w:cs="Times New Roman"/>
          <w:b/>
          <w:sz w:val="24"/>
          <w:szCs w:val="24"/>
        </w:rPr>
        <w:t>HCQ with or without AZT regimen and SOC versus SOC only</w:t>
      </w:r>
      <w:r w:rsidRPr="00084121">
        <w:rPr>
          <w:rFonts w:ascii="Times New Roman" w:hAnsi="Times New Roman" w:cs="Times New Roman"/>
          <w:b/>
          <w:bCs/>
          <w:iCs/>
          <w:color w:val="000000"/>
          <w:sz w:val="24"/>
          <w:szCs w:val="24"/>
        </w:rPr>
        <w:t>: Adverse effects</w:t>
      </w:r>
    </w:p>
    <w:p w:rsidR="00084121" w:rsidRPr="00084121" w:rsidRDefault="00084121" w:rsidP="00084121">
      <w:pPr>
        <w:spacing w:before="100" w:beforeAutospacing="1" w:after="100" w:afterAutospacing="1" w:line="48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84121">
        <w:rPr>
          <w:rFonts w:ascii="Times New Roman" w:hAnsi="Times New Roman" w:cs="Times New Roman"/>
          <w:color w:val="000000"/>
          <w:sz w:val="24"/>
          <w:szCs w:val="24"/>
        </w:rPr>
        <w:t xml:space="preserve">The meta-analysis </w:t>
      </w:r>
      <w:r w:rsidRPr="00084121">
        <w:rPr>
          <w:rFonts w:ascii="Times New Roman" w:hAnsi="Times New Roman" w:cs="Times New Roman"/>
          <w:color w:val="000000"/>
          <w:sz w:val="24"/>
          <w:szCs w:val="24"/>
        </w:rPr>
        <w:t>on</w:t>
      </w:r>
      <w:r w:rsidRPr="00084121">
        <w:rPr>
          <w:rFonts w:ascii="Times New Roman" w:hAnsi="Times New Roman" w:cs="Times New Roman"/>
          <w:color w:val="000000"/>
          <w:sz w:val="24"/>
          <w:szCs w:val="24"/>
        </w:rPr>
        <w:t xml:space="preserve"> overall adverse effects </w:t>
      </w:r>
      <w:r w:rsidRPr="00084121">
        <w:rPr>
          <w:rFonts w:ascii="Times New Roman" w:hAnsi="Times New Roman" w:cs="Times New Roman"/>
          <w:color w:val="000000"/>
          <w:sz w:val="24"/>
          <w:szCs w:val="24"/>
        </w:rPr>
        <w:t>showed</w:t>
      </w:r>
      <w:r w:rsidRPr="00084121">
        <w:rPr>
          <w:rFonts w:ascii="Times New Roman" w:hAnsi="Times New Roman" w:cs="Times New Roman"/>
          <w:color w:val="000000"/>
          <w:sz w:val="24"/>
          <w:szCs w:val="24"/>
        </w:rPr>
        <w:t xml:space="preserve"> approximately 3.7(OR 3.68, 95% CI 0.94 to 14.43) times higher than SOC only taking individuals without HCQ regimen though it was not statistically significant </w:t>
      </w:r>
      <w:r w:rsidRPr="00084121">
        <w:rPr>
          <w:rFonts w:ascii="Times New Roman" w:hAnsi="Times New Roman" w:cs="Times New Roman"/>
          <w:color w:val="000000"/>
          <w:sz w:val="24"/>
          <w:szCs w:val="24"/>
        </w:rPr>
        <w:t>and</w:t>
      </w:r>
      <w:r w:rsidRPr="00084121">
        <w:rPr>
          <w:rFonts w:ascii="Times New Roman" w:hAnsi="Times New Roman" w:cs="Times New Roman"/>
          <w:color w:val="000000"/>
          <w:sz w:val="24"/>
          <w:szCs w:val="24"/>
        </w:rPr>
        <w:t xml:space="preserve"> 5.9</w:t>
      </w:r>
      <w:r w:rsidRPr="0008412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84121">
        <w:rPr>
          <w:rFonts w:ascii="Times New Roman" w:hAnsi="Times New Roman" w:cs="Times New Roman"/>
          <w:color w:val="000000"/>
          <w:sz w:val="24"/>
          <w:szCs w:val="24"/>
        </w:rPr>
        <w:t>(OR 5.91, 95% CI 0.80 to 43.73) times higher odds of having severe adverse effects (</w:t>
      </w:r>
      <w:r w:rsidRPr="00084121">
        <w:rPr>
          <w:rFonts w:ascii="Times New Roman" w:hAnsi="Times New Roman" w:cs="Times New Roman"/>
          <w:sz w:val="24"/>
          <w:szCs w:val="24"/>
        </w:rPr>
        <w:t>Fig. 8</w:t>
      </w:r>
      <w:r w:rsidRPr="00084121">
        <w:rPr>
          <w:rFonts w:ascii="Times New Roman" w:hAnsi="Times New Roman" w:cs="Times New Roman"/>
          <w:color w:val="000000"/>
          <w:sz w:val="24"/>
          <w:szCs w:val="24"/>
        </w:rPr>
        <w:t>).</w:t>
      </w:r>
    </w:p>
    <w:p w:rsidR="00084121" w:rsidRPr="00084121" w:rsidRDefault="00084121" w:rsidP="00084121">
      <w:pPr>
        <w:spacing w:before="100" w:beforeAutospacing="1" w:after="100" w:afterAutospacing="1" w:line="480" w:lineRule="auto"/>
        <w:jc w:val="both"/>
        <w:rPr>
          <w:rStyle w:val="fontstyle01"/>
          <w:rFonts w:ascii="Times New Roman" w:hAnsi="Times New Roman" w:cs="Times New Roman"/>
          <w:b/>
          <w:bCs/>
          <w:iCs/>
        </w:rPr>
      </w:pPr>
      <w:r w:rsidRPr="00084121">
        <w:rPr>
          <w:rStyle w:val="fontstyle01"/>
          <w:rFonts w:ascii="Times New Roman" w:hAnsi="Times New Roman" w:cs="Times New Roman"/>
          <w:b/>
          <w:bCs/>
          <w:iCs/>
          <w:noProof/>
        </w:rPr>
        <w:lastRenderedPageBreak/>
        <w:drawing>
          <wp:inline distT="0" distB="0" distL="0" distR="0" wp14:anchorId="3BA2EC6B" wp14:editId="74548874">
            <wp:extent cx="5705475" cy="3224569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13393" cy="32290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84121" w:rsidRPr="00084121" w:rsidRDefault="00084121" w:rsidP="00084121">
      <w:pPr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84121">
        <w:rPr>
          <w:rFonts w:ascii="Times New Roman" w:hAnsi="Times New Roman" w:cs="Times New Roman"/>
          <w:sz w:val="24"/>
          <w:szCs w:val="24"/>
        </w:rPr>
        <w:t xml:space="preserve">Figure </w:t>
      </w:r>
      <w:r w:rsidRPr="00084121">
        <w:rPr>
          <w:rFonts w:ascii="Times New Roman" w:hAnsi="Times New Roman" w:cs="Times New Roman"/>
          <w:sz w:val="24"/>
          <w:szCs w:val="24"/>
        </w:rPr>
        <w:t>3</w:t>
      </w:r>
      <w:r w:rsidRPr="00084121">
        <w:rPr>
          <w:rFonts w:ascii="Times New Roman" w:hAnsi="Times New Roman" w:cs="Times New Roman"/>
          <w:sz w:val="24"/>
          <w:szCs w:val="24"/>
        </w:rPr>
        <w:t xml:space="preserve">. Forest plot for odds ratios regarding </w:t>
      </w:r>
      <w:r w:rsidRPr="00084121">
        <w:rPr>
          <w:rFonts w:ascii="Times New Roman" w:eastAsia="Times New Roman" w:hAnsi="Times New Roman" w:cs="Times New Roman"/>
          <w:sz w:val="24"/>
          <w:szCs w:val="24"/>
        </w:rPr>
        <w:t xml:space="preserve">HCQ with or without AZT in addition to SOC on </w:t>
      </w:r>
      <w:r w:rsidRPr="00084121">
        <w:rPr>
          <w:rFonts w:ascii="Times New Roman" w:hAnsi="Times New Roman" w:cs="Times New Roman"/>
          <w:sz w:val="24"/>
          <w:szCs w:val="24"/>
        </w:rPr>
        <w:t xml:space="preserve">overall and severe adverse effects </w:t>
      </w:r>
      <w:r w:rsidRPr="00084121">
        <w:rPr>
          <w:rFonts w:ascii="Times New Roman" w:eastAsia="Times New Roman" w:hAnsi="Times New Roman" w:cs="Times New Roman"/>
          <w:sz w:val="24"/>
          <w:szCs w:val="24"/>
        </w:rPr>
        <w:t>compared with SOC alone</w:t>
      </w:r>
    </w:p>
    <w:p w:rsidR="00084121" w:rsidRPr="00084121" w:rsidRDefault="00084121" w:rsidP="00084121">
      <w:pPr>
        <w:spacing w:line="480" w:lineRule="auto"/>
        <w:jc w:val="both"/>
        <w:rPr>
          <w:rStyle w:val="fontstyle01"/>
          <w:rFonts w:ascii="Times New Roman" w:eastAsia="Times New Roman" w:hAnsi="Times New Roman" w:cs="Times New Roman"/>
          <w:color w:val="auto"/>
        </w:rPr>
      </w:pPr>
      <w:r w:rsidRPr="00084121">
        <w:rPr>
          <w:rStyle w:val="fontstyle01"/>
          <w:rFonts w:ascii="Times New Roman" w:hAnsi="Times New Roman" w:cs="Times New Roman"/>
          <w:b/>
          <w:bCs/>
          <w:iCs/>
        </w:rPr>
        <w:t>4.</w:t>
      </w:r>
      <w:bookmarkStart w:id="0" w:name="_GoBack"/>
      <w:bookmarkEnd w:id="0"/>
      <w:r w:rsidRPr="00084121">
        <w:rPr>
          <w:rStyle w:val="fontstyle01"/>
          <w:rFonts w:ascii="Times New Roman" w:hAnsi="Times New Roman" w:cs="Times New Roman"/>
          <w:b/>
          <w:bCs/>
          <w:iCs/>
        </w:rPr>
        <w:t xml:space="preserve"> Arrhythmias and significant QT-prolongation</w:t>
      </w:r>
    </w:p>
    <w:p w:rsidR="00084121" w:rsidRPr="00084121" w:rsidRDefault="00084121" w:rsidP="00084121">
      <w:pPr>
        <w:spacing w:before="100" w:beforeAutospacing="1" w:after="100" w:afterAutospacing="1" w:line="48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84121">
        <w:rPr>
          <w:rFonts w:ascii="Times New Roman" w:hAnsi="Times New Roman" w:cs="Times New Roman"/>
          <w:color w:val="000000"/>
          <w:sz w:val="24"/>
          <w:szCs w:val="24"/>
        </w:rPr>
        <w:t xml:space="preserve">The meta-analysis </w:t>
      </w:r>
      <w:r>
        <w:rPr>
          <w:rFonts w:ascii="Times New Roman" w:hAnsi="Times New Roman" w:cs="Times New Roman"/>
          <w:color w:val="000000"/>
          <w:sz w:val="24"/>
          <w:szCs w:val="24"/>
        </w:rPr>
        <w:t>on developing a</w:t>
      </w:r>
      <w:r w:rsidRPr="00084121">
        <w:rPr>
          <w:rFonts w:ascii="Times New Roman" w:hAnsi="Times New Roman" w:cs="Times New Roman"/>
          <w:color w:val="000000"/>
          <w:sz w:val="24"/>
          <w:szCs w:val="24"/>
        </w:rPr>
        <w:t>rrhythmias and significant QT-prolongation among those under HCQ with or without AZT addition to SOC regimen was approximately 10</w:t>
      </w:r>
      <w:r w:rsidR="00B71C3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71C32" w:rsidRPr="00084121">
        <w:rPr>
          <w:rFonts w:ascii="Times New Roman" w:hAnsi="Times New Roman" w:cs="Times New Roman"/>
          <w:color w:val="000000"/>
          <w:sz w:val="24"/>
          <w:szCs w:val="24"/>
        </w:rPr>
        <w:t xml:space="preserve">(OR 10.06, 95% CI 1.08 to 93.54; participants = 91781; studies = 3) </w:t>
      </w:r>
      <w:r w:rsidRPr="00084121">
        <w:rPr>
          <w:rFonts w:ascii="Times New Roman" w:hAnsi="Times New Roman" w:cs="Times New Roman"/>
          <w:color w:val="000000"/>
          <w:sz w:val="24"/>
          <w:szCs w:val="24"/>
        </w:rPr>
        <w:t xml:space="preserve">times higher than SOC only </w:t>
      </w:r>
      <w:r w:rsidR="00B71C32">
        <w:rPr>
          <w:rFonts w:ascii="Times New Roman" w:hAnsi="Times New Roman" w:cs="Times New Roman"/>
          <w:color w:val="000000"/>
          <w:sz w:val="24"/>
          <w:szCs w:val="24"/>
        </w:rPr>
        <w:t>group</w:t>
      </w:r>
      <w:r w:rsidRPr="00084121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Pr="00084121">
        <w:rPr>
          <w:rFonts w:ascii="Times New Roman" w:hAnsi="Times New Roman" w:cs="Times New Roman"/>
          <w:sz w:val="24"/>
          <w:szCs w:val="24"/>
        </w:rPr>
        <w:t xml:space="preserve">Fig. </w:t>
      </w:r>
      <w:r w:rsidR="00B71C32">
        <w:rPr>
          <w:rFonts w:ascii="Times New Roman" w:hAnsi="Times New Roman" w:cs="Times New Roman"/>
          <w:sz w:val="24"/>
          <w:szCs w:val="24"/>
        </w:rPr>
        <w:t>4</w:t>
      </w:r>
      <w:r w:rsidRPr="00084121">
        <w:rPr>
          <w:rFonts w:ascii="Times New Roman" w:hAnsi="Times New Roman" w:cs="Times New Roman"/>
          <w:color w:val="000000"/>
          <w:sz w:val="24"/>
          <w:szCs w:val="24"/>
        </w:rPr>
        <w:t>).</w:t>
      </w:r>
    </w:p>
    <w:p w:rsidR="00084121" w:rsidRPr="00084121" w:rsidRDefault="00084121" w:rsidP="00084121">
      <w:pPr>
        <w:spacing w:before="100" w:beforeAutospacing="1" w:after="100" w:afterAutospacing="1" w:line="480" w:lineRule="auto"/>
        <w:jc w:val="both"/>
        <w:rPr>
          <w:rStyle w:val="fontstyle01"/>
          <w:rFonts w:ascii="Times New Roman" w:hAnsi="Times New Roman" w:cs="Times New Roman"/>
          <w:b/>
          <w:bCs/>
          <w:iCs/>
        </w:rPr>
      </w:pPr>
      <w:r w:rsidRPr="00084121">
        <w:rPr>
          <w:rStyle w:val="fontstyle01"/>
          <w:rFonts w:ascii="Times New Roman" w:hAnsi="Times New Roman" w:cs="Times New Roman"/>
          <w:b/>
          <w:bCs/>
          <w:iCs/>
          <w:noProof/>
        </w:rPr>
        <w:drawing>
          <wp:inline distT="0" distB="0" distL="0" distR="0" wp14:anchorId="4E9D3C7C" wp14:editId="01265185">
            <wp:extent cx="4952509" cy="1069340"/>
            <wp:effectExtent l="0" t="0" r="635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965573" cy="10721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30DC5" w:rsidRPr="00B71C32" w:rsidRDefault="00084121" w:rsidP="00B71C32">
      <w:pPr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84121">
        <w:rPr>
          <w:rFonts w:ascii="Times New Roman" w:hAnsi="Times New Roman" w:cs="Times New Roman"/>
          <w:sz w:val="24"/>
          <w:szCs w:val="24"/>
        </w:rPr>
        <w:t xml:space="preserve">Figure </w:t>
      </w:r>
      <w:r w:rsidR="00B71C32">
        <w:rPr>
          <w:rFonts w:ascii="Times New Roman" w:hAnsi="Times New Roman" w:cs="Times New Roman"/>
          <w:sz w:val="24"/>
          <w:szCs w:val="24"/>
        </w:rPr>
        <w:t>4</w:t>
      </w:r>
      <w:r w:rsidRPr="00084121">
        <w:rPr>
          <w:rFonts w:ascii="Times New Roman" w:hAnsi="Times New Roman" w:cs="Times New Roman"/>
          <w:sz w:val="24"/>
          <w:szCs w:val="24"/>
        </w:rPr>
        <w:t xml:space="preserve">. Forest plot for odds ratios regarding </w:t>
      </w:r>
      <w:r w:rsidRPr="00084121">
        <w:rPr>
          <w:rFonts w:ascii="Times New Roman" w:eastAsia="Times New Roman" w:hAnsi="Times New Roman" w:cs="Times New Roman"/>
          <w:sz w:val="24"/>
          <w:szCs w:val="24"/>
        </w:rPr>
        <w:t xml:space="preserve">HCQ with or without AZT in addition to SOC on </w:t>
      </w:r>
      <w:r w:rsidRPr="00084121">
        <w:rPr>
          <w:rFonts w:ascii="Times New Roman" w:hAnsi="Times New Roman" w:cs="Times New Roman"/>
          <w:sz w:val="24"/>
          <w:szCs w:val="24"/>
        </w:rPr>
        <w:t xml:space="preserve">Arrhythmias and significant QT-prolongation </w:t>
      </w:r>
      <w:r w:rsidRPr="00084121">
        <w:rPr>
          <w:rFonts w:ascii="Times New Roman" w:eastAsia="Times New Roman" w:hAnsi="Times New Roman" w:cs="Times New Roman"/>
          <w:sz w:val="24"/>
          <w:szCs w:val="24"/>
        </w:rPr>
        <w:t>compared with SOC alone</w:t>
      </w:r>
    </w:p>
    <w:sectPr w:rsidR="00930DC5" w:rsidRPr="00B71C3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PSMT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4121"/>
    <w:rsid w:val="00084121"/>
    <w:rsid w:val="00930DC5"/>
    <w:rsid w:val="00B71C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19F86FB-9BDA-4178-8ECC-0A13F34103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8412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0841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01">
    <w:name w:val="fontstyle01"/>
    <w:basedOn w:val="DefaultParagraphFont"/>
    <w:rsid w:val="00084121"/>
    <w:rPr>
      <w:rFonts w:ascii="TimesNewRomanPSMT" w:hAnsi="TimesNewRomanPSMT" w:hint="default"/>
      <w:b w:val="0"/>
      <w:bCs w:val="0"/>
      <w:i w:val="0"/>
      <w:iCs w:val="0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303</Words>
  <Characters>1731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Dhan</dc:creator>
  <cp:keywords/>
  <dc:description/>
  <cp:lastModifiedBy>Dhan</cp:lastModifiedBy>
  <cp:revision>1</cp:revision>
  <dcterms:created xsi:type="dcterms:W3CDTF">2020-06-05T06:59:00Z</dcterms:created>
  <dcterms:modified xsi:type="dcterms:W3CDTF">2020-06-05T07:11:00Z</dcterms:modified>
</cp:coreProperties>
</file>