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EFAC8" w14:textId="7F722990" w:rsidR="00160598" w:rsidRPr="00AA5515" w:rsidRDefault="00160598">
      <w:pPr>
        <w:rPr>
          <w:rFonts w:ascii="Times New Roman" w:hAnsi="Times New Roman" w:cs="Times New Roman"/>
          <w:sz w:val="20"/>
          <w:szCs w:val="20"/>
        </w:rPr>
      </w:pPr>
      <w:bookmarkStart w:id="0" w:name="_Hlk152708174"/>
      <w:r w:rsidRPr="00AA5515">
        <w:rPr>
          <w:rFonts w:ascii="Times New Roman" w:hAnsi="Times New Roman" w:cs="Times New Roman"/>
          <w:b/>
          <w:bCs/>
          <w:sz w:val="20"/>
          <w:szCs w:val="20"/>
        </w:rPr>
        <w:t xml:space="preserve">       Table 1</w:t>
      </w:r>
      <w:r w:rsidRPr="00AA5515">
        <w:rPr>
          <w:rFonts w:ascii="Times New Roman" w:hAnsi="Times New Roman" w:cs="Times New Roman"/>
          <w:sz w:val="20"/>
          <w:szCs w:val="20"/>
        </w:rPr>
        <w:t xml:space="preserve"> Baseline Characteristics of included studies for meta-analysis</w:t>
      </w:r>
    </w:p>
    <w:tbl>
      <w:tblPr>
        <w:tblStyle w:val="TableGrid"/>
        <w:tblW w:w="24210" w:type="dxa"/>
        <w:jc w:val="center"/>
        <w:tblLayout w:type="fixed"/>
        <w:tblLook w:val="04A0" w:firstRow="1" w:lastRow="0" w:firstColumn="1" w:lastColumn="0" w:noHBand="0" w:noVBand="1"/>
      </w:tblPr>
      <w:tblGrid>
        <w:gridCol w:w="1469"/>
        <w:gridCol w:w="1169"/>
        <w:gridCol w:w="1322"/>
        <w:gridCol w:w="990"/>
        <w:gridCol w:w="1260"/>
        <w:gridCol w:w="1350"/>
        <w:gridCol w:w="1170"/>
        <w:gridCol w:w="2160"/>
        <w:gridCol w:w="2160"/>
        <w:gridCol w:w="5130"/>
        <w:gridCol w:w="1620"/>
        <w:gridCol w:w="1530"/>
        <w:gridCol w:w="2250"/>
        <w:gridCol w:w="630"/>
      </w:tblGrid>
      <w:tr w:rsidR="008576B1" w:rsidRPr="00AA5515" w14:paraId="26ACF64E" w14:textId="713C6259" w:rsidTr="008404AE">
        <w:trPr>
          <w:trHeight w:val="586"/>
          <w:jc w:val="center"/>
        </w:trPr>
        <w:tc>
          <w:tcPr>
            <w:tcW w:w="1469" w:type="dxa"/>
            <w:tcBorders>
              <w:top w:val="single" w:sz="12" w:space="0" w:color="auto"/>
              <w:left w:val="nil"/>
              <w:bottom w:val="single" w:sz="12" w:space="0" w:color="auto"/>
              <w:right w:val="nil"/>
            </w:tcBorders>
            <w:vAlign w:val="center"/>
          </w:tcPr>
          <w:p w14:paraId="6B7B75D3" w14:textId="37F214FB"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b/>
                <w:bCs/>
                <w:sz w:val="20"/>
                <w:szCs w:val="20"/>
              </w:rPr>
              <w:t>Study</w:t>
            </w:r>
          </w:p>
        </w:tc>
        <w:tc>
          <w:tcPr>
            <w:tcW w:w="1169" w:type="dxa"/>
            <w:tcBorders>
              <w:top w:val="single" w:sz="12" w:space="0" w:color="auto"/>
              <w:left w:val="nil"/>
              <w:bottom w:val="single" w:sz="12" w:space="0" w:color="auto"/>
              <w:right w:val="nil"/>
            </w:tcBorders>
            <w:vAlign w:val="center"/>
          </w:tcPr>
          <w:p w14:paraId="58046416" w14:textId="3699F50A" w:rsidR="008576B1" w:rsidRPr="00AA5515" w:rsidRDefault="008576B1" w:rsidP="002C462E">
            <w:pPr>
              <w:jc w:val="center"/>
              <w:rPr>
                <w:rFonts w:ascii="Times New Roman" w:hAnsi="Times New Roman" w:cs="Times New Roman"/>
                <w:b/>
                <w:bCs/>
                <w:sz w:val="20"/>
                <w:szCs w:val="20"/>
              </w:rPr>
            </w:pPr>
            <w:r w:rsidRPr="00AA5515">
              <w:rPr>
                <w:rFonts w:ascii="Times New Roman" w:hAnsi="Times New Roman" w:cs="Times New Roman"/>
                <w:b/>
                <w:bCs/>
                <w:sz w:val="20"/>
                <w:szCs w:val="20"/>
              </w:rPr>
              <w:t>Study</w:t>
            </w:r>
            <w:r>
              <w:rPr>
                <w:rFonts w:ascii="Times New Roman" w:hAnsi="Times New Roman" w:cs="Times New Roman"/>
                <w:b/>
                <w:bCs/>
                <w:sz w:val="20"/>
                <w:szCs w:val="20"/>
              </w:rPr>
              <w:t xml:space="preserve"> Design</w:t>
            </w:r>
          </w:p>
        </w:tc>
        <w:tc>
          <w:tcPr>
            <w:tcW w:w="1322" w:type="dxa"/>
            <w:tcBorders>
              <w:top w:val="single" w:sz="12" w:space="0" w:color="auto"/>
              <w:left w:val="nil"/>
              <w:bottom w:val="single" w:sz="12" w:space="0" w:color="auto"/>
              <w:right w:val="nil"/>
            </w:tcBorders>
            <w:vAlign w:val="center"/>
          </w:tcPr>
          <w:p w14:paraId="7A64203A" w14:textId="71004634"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b/>
                <w:bCs/>
                <w:sz w:val="20"/>
                <w:szCs w:val="20"/>
              </w:rPr>
              <w:t>Population</w:t>
            </w:r>
          </w:p>
        </w:tc>
        <w:tc>
          <w:tcPr>
            <w:tcW w:w="990" w:type="dxa"/>
            <w:tcBorders>
              <w:top w:val="single" w:sz="12" w:space="0" w:color="auto"/>
              <w:left w:val="nil"/>
              <w:bottom w:val="single" w:sz="12" w:space="0" w:color="auto"/>
              <w:right w:val="nil"/>
            </w:tcBorders>
            <w:vAlign w:val="center"/>
          </w:tcPr>
          <w:p w14:paraId="6E354595" w14:textId="78F56E12" w:rsidR="008576B1" w:rsidRPr="00AA5515" w:rsidRDefault="008576B1" w:rsidP="00AA5515">
            <w:pPr>
              <w:jc w:val="center"/>
              <w:rPr>
                <w:rFonts w:ascii="Times New Roman" w:hAnsi="Times New Roman" w:cs="Times New Roman"/>
                <w:sz w:val="20"/>
                <w:szCs w:val="20"/>
              </w:rPr>
            </w:pPr>
            <w:r>
              <w:rPr>
                <w:rFonts w:ascii="Times New Roman" w:hAnsi="Times New Roman" w:cs="Times New Roman"/>
                <w:b/>
                <w:bCs/>
                <w:sz w:val="20"/>
                <w:szCs w:val="20"/>
                <w:shd w:val="clear" w:color="auto" w:fill="F7F7F8"/>
              </w:rPr>
              <w:t>Groups</w:t>
            </w:r>
          </w:p>
        </w:tc>
        <w:tc>
          <w:tcPr>
            <w:tcW w:w="1260" w:type="dxa"/>
            <w:tcBorders>
              <w:top w:val="single" w:sz="12" w:space="0" w:color="auto"/>
              <w:left w:val="nil"/>
              <w:bottom w:val="single" w:sz="12" w:space="0" w:color="auto"/>
              <w:right w:val="nil"/>
            </w:tcBorders>
            <w:vAlign w:val="center"/>
          </w:tcPr>
          <w:p w14:paraId="2744B8D2" w14:textId="77777777" w:rsidR="008576B1" w:rsidRPr="00AA5515" w:rsidRDefault="008576B1" w:rsidP="00AA5515">
            <w:pPr>
              <w:jc w:val="center"/>
              <w:rPr>
                <w:rFonts w:ascii="Times New Roman" w:hAnsi="Times New Roman" w:cs="Times New Roman"/>
                <w:b/>
                <w:bCs/>
                <w:sz w:val="20"/>
                <w:szCs w:val="20"/>
              </w:rPr>
            </w:pPr>
            <w:r w:rsidRPr="00AA5515">
              <w:rPr>
                <w:rFonts w:ascii="Times New Roman" w:hAnsi="Times New Roman" w:cs="Times New Roman"/>
                <w:b/>
                <w:bCs/>
                <w:sz w:val="20"/>
                <w:szCs w:val="20"/>
              </w:rPr>
              <w:t>Follow up</w:t>
            </w:r>
          </w:p>
          <w:p w14:paraId="090663D7" w14:textId="12731BD2"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b/>
                <w:bCs/>
                <w:sz w:val="20"/>
                <w:szCs w:val="20"/>
              </w:rPr>
              <w:t>(months)</w:t>
            </w:r>
          </w:p>
        </w:tc>
        <w:tc>
          <w:tcPr>
            <w:tcW w:w="1350" w:type="dxa"/>
            <w:tcBorders>
              <w:top w:val="single" w:sz="12" w:space="0" w:color="auto"/>
              <w:left w:val="nil"/>
              <w:bottom w:val="single" w:sz="12" w:space="0" w:color="auto"/>
              <w:right w:val="nil"/>
            </w:tcBorders>
            <w:vAlign w:val="center"/>
          </w:tcPr>
          <w:p w14:paraId="64FEFE5C" w14:textId="73BE0D6D" w:rsidR="008576B1" w:rsidRPr="00AA5515" w:rsidRDefault="008576B1" w:rsidP="00AA5515">
            <w:pPr>
              <w:jc w:val="center"/>
              <w:rPr>
                <w:rFonts w:ascii="Times New Roman" w:hAnsi="Times New Roman" w:cs="Times New Roman"/>
                <w:b/>
                <w:bCs/>
                <w:sz w:val="20"/>
                <w:szCs w:val="20"/>
              </w:rPr>
            </w:pPr>
            <w:r w:rsidRPr="00AA5515">
              <w:rPr>
                <w:rFonts w:ascii="Times New Roman" w:hAnsi="Times New Roman" w:cs="Times New Roman"/>
                <w:b/>
                <w:bCs/>
                <w:sz w:val="20"/>
                <w:szCs w:val="20"/>
              </w:rPr>
              <w:t>Patients (n)</w:t>
            </w:r>
          </w:p>
          <w:p w14:paraId="5530EC19" w14:textId="2D67A40F"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b/>
                <w:bCs/>
                <w:sz w:val="20"/>
                <w:szCs w:val="20"/>
              </w:rPr>
              <w:t>IC/EC</w:t>
            </w:r>
          </w:p>
        </w:tc>
        <w:tc>
          <w:tcPr>
            <w:tcW w:w="1170" w:type="dxa"/>
            <w:tcBorders>
              <w:top w:val="single" w:sz="12" w:space="0" w:color="auto"/>
              <w:left w:val="nil"/>
              <w:bottom w:val="single" w:sz="12" w:space="0" w:color="auto"/>
              <w:right w:val="nil"/>
            </w:tcBorders>
            <w:vAlign w:val="center"/>
          </w:tcPr>
          <w:p w14:paraId="7A99FF83" w14:textId="77777777" w:rsidR="008576B1" w:rsidRPr="00AA5515" w:rsidRDefault="008576B1" w:rsidP="00AA5515">
            <w:pPr>
              <w:jc w:val="center"/>
              <w:rPr>
                <w:rFonts w:ascii="Times New Roman" w:hAnsi="Times New Roman" w:cs="Times New Roman"/>
                <w:b/>
                <w:bCs/>
                <w:sz w:val="20"/>
                <w:szCs w:val="20"/>
              </w:rPr>
            </w:pPr>
            <w:r w:rsidRPr="00AA5515">
              <w:rPr>
                <w:rFonts w:ascii="Times New Roman" w:hAnsi="Times New Roman" w:cs="Times New Roman"/>
                <w:b/>
                <w:bCs/>
                <w:sz w:val="20"/>
                <w:szCs w:val="20"/>
              </w:rPr>
              <w:t>Gender(n)</w:t>
            </w:r>
          </w:p>
          <w:p w14:paraId="50DE4F60" w14:textId="688DCCAF"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b/>
                <w:bCs/>
                <w:sz w:val="20"/>
                <w:szCs w:val="20"/>
              </w:rPr>
              <w:t>M/F</w:t>
            </w:r>
          </w:p>
        </w:tc>
        <w:tc>
          <w:tcPr>
            <w:tcW w:w="2160" w:type="dxa"/>
            <w:tcBorders>
              <w:top w:val="single" w:sz="12" w:space="0" w:color="auto"/>
              <w:left w:val="nil"/>
              <w:bottom w:val="single" w:sz="12" w:space="0" w:color="auto"/>
              <w:right w:val="nil"/>
            </w:tcBorders>
            <w:vAlign w:val="center"/>
          </w:tcPr>
          <w:p w14:paraId="040C466E" w14:textId="77777777" w:rsidR="008576B1" w:rsidRPr="00AA5515" w:rsidRDefault="008576B1" w:rsidP="00AA5515">
            <w:pPr>
              <w:jc w:val="center"/>
              <w:rPr>
                <w:rFonts w:ascii="Times New Roman" w:hAnsi="Times New Roman" w:cs="Times New Roman"/>
                <w:b/>
                <w:bCs/>
                <w:sz w:val="20"/>
                <w:szCs w:val="20"/>
              </w:rPr>
            </w:pPr>
            <w:r w:rsidRPr="00AA5515">
              <w:rPr>
                <w:rFonts w:ascii="Times New Roman" w:hAnsi="Times New Roman" w:cs="Times New Roman"/>
                <w:b/>
                <w:bCs/>
                <w:sz w:val="20"/>
                <w:szCs w:val="20"/>
              </w:rPr>
              <w:t>Age (median)</w:t>
            </w:r>
          </w:p>
          <w:p w14:paraId="7B97FCF9" w14:textId="2578AA77"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b/>
                <w:bCs/>
                <w:sz w:val="20"/>
                <w:szCs w:val="20"/>
              </w:rPr>
              <w:t>IC/EC</w:t>
            </w:r>
          </w:p>
        </w:tc>
        <w:tc>
          <w:tcPr>
            <w:tcW w:w="2160" w:type="dxa"/>
            <w:tcBorders>
              <w:top w:val="single" w:sz="12" w:space="0" w:color="auto"/>
              <w:left w:val="nil"/>
              <w:bottom w:val="single" w:sz="12" w:space="0" w:color="auto"/>
              <w:right w:val="nil"/>
            </w:tcBorders>
            <w:vAlign w:val="center"/>
          </w:tcPr>
          <w:p w14:paraId="10D0DA44" w14:textId="0152EF4C" w:rsidR="008576B1" w:rsidRPr="008404AE" w:rsidRDefault="008576B1" w:rsidP="008404AE">
            <w:pPr>
              <w:jc w:val="center"/>
              <w:rPr>
                <w:rFonts w:ascii="Times New Roman" w:hAnsi="Times New Roman" w:cs="Times New Roman"/>
                <w:b/>
                <w:bCs/>
                <w:sz w:val="20"/>
                <w:szCs w:val="20"/>
              </w:rPr>
            </w:pPr>
            <w:r w:rsidRPr="00AA5515">
              <w:rPr>
                <w:rFonts w:ascii="Times New Roman" w:hAnsi="Times New Roman" w:cs="Times New Roman"/>
                <w:b/>
                <w:bCs/>
                <w:sz w:val="20"/>
                <w:szCs w:val="20"/>
              </w:rPr>
              <w:t>Metastatic sites</w:t>
            </w:r>
            <w:r w:rsidR="008404AE">
              <w:rPr>
                <w:rFonts w:ascii="Times New Roman" w:hAnsi="Times New Roman" w:cs="Times New Roman"/>
                <w:b/>
                <w:bCs/>
                <w:sz w:val="20"/>
                <w:szCs w:val="20"/>
              </w:rPr>
              <w:t xml:space="preserve"> </w:t>
            </w:r>
            <w:r w:rsidRPr="00AA5515">
              <w:rPr>
                <w:rFonts w:ascii="Times New Roman" w:hAnsi="Times New Roman" w:cs="Times New Roman"/>
                <w:b/>
                <w:bCs/>
                <w:sz w:val="20"/>
                <w:szCs w:val="20"/>
              </w:rPr>
              <w:t>IC/EC</w:t>
            </w:r>
          </w:p>
        </w:tc>
        <w:tc>
          <w:tcPr>
            <w:tcW w:w="5130" w:type="dxa"/>
            <w:tcBorders>
              <w:top w:val="single" w:sz="12" w:space="0" w:color="auto"/>
              <w:left w:val="nil"/>
              <w:bottom w:val="single" w:sz="12" w:space="0" w:color="auto"/>
              <w:right w:val="nil"/>
            </w:tcBorders>
            <w:vAlign w:val="center"/>
          </w:tcPr>
          <w:p w14:paraId="37521548" w14:textId="3063A9B3" w:rsidR="008576B1" w:rsidRPr="002C462E" w:rsidRDefault="008576B1" w:rsidP="008404AE">
            <w:pPr>
              <w:jc w:val="center"/>
              <w:rPr>
                <w:rFonts w:ascii="Times New Roman" w:hAnsi="Times New Roman" w:cs="Times New Roman"/>
                <w:b/>
                <w:bCs/>
                <w:sz w:val="20"/>
                <w:szCs w:val="20"/>
              </w:rPr>
            </w:pPr>
            <w:r w:rsidRPr="00AA5515">
              <w:rPr>
                <w:rFonts w:ascii="Times New Roman" w:hAnsi="Times New Roman" w:cs="Times New Roman"/>
                <w:b/>
                <w:bCs/>
                <w:sz w:val="20"/>
                <w:szCs w:val="20"/>
              </w:rPr>
              <w:t>Regimen</w:t>
            </w:r>
            <w:r>
              <w:rPr>
                <w:rFonts w:ascii="Times New Roman" w:hAnsi="Times New Roman" w:cs="Times New Roman"/>
                <w:b/>
                <w:bCs/>
                <w:sz w:val="20"/>
                <w:szCs w:val="20"/>
              </w:rPr>
              <w:t xml:space="preserve"> </w:t>
            </w:r>
            <w:r w:rsidRPr="00AA5515">
              <w:rPr>
                <w:rFonts w:ascii="Times New Roman" w:hAnsi="Times New Roman" w:cs="Times New Roman"/>
                <w:b/>
                <w:bCs/>
                <w:sz w:val="20"/>
                <w:szCs w:val="20"/>
              </w:rPr>
              <w:t>IC/EC</w:t>
            </w:r>
          </w:p>
        </w:tc>
        <w:tc>
          <w:tcPr>
            <w:tcW w:w="1620" w:type="dxa"/>
            <w:tcBorders>
              <w:top w:val="single" w:sz="12" w:space="0" w:color="auto"/>
              <w:left w:val="nil"/>
              <w:bottom w:val="single" w:sz="12" w:space="0" w:color="auto"/>
              <w:right w:val="nil"/>
            </w:tcBorders>
            <w:vAlign w:val="center"/>
          </w:tcPr>
          <w:p w14:paraId="5C184C13" w14:textId="270971E8" w:rsidR="008576B1" w:rsidRPr="002C462E" w:rsidRDefault="008576B1" w:rsidP="008404AE">
            <w:pPr>
              <w:jc w:val="center"/>
              <w:rPr>
                <w:rFonts w:ascii="Times New Roman" w:hAnsi="Times New Roman" w:cs="Times New Roman"/>
                <w:b/>
                <w:bCs/>
                <w:sz w:val="20"/>
                <w:szCs w:val="20"/>
              </w:rPr>
            </w:pPr>
            <w:r w:rsidRPr="00AA5515">
              <w:rPr>
                <w:rFonts w:ascii="Times New Roman" w:hAnsi="Times New Roman" w:cs="Times New Roman"/>
                <w:b/>
                <w:bCs/>
                <w:sz w:val="20"/>
                <w:szCs w:val="20"/>
              </w:rPr>
              <w:t xml:space="preserve">No. of </w:t>
            </w:r>
            <w:r>
              <w:rPr>
                <w:rFonts w:ascii="Times New Roman" w:hAnsi="Times New Roman" w:cs="Times New Roman"/>
                <w:b/>
                <w:bCs/>
                <w:sz w:val="20"/>
                <w:szCs w:val="20"/>
              </w:rPr>
              <w:t>c</w:t>
            </w:r>
            <w:r w:rsidRPr="00AA5515">
              <w:rPr>
                <w:rFonts w:ascii="Times New Roman" w:hAnsi="Times New Roman" w:cs="Times New Roman"/>
                <w:b/>
                <w:bCs/>
                <w:sz w:val="20"/>
                <w:szCs w:val="20"/>
              </w:rPr>
              <w:t>ycles</w:t>
            </w:r>
            <w:r>
              <w:rPr>
                <w:rFonts w:ascii="Times New Roman" w:hAnsi="Times New Roman" w:cs="Times New Roman"/>
                <w:b/>
                <w:bCs/>
                <w:sz w:val="20"/>
                <w:szCs w:val="20"/>
              </w:rPr>
              <w:t xml:space="preserve"> (n)</w:t>
            </w:r>
          </w:p>
        </w:tc>
        <w:tc>
          <w:tcPr>
            <w:tcW w:w="1530" w:type="dxa"/>
            <w:tcBorders>
              <w:top w:val="single" w:sz="12" w:space="0" w:color="auto"/>
              <w:left w:val="nil"/>
              <w:bottom w:val="single" w:sz="12" w:space="0" w:color="auto"/>
              <w:right w:val="nil"/>
            </w:tcBorders>
            <w:vAlign w:val="center"/>
          </w:tcPr>
          <w:p w14:paraId="630735EF" w14:textId="0EB3E94A" w:rsidR="008576B1" w:rsidRPr="008404AE" w:rsidRDefault="008576B1" w:rsidP="008404AE">
            <w:pPr>
              <w:jc w:val="center"/>
              <w:rPr>
                <w:rFonts w:ascii="Times New Roman" w:hAnsi="Times New Roman" w:cs="Times New Roman"/>
                <w:b/>
                <w:bCs/>
                <w:sz w:val="20"/>
                <w:szCs w:val="20"/>
              </w:rPr>
            </w:pPr>
            <w:r w:rsidRPr="00AA5515">
              <w:rPr>
                <w:rFonts w:ascii="Times New Roman" w:hAnsi="Times New Roman" w:cs="Times New Roman"/>
                <w:b/>
                <w:bCs/>
                <w:sz w:val="20"/>
                <w:szCs w:val="20"/>
              </w:rPr>
              <w:t>P</w:t>
            </w:r>
            <w:r>
              <w:rPr>
                <w:rFonts w:ascii="Times New Roman" w:hAnsi="Times New Roman" w:cs="Times New Roman"/>
                <w:b/>
                <w:bCs/>
                <w:sz w:val="20"/>
                <w:szCs w:val="20"/>
              </w:rPr>
              <w:t>S</w:t>
            </w:r>
            <w:r w:rsidRPr="00AA5515">
              <w:rPr>
                <w:rFonts w:ascii="Times New Roman" w:hAnsi="Times New Roman" w:cs="Times New Roman"/>
                <w:b/>
                <w:bCs/>
                <w:sz w:val="20"/>
                <w:szCs w:val="20"/>
              </w:rPr>
              <w:t xml:space="preserve"> (%)</w:t>
            </w:r>
            <w:r w:rsidR="008404AE">
              <w:rPr>
                <w:rFonts w:ascii="Times New Roman" w:hAnsi="Times New Roman" w:cs="Times New Roman"/>
                <w:b/>
                <w:bCs/>
                <w:sz w:val="20"/>
                <w:szCs w:val="20"/>
              </w:rPr>
              <w:t xml:space="preserve"> </w:t>
            </w:r>
            <w:r w:rsidRPr="00AA5515">
              <w:rPr>
                <w:rFonts w:ascii="Times New Roman" w:hAnsi="Times New Roman" w:cs="Times New Roman"/>
                <w:b/>
                <w:bCs/>
                <w:sz w:val="20"/>
                <w:szCs w:val="20"/>
              </w:rPr>
              <w:t>IC/EC</w:t>
            </w:r>
          </w:p>
        </w:tc>
        <w:tc>
          <w:tcPr>
            <w:tcW w:w="2250" w:type="dxa"/>
            <w:tcBorders>
              <w:top w:val="single" w:sz="12" w:space="0" w:color="auto"/>
              <w:left w:val="nil"/>
              <w:bottom w:val="single" w:sz="12" w:space="0" w:color="auto"/>
              <w:right w:val="nil"/>
            </w:tcBorders>
          </w:tcPr>
          <w:p w14:paraId="28171368" w14:textId="77777777" w:rsidR="008576B1" w:rsidRDefault="008576B1" w:rsidP="008404AE">
            <w:pPr>
              <w:jc w:val="center"/>
              <w:rPr>
                <w:rFonts w:ascii="Times New Roman" w:hAnsi="Times New Roman" w:cs="Times New Roman"/>
                <w:b/>
                <w:bCs/>
                <w:sz w:val="20"/>
                <w:szCs w:val="20"/>
              </w:rPr>
            </w:pPr>
            <w:r>
              <w:rPr>
                <w:rFonts w:ascii="Times New Roman" w:hAnsi="Times New Roman" w:cs="Times New Roman"/>
                <w:b/>
                <w:bCs/>
                <w:sz w:val="20"/>
                <w:szCs w:val="20"/>
              </w:rPr>
              <w:t>Second-line Treatment</w:t>
            </w:r>
          </w:p>
          <w:p w14:paraId="695AB0B7" w14:textId="33531DE7" w:rsidR="008576B1" w:rsidRPr="00AA5515" w:rsidRDefault="008576B1" w:rsidP="008404AE">
            <w:pPr>
              <w:jc w:val="center"/>
              <w:rPr>
                <w:rFonts w:ascii="Times New Roman" w:hAnsi="Times New Roman" w:cs="Times New Roman"/>
                <w:b/>
                <w:bCs/>
                <w:sz w:val="20"/>
                <w:szCs w:val="20"/>
              </w:rPr>
            </w:pPr>
            <w:r>
              <w:rPr>
                <w:rFonts w:ascii="Times New Roman" w:hAnsi="Times New Roman" w:cs="Times New Roman"/>
                <w:b/>
                <w:bCs/>
                <w:sz w:val="20"/>
                <w:szCs w:val="20"/>
              </w:rPr>
              <w:t>IC/EC</w:t>
            </w:r>
          </w:p>
        </w:tc>
        <w:tc>
          <w:tcPr>
            <w:tcW w:w="630" w:type="dxa"/>
            <w:tcBorders>
              <w:top w:val="single" w:sz="12" w:space="0" w:color="auto"/>
              <w:left w:val="nil"/>
              <w:bottom w:val="single" w:sz="12" w:space="0" w:color="auto"/>
              <w:right w:val="nil"/>
            </w:tcBorders>
          </w:tcPr>
          <w:p w14:paraId="3495D8DC" w14:textId="77777777" w:rsidR="008576B1" w:rsidRDefault="008576B1" w:rsidP="00AA5515">
            <w:pPr>
              <w:jc w:val="center"/>
              <w:rPr>
                <w:rFonts w:ascii="Times New Roman" w:hAnsi="Times New Roman" w:cs="Times New Roman"/>
                <w:b/>
                <w:bCs/>
                <w:sz w:val="20"/>
                <w:szCs w:val="20"/>
              </w:rPr>
            </w:pPr>
          </w:p>
        </w:tc>
      </w:tr>
      <w:tr w:rsidR="008576B1" w:rsidRPr="00AA5515" w14:paraId="48E9C2C8" w14:textId="73AD3261" w:rsidTr="008404AE">
        <w:trPr>
          <w:trHeight w:val="546"/>
          <w:jc w:val="center"/>
        </w:trPr>
        <w:sdt>
          <w:sdtPr>
            <w:rPr>
              <w:rFonts w:ascii="Times New Roman" w:hAnsi="Times New Roman" w:cs="Times New Roman"/>
              <w:color w:val="000000"/>
              <w:sz w:val="20"/>
              <w:szCs w:val="20"/>
            </w:rPr>
            <w:tag w:val="MENDELEY_CITATION_v3_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"/>
            <w:id w:val="749014690"/>
            <w:placeholder>
              <w:docPart w:val="DefaultPlaceholder_-1854013440"/>
            </w:placeholder>
          </w:sdtPr>
          <w:sdtContent>
            <w:tc>
              <w:tcPr>
                <w:tcW w:w="1469" w:type="dxa"/>
                <w:tcBorders>
                  <w:top w:val="single" w:sz="12" w:space="0" w:color="auto"/>
                  <w:left w:val="nil"/>
                  <w:bottom w:val="nil"/>
                  <w:right w:val="nil"/>
                </w:tcBorders>
                <w:vAlign w:val="center"/>
              </w:tcPr>
              <w:p w14:paraId="2E7AD3D3" w14:textId="45701CD7" w:rsidR="008576B1" w:rsidRPr="00AA5515" w:rsidRDefault="00B278A6" w:rsidP="00AA5515">
                <w:pPr>
                  <w:jc w:val="center"/>
                  <w:rPr>
                    <w:rFonts w:ascii="Times New Roman" w:hAnsi="Times New Roman" w:cs="Times New Roman"/>
                    <w:sz w:val="20"/>
                    <w:szCs w:val="20"/>
                  </w:rPr>
                </w:pPr>
                <w:r w:rsidRPr="00B278A6">
                  <w:rPr>
                    <w:rFonts w:ascii="Times New Roman" w:hAnsi="Times New Roman" w:cs="Times New Roman"/>
                    <w:color w:val="000000"/>
                    <w:sz w:val="20"/>
                    <w:szCs w:val="20"/>
                  </w:rPr>
                  <w:t>(Shimokawa et al., 2023)</w:t>
                </w:r>
              </w:p>
            </w:tc>
          </w:sdtContent>
        </w:sdt>
        <w:tc>
          <w:tcPr>
            <w:tcW w:w="1169" w:type="dxa"/>
            <w:tcBorders>
              <w:top w:val="single" w:sz="12" w:space="0" w:color="auto"/>
              <w:left w:val="nil"/>
              <w:bottom w:val="nil"/>
              <w:right w:val="nil"/>
            </w:tcBorders>
            <w:vAlign w:val="center"/>
          </w:tcPr>
          <w:p w14:paraId="4A8C9506" w14:textId="56ABDFD6"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RCT</w:t>
            </w:r>
          </w:p>
        </w:tc>
        <w:tc>
          <w:tcPr>
            <w:tcW w:w="1322" w:type="dxa"/>
            <w:tcBorders>
              <w:top w:val="single" w:sz="12" w:space="0" w:color="auto"/>
              <w:left w:val="nil"/>
              <w:bottom w:val="nil"/>
              <w:right w:val="nil"/>
            </w:tcBorders>
            <w:vAlign w:val="center"/>
          </w:tcPr>
          <w:p w14:paraId="391D22B7" w14:textId="2DBF29D0"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ES-SCLC</w:t>
            </w:r>
          </w:p>
        </w:tc>
        <w:tc>
          <w:tcPr>
            <w:tcW w:w="990" w:type="dxa"/>
            <w:tcBorders>
              <w:top w:val="single" w:sz="12" w:space="0" w:color="auto"/>
              <w:left w:val="nil"/>
              <w:bottom w:val="nil"/>
              <w:right w:val="nil"/>
            </w:tcBorders>
            <w:vAlign w:val="center"/>
          </w:tcPr>
          <w:p w14:paraId="00FDAE84" w14:textId="77777777" w:rsidR="008576B1" w:rsidRDefault="008576B1" w:rsidP="002C462E">
            <w:pPr>
              <w:spacing w:before="20" w:after="20"/>
              <w:jc w:val="center"/>
              <w:rPr>
                <w:rFonts w:ascii="Times New Roman" w:hAnsi="Times New Roman" w:cs="Times New Roman"/>
                <w:bCs/>
                <w:sz w:val="20"/>
                <w:szCs w:val="20"/>
              </w:rPr>
            </w:pPr>
          </w:p>
          <w:p w14:paraId="40BC2D08" w14:textId="49529A7E" w:rsidR="008576B1" w:rsidRPr="00AA5515" w:rsidRDefault="008576B1" w:rsidP="002C462E">
            <w:pPr>
              <w:spacing w:before="20" w:after="20"/>
              <w:jc w:val="center"/>
              <w:rPr>
                <w:rFonts w:ascii="Times New Roman" w:hAnsi="Times New Roman" w:cs="Times New Roman"/>
                <w:color w:val="000000"/>
                <w:sz w:val="20"/>
                <w:szCs w:val="20"/>
              </w:rPr>
            </w:pPr>
            <w:r w:rsidRPr="00AA5515">
              <w:rPr>
                <w:rFonts w:ascii="Times New Roman" w:hAnsi="Times New Roman" w:cs="Times New Roman"/>
                <w:bCs/>
                <w:sz w:val="20"/>
                <w:szCs w:val="20"/>
              </w:rPr>
              <w:t>IC/EC</w:t>
            </w:r>
          </w:p>
          <w:p w14:paraId="2DC990E3" w14:textId="77777777" w:rsidR="008576B1" w:rsidRPr="00AA5515" w:rsidRDefault="008576B1" w:rsidP="00AA5515">
            <w:pPr>
              <w:jc w:val="center"/>
              <w:rPr>
                <w:rFonts w:ascii="Times New Roman" w:hAnsi="Times New Roman" w:cs="Times New Roman"/>
                <w:sz w:val="20"/>
                <w:szCs w:val="20"/>
              </w:rPr>
            </w:pPr>
          </w:p>
        </w:tc>
        <w:tc>
          <w:tcPr>
            <w:tcW w:w="1260" w:type="dxa"/>
            <w:tcBorders>
              <w:top w:val="single" w:sz="12" w:space="0" w:color="auto"/>
              <w:left w:val="nil"/>
              <w:bottom w:val="nil"/>
              <w:right w:val="nil"/>
            </w:tcBorders>
            <w:vAlign w:val="center"/>
          </w:tcPr>
          <w:p w14:paraId="1F04C1C8" w14:textId="5AB06ECA"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18</w:t>
            </w:r>
          </w:p>
        </w:tc>
        <w:tc>
          <w:tcPr>
            <w:tcW w:w="1350" w:type="dxa"/>
            <w:tcBorders>
              <w:top w:val="single" w:sz="12" w:space="0" w:color="auto"/>
              <w:left w:val="nil"/>
              <w:bottom w:val="nil"/>
              <w:right w:val="nil"/>
            </w:tcBorders>
            <w:vAlign w:val="center"/>
          </w:tcPr>
          <w:p w14:paraId="148AE36F" w14:textId="6A5BAF92"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129</w:t>
            </w:r>
            <w:r>
              <w:rPr>
                <w:rFonts w:ascii="Times New Roman" w:hAnsi="Times New Roman" w:cs="Times New Roman"/>
                <w:sz w:val="20"/>
                <w:szCs w:val="20"/>
              </w:rPr>
              <w:t>/</w:t>
            </w:r>
            <w:r w:rsidRPr="00AA5515">
              <w:rPr>
                <w:rFonts w:ascii="Times New Roman" w:hAnsi="Times New Roman" w:cs="Times New Roman"/>
                <w:sz w:val="20"/>
                <w:szCs w:val="20"/>
              </w:rPr>
              <w:t>129</w:t>
            </w:r>
          </w:p>
        </w:tc>
        <w:tc>
          <w:tcPr>
            <w:tcW w:w="1170" w:type="dxa"/>
            <w:tcBorders>
              <w:top w:val="single" w:sz="12" w:space="0" w:color="auto"/>
              <w:left w:val="nil"/>
              <w:bottom w:val="nil"/>
              <w:right w:val="nil"/>
            </w:tcBorders>
            <w:vAlign w:val="center"/>
          </w:tcPr>
          <w:p w14:paraId="2F43E1A2" w14:textId="67FC1E8A"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199/60</w:t>
            </w:r>
          </w:p>
        </w:tc>
        <w:tc>
          <w:tcPr>
            <w:tcW w:w="2160" w:type="dxa"/>
            <w:tcBorders>
              <w:top w:val="single" w:sz="12" w:space="0" w:color="auto"/>
              <w:left w:val="nil"/>
              <w:bottom w:val="nil"/>
              <w:right w:val="nil"/>
            </w:tcBorders>
            <w:vAlign w:val="center"/>
          </w:tcPr>
          <w:p w14:paraId="5A33C231" w14:textId="4161C0B9"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75</w:t>
            </w:r>
            <w:r>
              <w:rPr>
                <w:rFonts w:ascii="Times New Roman" w:hAnsi="Times New Roman" w:cs="Times New Roman"/>
                <w:sz w:val="20"/>
                <w:szCs w:val="20"/>
              </w:rPr>
              <w:t>/</w:t>
            </w:r>
            <w:r w:rsidRPr="00AA5515">
              <w:rPr>
                <w:rFonts w:ascii="Times New Roman" w:hAnsi="Times New Roman" w:cs="Times New Roman"/>
                <w:sz w:val="20"/>
                <w:szCs w:val="20"/>
              </w:rPr>
              <w:t>76</w:t>
            </w:r>
          </w:p>
        </w:tc>
        <w:tc>
          <w:tcPr>
            <w:tcW w:w="2160" w:type="dxa"/>
            <w:tcBorders>
              <w:top w:val="single" w:sz="12" w:space="0" w:color="auto"/>
              <w:left w:val="nil"/>
              <w:bottom w:val="nil"/>
              <w:right w:val="nil"/>
            </w:tcBorders>
            <w:vAlign w:val="center"/>
          </w:tcPr>
          <w:p w14:paraId="1F015BE4" w14:textId="25B7EE2E" w:rsidR="008576B1" w:rsidRPr="00AA5515" w:rsidRDefault="008576B1" w:rsidP="00AA5515">
            <w:pPr>
              <w:spacing w:before="20" w:after="20"/>
              <w:jc w:val="center"/>
              <w:rPr>
                <w:rFonts w:ascii="Times New Roman" w:hAnsi="Times New Roman" w:cs="Times New Roman"/>
                <w:sz w:val="20"/>
                <w:szCs w:val="20"/>
              </w:rPr>
            </w:pPr>
            <w:r w:rsidRPr="00AA5515">
              <w:rPr>
                <w:rFonts w:ascii="Times New Roman" w:hAnsi="Times New Roman" w:cs="Times New Roman"/>
                <w:sz w:val="20"/>
                <w:szCs w:val="20"/>
              </w:rPr>
              <w:t>CNS</w:t>
            </w:r>
            <w:r>
              <w:rPr>
                <w:rFonts w:ascii="Times New Roman" w:hAnsi="Times New Roman" w:cs="Times New Roman"/>
                <w:sz w:val="20"/>
                <w:szCs w:val="20"/>
              </w:rPr>
              <w:t xml:space="preserve"> </w:t>
            </w:r>
            <w:r w:rsidRPr="00AA5515">
              <w:rPr>
                <w:rFonts w:ascii="Times New Roman" w:hAnsi="Times New Roman" w:cs="Times New Roman"/>
                <w:sz w:val="20"/>
                <w:szCs w:val="20"/>
              </w:rPr>
              <w:t>44</w:t>
            </w:r>
            <w:r>
              <w:rPr>
                <w:rFonts w:ascii="Times New Roman" w:hAnsi="Times New Roman" w:cs="Times New Roman"/>
                <w:sz w:val="20"/>
                <w:szCs w:val="20"/>
              </w:rPr>
              <w:t>/</w:t>
            </w:r>
            <w:r w:rsidRPr="00AA5515">
              <w:rPr>
                <w:rFonts w:ascii="Times New Roman" w:hAnsi="Times New Roman" w:cs="Times New Roman"/>
                <w:sz w:val="20"/>
                <w:szCs w:val="20"/>
              </w:rPr>
              <w:t>49</w:t>
            </w:r>
          </w:p>
          <w:p w14:paraId="122EFEEA" w14:textId="55E4A1F6" w:rsidR="008576B1" w:rsidRPr="00AA5515" w:rsidRDefault="008576B1" w:rsidP="00AA5515">
            <w:pPr>
              <w:spacing w:before="20" w:after="20"/>
              <w:jc w:val="center"/>
              <w:rPr>
                <w:rFonts w:ascii="Times New Roman" w:hAnsi="Times New Roman" w:cs="Times New Roman"/>
                <w:sz w:val="20"/>
                <w:szCs w:val="20"/>
              </w:rPr>
            </w:pPr>
            <w:r w:rsidRPr="00AA5515">
              <w:rPr>
                <w:rFonts w:ascii="Times New Roman" w:hAnsi="Times New Roman" w:cs="Times New Roman"/>
                <w:sz w:val="20"/>
                <w:szCs w:val="20"/>
              </w:rPr>
              <w:t>Liver</w:t>
            </w:r>
            <w:r>
              <w:rPr>
                <w:rFonts w:ascii="Times New Roman" w:hAnsi="Times New Roman" w:cs="Times New Roman"/>
                <w:sz w:val="20"/>
                <w:szCs w:val="20"/>
              </w:rPr>
              <w:t xml:space="preserve"> </w:t>
            </w:r>
            <w:r w:rsidRPr="00AA5515">
              <w:rPr>
                <w:rFonts w:ascii="Times New Roman" w:hAnsi="Times New Roman" w:cs="Times New Roman"/>
                <w:sz w:val="20"/>
                <w:szCs w:val="20"/>
              </w:rPr>
              <w:t>42</w:t>
            </w:r>
            <w:r>
              <w:rPr>
                <w:rFonts w:ascii="Times New Roman" w:hAnsi="Times New Roman" w:cs="Times New Roman"/>
                <w:sz w:val="20"/>
                <w:szCs w:val="20"/>
              </w:rPr>
              <w:t>/</w:t>
            </w:r>
            <w:r w:rsidRPr="00AA5515">
              <w:rPr>
                <w:rFonts w:ascii="Times New Roman" w:hAnsi="Times New Roman" w:cs="Times New Roman"/>
                <w:sz w:val="20"/>
                <w:szCs w:val="20"/>
              </w:rPr>
              <w:t>49</w:t>
            </w:r>
          </w:p>
          <w:p w14:paraId="0EADB070" w14:textId="364C16D5"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Bone</w:t>
            </w:r>
            <w:r>
              <w:rPr>
                <w:rFonts w:ascii="Times New Roman" w:hAnsi="Times New Roman" w:cs="Times New Roman"/>
                <w:sz w:val="20"/>
                <w:szCs w:val="20"/>
              </w:rPr>
              <w:t xml:space="preserve"> </w:t>
            </w:r>
            <w:r w:rsidRPr="00AA5515">
              <w:rPr>
                <w:rFonts w:ascii="Times New Roman" w:hAnsi="Times New Roman" w:cs="Times New Roman"/>
                <w:sz w:val="20"/>
                <w:szCs w:val="20"/>
              </w:rPr>
              <w:t>27</w:t>
            </w:r>
            <w:r>
              <w:rPr>
                <w:rFonts w:ascii="Times New Roman" w:hAnsi="Times New Roman" w:cs="Times New Roman"/>
                <w:sz w:val="20"/>
                <w:szCs w:val="20"/>
              </w:rPr>
              <w:t>/</w:t>
            </w:r>
            <w:r w:rsidRPr="00AA5515">
              <w:rPr>
                <w:rFonts w:ascii="Times New Roman" w:hAnsi="Times New Roman" w:cs="Times New Roman"/>
                <w:sz w:val="20"/>
                <w:szCs w:val="20"/>
              </w:rPr>
              <w:t>26</w:t>
            </w:r>
          </w:p>
        </w:tc>
        <w:tc>
          <w:tcPr>
            <w:tcW w:w="5130" w:type="dxa"/>
            <w:tcBorders>
              <w:top w:val="single" w:sz="12" w:space="0" w:color="auto"/>
              <w:left w:val="nil"/>
              <w:bottom w:val="nil"/>
              <w:right w:val="nil"/>
            </w:tcBorders>
            <w:vAlign w:val="center"/>
          </w:tcPr>
          <w:p w14:paraId="20D46DC7" w14:textId="4AE6083B" w:rsidR="008576B1" w:rsidRPr="00AA5515" w:rsidRDefault="008576B1" w:rsidP="00AA5515">
            <w:pPr>
              <w:spacing w:before="20" w:after="20"/>
              <w:jc w:val="center"/>
              <w:rPr>
                <w:rFonts w:ascii="Times New Roman" w:hAnsi="Times New Roman" w:cs="Times New Roman"/>
                <w:b/>
                <w:bCs/>
                <w:color w:val="000000"/>
                <w:sz w:val="20"/>
                <w:szCs w:val="20"/>
              </w:rPr>
            </w:pPr>
            <w:r w:rsidRPr="00AA5515">
              <w:rPr>
                <w:rFonts w:ascii="Times New Roman" w:hAnsi="Times New Roman" w:cs="Times New Roman"/>
                <w:color w:val="000000"/>
                <w:sz w:val="20"/>
                <w:szCs w:val="20"/>
              </w:rPr>
              <w:t>50mg/m2 on days 1 and 8+AUC 5mg/ml/min on day 1</w:t>
            </w:r>
          </w:p>
          <w:p w14:paraId="38567BF9" w14:textId="17AF7D0D" w:rsidR="008576B1" w:rsidRPr="00AA5515" w:rsidRDefault="008576B1" w:rsidP="00AA5515">
            <w:pPr>
              <w:spacing w:before="20" w:after="20"/>
              <w:jc w:val="center"/>
              <w:rPr>
                <w:rFonts w:ascii="Times New Roman" w:hAnsi="Times New Roman" w:cs="Times New Roman"/>
                <w:color w:val="000000"/>
                <w:sz w:val="20"/>
                <w:szCs w:val="20"/>
                <w:vertAlign w:val="subscript"/>
              </w:rPr>
            </w:pPr>
            <w:r w:rsidRPr="00AA5515">
              <w:rPr>
                <w:rFonts w:ascii="Times New Roman" w:hAnsi="Times New Roman" w:cs="Times New Roman"/>
                <w:color w:val="000000"/>
                <w:sz w:val="20"/>
                <w:szCs w:val="20"/>
              </w:rPr>
              <w:t>80mg/m2 on days 1–3+AUC 5mg/ml/min on day 1</w:t>
            </w:r>
          </w:p>
        </w:tc>
        <w:tc>
          <w:tcPr>
            <w:tcW w:w="1620" w:type="dxa"/>
            <w:tcBorders>
              <w:top w:val="single" w:sz="12" w:space="0" w:color="auto"/>
              <w:left w:val="nil"/>
              <w:bottom w:val="nil"/>
              <w:right w:val="nil"/>
            </w:tcBorders>
            <w:vAlign w:val="center"/>
          </w:tcPr>
          <w:p w14:paraId="37676179" w14:textId="5F6873BB"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4</w:t>
            </w:r>
          </w:p>
        </w:tc>
        <w:tc>
          <w:tcPr>
            <w:tcW w:w="1530" w:type="dxa"/>
            <w:tcBorders>
              <w:top w:val="single" w:sz="12" w:space="0" w:color="auto"/>
              <w:left w:val="nil"/>
              <w:bottom w:val="nil"/>
              <w:right w:val="nil"/>
            </w:tcBorders>
            <w:vAlign w:val="center"/>
          </w:tcPr>
          <w:p w14:paraId="68DEDDA4" w14:textId="36C39EAA"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59.7</w:t>
            </w:r>
            <w:r>
              <w:rPr>
                <w:rFonts w:ascii="Times New Roman" w:hAnsi="Times New Roman" w:cs="Times New Roman"/>
                <w:sz w:val="20"/>
                <w:szCs w:val="20"/>
              </w:rPr>
              <w:t>/</w:t>
            </w:r>
            <w:r w:rsidRPr="00AA5515">
              <w:rPr>
                <w:rFonts w:ascii="Times New Roman" w:hAnsi="Times New Roman" w:cs="Times New Roman"/>
                <w:sz w:val="20"/>
                <w:szCs w:val="20"/>
              </w:rPr>
              <w:t>62</w:t>
            </w:r>
          </w:p>
        </w:tc>
        <w:tc>
          <w:tcPr>
            <w:tcW w:w="2250" w:type="dxa"/>
            <w:tcBorders>
              <w:top w:val="single" w:sz="12" w:space="0" w:color="auto"/>
              <w:left w:val="nil"/>
              <w:bottom w:val="nil"/>
              <w:right w:val="nil"/>
            </w:tcBorders>
          </w:tcPr>
          <w:p w14:paraId="781560EA" w14:textId="005429F2" w:rsidR="008576B1" w:rsidRPr="008404AE" w:rsidRDefault="008576B1" w:rsidP="008404AE">
            <w:pPr>
              <w:jc w:val="center"/>
              <w:rPr>
                <w:rFonts w:ascii="Times New Roman" w:hAnsi="Times New Roman" w:cs="Times New Roman"/>
                <w:color w:val="000000"/>
                <w:sz w:val="20"/>
                <w:szCs w:val="20"/>
              </w:rPr>
            </w:pPr>
            <w:r w:rsidRPr="008404AE">
              <w:rPr>
                <w:rFonts w:ascii="Times New Roman" w:hAnsi="Times New Roman" w:cs="Times New Roman"/>
                <w:color w:val="000000"/>
                <w:sz w:val="20"/>
                <w:szCs w:val="20"/>
              </w:rPr>
              <w:t>n=102</w:t>
            </w:r>
          </w:p>
          <w:p w14:paraId="49378802" w14:textId="59648521" w:rsidR="008576B1" w:rsidRPr="008404AE" w:rsidRDefault="008576B1" w:rsidP="008404AE">
            <w:pPr>
              <w:jc w:val="center"/>
              <w:rPr>
                <w:rFonts w:ascii="Times New Roman" w:hAnsi="Times New Roman" w:cs="Times New Roman"/>
                <w:color w:val="000000"/>
                <w:sz w:val="20"/>
                <w:szCs w:val="20"/>
              </w:rPr>
            </w:pPr>
            <w:r w:rsidRPr="008404AE">
              <w:rPr>
                <w:rFonts w:ascii="Times New Roman" w:hAnsi="Times New Roman" w:cs="Times New Roman"/>
                <w:color w:val="000000"/>
                <w:sz w:val="20"/>
                <w:szCs w:val="20"/>
              </w:rPr>
              <w:t>n=104</w:t>
            </w:r>
          </w:p>
          <w:p w14:paraId="74C619F6" w14:textId="0AFBC731" w:rsidR="008576B1" w:rsidRPr="00AA5515" w:rsidRDefault="008576B1" w:rsidP="008404AE">
            <w:pPr>
              <w:jc w:val="center"/>
              <w:rPr>
                <w:rFonts w:ascii="Times New Roman" w:hAnsi="Times New Roman" w:cs="Times New Roman"/>
                <w:sz w:val="20"/>
                <w:szCs w:val="20"/>
              </w:rPr>
            </w:pPr>
          </w:p>
        </w:tc>
        <w:tc>
          <w:tcPr>
            <w:tcW w:w="630" w:type="dxa"/>
            <w:tcBorders>
              <w:top w:val="single" w:sz="12" w:space="0" w:color="auto"/>
              <w:left w:val="nil"/>
              <w:bottom w:val="nil"/>
              <w:right w:val="nil"/>
            </w:tcBorders>
          </w:tcPr>
          <w:p w14:paraId="5672B7DC" w14:textId="77777777" w:rsidR="008576B1" w:rsidRDefault="008576B1" w:rsidP="00352FE4">
            <w:pPr>
              <w:rPr>
                <w:rFonts w:ascii="Calibri" w:hAnsi="Calibri" w:cs="Calibri"/>
                <w:color w:val="000000"/>
              </w:rPr>
            </w:pPr>
          </w:p>
        </w:tc>
      </w:tr>
      <w:tr w:rsidR="008576B1" w:rsidRPr="00AA5515" w14:paraId="4F48A452" w14:textId="0A04603F" w:rsidTr="008404AE">
        <w:trPr>
          <w:trHeight w:val="586"/>
          <w:jc w:val="center"/>
        </w:trPr>
        <w:sdt>
          <w:sdtPr>
            <w:rPr>
              <w:rFonts w:ascii="Times New Roman" w:hAnsi="Times New Roman" w:cs="Times New Roman"/>
              <w:color w:val="000000"/>
              <w:sz w:val="20"/>
              <w:szCs w:val="20"/>
            </w:rPr>
            <w:tag w:val="MENDELEY_CITATION_v3_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"/>
            <w:id w:val="-1544281274"/>
            <w:placeholder>
              <w:docPart w:val="DefaultPlaceholder_-1854013440"/>
            </w:placeholder>
          </w:sdtPr>
          <w:sdtContent>
            <w:tc>
              <w:tcPr>
                <w:tcW w:w="1469" w:type="dxa"/>
                <w:tcBorders>
                  <w:top w:val="nil"/>
                  <w:left w:val="nil"/>
                  <w:bottom w:val="nil"/>
                  <w:right w:val="nil"/>
                </w:tcBorders>
                <w:vAlign w:val="center"/>
              </w:tcPr>
              <w:p w14:paraId="653905D8" w14:textId="32C197B1" w:rsidR="008576B1" w:rsidRPr="00B278A6" w:rsidRDefault="00B278A6" w:rsidP="00B278A6">
                <w:pPr>
                  <w:jc w:val="center"/>
                  <w:rPr>
                    <w:rFonts w:ascii="Times New Roman" w:hAnsi="Times New Roman" w:cs="Times New Roman"/>
                    <w:color w:val="000000"/>
                    <w:sz w:val="20"/>
                    <w:szCs w:val="20"/>
                  </w:rPr>
                </w:pPr>
                <w:r w:rsidRPr="00B278A6">
                  <w:rPr>
                    <w:rFonts w:ascii="Times New Roman" w:hAnsi="Times New Roman" w:cs="Times New Roman"/>
                    <w:color w:val="000000"/>
                    <w:sz w:val="20"/>
                    <w:szCs w:val="20"/>
                  </w:rPr>
                  <w:t>(Schmittel et al., 2011)</w:t>
                </w:r>
              </w:p>
            </w:tc>
          </w:sdtContent>
        </w:sdt>
        <w:tc>
          <w:tcPr>
            <w:tcW w:w="1169" w:type="dxa"/>
            <w:tcBorders>
              <w:top w:val="nil"/>
              <w:left w:val="nil"/>
              <w:bottom w:val="nil"/>
              <w:right w:val="nil"/>
            </w:tcBorders>
            <w:vAlign w:val="center"/>
          </w:tcPr>
          <w:p w14:paraId="7991D018" w14:textId="1AB70955"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RCT</w:t>
            </w:r>
          </w:p>
        </w:tc>
        <w:tc>
          <w:tcPr>
            <w:tcW w:w="1322" w:type="dxa"/>
            <w:tcBorders>
              <w:top w:val="nil"/>
              <w:left w:val="nil"/>
              <w:bottom w:val="nil"/>
              <w:right w:val="nil"/>
            </w:tcBorders>
            <w:vAlign w:val="center"/>
          </w:tcPr>
          <w:p w14:paraId="57A21525" w14:textId="24D872BD"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ES-SCLC</w:t>
            </w:r>
          </w:p>
        </w:tc>
        <w:tc>
          <w:tcPr>
            <w:tcW w:w="990" w:type="dxa"/>
            <w:tcBorders>
              <w:top w:val="nil"/>
              <w:left w:val="nil"/>
              <w:bottom w:val="nil"/>
              <w:right w:val="nil"/>
            </w:tcBorders>
            <w:vAlign w:val="center"/>
          </w:tcPr>
          <w:p w14:paraId="001218F1" w14:textId="7BDB96E6"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bCs/>
                <w:sz w:val="20"/>
                <w:szCs w:val="20"/>
              </w:rPr>
              <w:t>IC/EC</w:t>
            </w:r>
            <w:r w:rsidRPr="00AA5515">
              <w:rPr>
                <w:rFonts w:ascii="Times New Roman" w:hAnsi="Times New Roman" w:cs="Times New Roman"/>
                <w:sz w:val="20"/>
                <w:szCs w:val="20"/>
              </w:rPr>
              <w:t xml:space="preserve"> </w:t>
            </w:r>
          </w:p>
        </w:tc>
        <w:tc>
          <w:tcPr>
            <w:tcW w:w="1260" w:type="dxa"/>
            <w:tcBorders>
              <w:top w:val="nil"/>
              <w:left w:val="nil"/>
              <w:bottom w:val="nil"/>
              <w:right w:val="nil"/>
            </w:tcBorders>
            <w:vAlign w:val="center"/>
          </w:tcPr>
          <w:p w14:paraId="0CD3A22F" w14:textId="5816FB3A"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N/A</w:t>
            </w:r>
          </w:p>
        </w:tc>
        <w:tc>
          <w:tcPr>
            <w:tcW w:w="1350" w:type="dxa"/>
            <w:tcBorders>
              <w:top w:val="nil"/>
              <w:left w:val="nil"/>
              <w:bottom w:val="nil"/>
              <w:right w:val="nil"/>
            </w:tcBorders>
            <w:vAlign w:val="center"/>
          </w:tcPr>
          <w:p w14:paraId="2E01AB22" w14:textId="0E972FFA"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106</w:t>
            </w:r>
            <w:r>
              <w:rPr>
                <w:rFonts w:ascii="Times New Roman" w:hAnsi="Times New Roman" w:cs="Times New Roman"/>
                <w:sz w:val="20"/>
                <w:szCs w:val="20"/>
              </w:rPr>
              <w:t>/</w:t>
            </w:r>
            <w:r w:rsidRPr="00AA5515">
              <w:rPr>
                <w:rFonts w:ascii="Times New Roman" w:hAnsi="Times New Roman" w:cs="Times New Roman"/>
                <w:sz w:val="20"/>
                <w:szCs w:val="20"/>
              </w:rPr>
              <w:t>110</w:t>
            </w:r>
          </w:p>
        </w:tc>
        <w:tc>
          <w:tcPr>
            <w:tcW w:w="1170" w:type="dxa"/>
            <w:tcBorders>
              <w:top w:val="nil"/>
              <w:left w:val="nil"/>
              <w:bottom w:val="nil"/>
              <w:right w:val="nil"/>
            </w:tcBorders>
            <w:vAlign w:val="center"/>
          </w:tcPr>
          <w:p w14:paraId="110F0AD3" w14:textId="0AEA308B"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141/75</w:t>
            </w:r>
          </w:p>
        </w:tc>
        <w:tc>
          <w:tcPr>
            <w:tcW w:w="2160" w:type="dxa"/>
            <w:tcBorders>
              <w:top w:val="nil"/>
              <w:left w:val="nil"/>
              <w:bottom w:val="nil"/>
              <w:right w:val="nil"/>
            </w:tcBorders>
            <w:vAlign w:val="center"/>
          </w:tcPr>
          <w:p w14:paraId="091F0178" w14:textId="4B030405"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60</w:t>
            </w:r>
            <w:r>
              <w:rPr>
                <w:rFonts w:ascii="Times New Roman" w:hAnsi="Times New Roman" w:cs="Times New Roman"/>
                <w:sz w:val="20"/>
                <w:szCs w:val="20"/>
              </w:rPr>
              <w:t>/</w:t>
            </w:r>
            <w:r w:rsidRPr="00AA5515">
              <w:rPr>
                <w:rFonts w:ascii="Times New Roman" w:hAnsi="Times New Roman" w:cs="Times New Roman"/>
                <w:sz w:val="20"/>
                <w:szCs w:val="20"/>
              </w:rPr>
              <w:t>63</w:t>
            </w:r>
          </w:p>
        </w:tc>
        <w:tc>
          <w:tcPr>
            <w:tcW w:w="2160" w:type="dxa"/>
            <w:tcBorders>
              <w:top w:val="nil"/>
              <w:left w:val="nil"/>
              <w:bottom w:val="nil"/>
              <w:right w:val="nil"/>
            </w:tcBorders>
            <w:vAlign w:val="center"/>
          </w:tcPr>
          <w:p w14:paraId="39B3C65E" w14:textId="58BA1FB2"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CNS</w:t>
            </w:r>
            <w:r>
              <w:rPr>
                <w:rFonts w:ascii="Times New Roman" w:hAnsi="Times New Roman" w:cs="Times New Roman"/>
                <w:sz w:val="20"/>
                <w:szCs w:val="20"/>
              </w:rPr>
              <w:t xml:space="preserve"> </w:t>
            </w:r>
            <w:r w:rsidRPr="00AA5515">
              <w:rPr>
                <w:rFonts w:ascii="Times New Roman" w:hAnsi="Times New Roman" w:cs="Times New Roman"/>
                <w:sz w:val="20"/>
                <w:szCs w:val="20"/>
              </w:rPr>
              <w:t>31</w:t>
            </w:r>
            <w:r>
              <w:rPr>
                <w:rFonts w:ascii="Times New Roman" w:hAnsi="Times New Roman" w:cs="Times New Roman"/>
                <w:sz w:val="20"/>
                <w:szCs w:val="20"/>
              </w:rPr>
              <w:t>/</w:t>
            </w:r>
            <w:r w:rsidRPr="00AA5515">
              <w:rPr>
                <w:rFonts w:ascii="Times New Roman" w:hAnsi="Times New Roman" w:cs="Times New Roman"/>
                <w:sz w:val="20"/>
                <w:szCs w:val="20"/>
              </w:rPr>
              <w:t>23</w:t>
            </w:r>
          </w:p>
          <w:p w14:paraId="40CDE122" w14:textId="09F51095"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Liver</w:t>
            </w:r>
            <w:r>
              <w:rPr>
                <w:rFonts w:ascii="Times New Roman" w:hAnsi="Times New Roman" w:cs="Times New Roman"/>
                <w:sz w:val="20"/>
                <w:szCs w:val="20"/>
              </w:rPr>
              <w:t xml:space="preserve"> </w:t>
            </w:r>
            <w:r w:rsidRPr="00AA5515">
              <w:rPr>
                <w:rFonts w:ascii="Times New Roman" w:hAnsi="Times New Roman" w:cs="Times New Roman"/>
                <w:sz w:val="20"/>
                <w:szCs w:val="20"/>
              </w:rPr>
              <w:t>36</w:t>
            </w:r>
            <w:r>
              <w:rPr>
                <w:rFonts w:ascii="Times New Roman" w:hAnsi="Times New Roman" w:cs="Times New Roman"/>
                <w:sz w:val="20"/>
                <w:szCs w:val="20"/>
              </w:rPr>
              <w:t>/</w:t>
            </w:r>
            <w:r w:rsidRPr="00AA5515">
              <w:rPr>
                <w:rFonts w:ascii="Times New Roman" w:hAnsi="Times New Roman" w:cs="Times New Roman"/>
                <w:sz w:val="20"/>
                <w:szCs w:val="20"/>
              </w:rPr>
              <w:t>48</w:t>
            </w:r>
          </w:p>
          <w:p w14:paraId="058810A5" w14:textId="59299B15"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Bone</w:t>
            </w:r>
            <w:r>
              <w:rPr>
                <w:rFonts w:ascii="Times New Roman" w:hAnsi="Times New Roman" w:cs="Times New Roman"/>
                <w:sz w:val="20"/>
                <w:szCs w:val="20"/>
              </w:rPr>
              <w:t xml:space="preserve"> </w:t>
            </w:r>
            <w:r w:rsidRPr="00AA5515">
              <w:rPr>
                <w:rFonts w:ascii="Times New Roman" w:hAnsi="Times New Roman" w:cs="Times New Roman"/>
                <w:sz w:val="20"/>
                <w:szCs w:val="20"/>
              </w:rPr>
              <w:t>29</w:t>
            </w:r>
            <w:r>
              <w:rPr>
                <w:rFonts w:ascii="Times New Roman" w:hAnsi="Times New Roman" w:cs="Times New Roman"/>
                <w:sz w:val="20"/>
                <w:szCs w:val="20"/>
              </w:rPr>
              <w:t>/</w:t>
            </w:r>
            <w:r w:rsidRPr="00AA5515">
              <w:rPr>
                <w:rFonts w:ascii="Times New Roman" w:hAnsi="Times New Roman" w:cs="Times New Roman"/>
                <w:sz w:val="20"/>
                <w:szCs w:val="20"/>
              </w:rPr>
              <w:t>21</w:t>
            </w:r>
          </w:p>
        </w:tc>
        <w:tc>
          <w:tcPr>
            <w:tcW w:w="5130" w:type="dxa"/>
            <w:tcBorders>
              <w:top w:val="nil"/>
              <w:left w:val="nil"/>
              <w:bottom w:val="nil"/>
              <w:right w:val="nil"/>
            </w:tcBorders>
            <w:vAlign w:val="center"/>
          </w:tcPr>
          <w:p w14:paraId="4DAC620F" w14:textId="27E7662C" w:rsidR="008576B1" w:rsidRPr="00AA5515" w:rsidRDefault="008576B1" w:rsidP="00AA5515">
            <w:pPr>
              <w:jc w:val="center"/>
              <w:rPr>
                <w:rFonts w:ascii="Times New Roman" w:hAnsi="Times New Roman" w:cs="Times New Roman"/>
                <w:color w:val="000000"/>
                <w:sz w:val="20"/>
                <w:szCs w:val="20"/>
              </w:rPr>
            </w:pPr>
            <w:r w:rsidRPr="00AA5515">
              <w:rPr>
                <w:rFonts w:ascii="Times New Roman" w:hAnsi="Times New Roman" w:cs="Times New Roman"/>
                <w:color w:val="000000"/>
                <w:sz w:val="20"/>
                <w:szCs w:val="20"/>
              </w:rPr>
              <w:t>50mg/m2 on days 1, 8, and 15+AUC5mg/ml/min on day 1</w:t>
            </w:r>
          </w:p>
          <w:p w14:paraId="4FF33852" w14:textId="6AF6C34E" w:rsidR="008576B1" w:rsidRPr="00AA5515" w:rsidRDefault="008576B1" w:rsidP="00AA5515">
            <w:pPr>
              <w:jc w:val="center"/>
              <w:rPr>
                <w:rFonts w:ascii="Times New Roman" w:hAnsi="Times New Roman" w:cs="Times New Roman"/>
                <w:color w:val="000000"/>
                <w:sz w:val="20"/>
                <w:szCs w:val="20"/>
              </w:rPr>
            </w:pPr>
            <w:r w:rsidRPr="00AA5515">
              <w:rPr>
                <w:rFonts w:ascii="Times New Roman" w:hAnsi="Times New Roman" w:cs="Times New Roman"/>
                <w:color w:val="000000"/>
                <w:sz w:val="20"/>
                <w:szCs w:val="20"/>
              </w:rPr>
              <w:t>140mg/m2 on days 1, 2, and 3+AUC 5mg/ml/min on day 1</w:t>
            </w:r>
          </w:p>
        </w:tc>
        <w:tc>
          <w:tcPr>
            <w:tcW w:w="1620" w:type="dxa"/>
            <w:tcBorders>
              <w:top w:val="nil"/>
              <w:left w:val="nil"/>
              <w:bottom w:val="nil"/>
              <w:right w:val="nil"/>
            </w:tcBorders>
            <w:vAlign w:val="center"/>
          </w:tcPr>
          <w:p w14:paraId="3E5A5418" w14:textId="0666D4EF"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6</w:t>
            </w:r>
          </w:p>
        </w:tc>
        <w:tc>
          <w:tcPr>
            <w:tcW w:w="1530" w:type="dxa"/>
            <w:tcBorders>
              <w:top w:val="nil"/>
              <w:left w:val="nil"/>
              <w:bottom w:val="nil"/>
              <w:right w:val="nil"/>
            </w:tcBorders>
            <w:vAlign w:val="center"/>
          </w:tcPr>
          <w:p w14:paraId="40C48C56" w14:textId="75FD5368"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80</w:t>
            </w:r>
            <w:r>
              <w:rPr>
                <w:rFonts w:ascii="Times New Roman" w:hAnsi="Times New Roman" w:cs="Times New Roman"/>
                <w:sz w:val="20"/>
                <w:szCs w:val="20"/>
              </w:rPr>
              <w:t>/</w:t>
            </w:r>
            <w:r w:rsidRPr="00AA5515">
              <w:rPr>
                <w:rFonts w:ascii="Times New Roman" w:hAnsi="Times New Roman" w:cs="Times New Roman"/>
                <w:sz w:val="20"/>
                <w:szCs w:val="20"/>
              </w:rPr>
              <w:t>80</w:t>
            </w:r>
          </w:p>
        </w:tc>
        <w:tc>
          <w:tcPr>
            <w:tcW w:w="2250" w:type="dxa"/>
            <w:tcBorders>
              <w:top w:val="nil"/>
              <w:left w:val="nil"/>
              <w:bottom w:val="nil"/>
              <w:right w:val="nil"/>
            </w:tcBorders>
          </w:tcPr>
          <w:p w14:paraId="304544FD" w14:textId="77777777" w:rsidR="008576B1" w:rsidRPr="001A25D7" w:rsidRDefault="008576B1" w:rsidP="008404AE">
            <w:pPr>
              <w:jc w:val="center"/>
              <w:rPr>
                <w:rFonts w:ascii="Times New Roman" w:hAnsi="Times New Roman" w:cs="Times New Roman"/>
                <w:color w:val="000000"/>
                <w:sz w:val="20"/>
                <w:szCs w:val="20"/>
              </w:rPr>
            </w:pPr>
          </w:p>
          <w:p w14:paraId="7A915A9F" w14:textId="3E23299A" w:rsidR="008576B1" w:rsidRPr="00352FE4" w:rsidRDefault="008576B1" w:rsidP="008404AE">
            <w:pPr>
              <w:jc w:val="center"/>
              <w:rPr>
                <w:rFonts w:ascii="Times New Roman" w:hAnsi="Times New Roman" w:cs="Times New Roman"/>
                <w:color w:val="000000"/>
                <w:sz w:val="20"/>
                <w:szCs w:val="20"/>
              </w:rPr>
            </w:pPr>
            <w:r w:rsidRPr="001A25D7">
              <w:rPr>
                <w:rFonts w:ascii="Times New Roman" w:hAnsi="Times New Roman" w:cs="Times New Roman"/>
                <w:color w:val="000000"/>
                <w:sz w:val="20"/>
                <w:szCs w:val="20"/>
              </w:rPr>
              <w:t>n=37</w:t>
            </w:r>
          </w:p>
          <w:p w14:paraId="385EE804" w14:textId="65FFDA6D" w:rsidR="008576B1" w:rsidRPr="001A25D7" w:rsidRDefault="008576B1" w:rsidP="008404AE">
            <w:pPr>
              <w:jc w:val="center"/>
              <w:rPr>
                <w:rFonts w:ascii="Times New Roman" w:hAnsi="Times New Roman" w:cs="Times New Roman"/>
                <w:color w:val="000000"/>
                <w:sz w:val="20"/>
                <w:szCs w:val="20"/>
              </w:rPr>
            </w:pPr>
            <w:r w:rsidRPr="001A25D7">
              <w:rPr>
                <w:rFonts w:ascii="Times New Roman" w:hAnsi="Times New Roman" w:cs="Times New Roman"/>
                <w:color w:val="000000"/>
                <w:sz w:val="20"/>
                <w:szCs w:val="20"/>
              </w:rPr>
              <w:t>n=30</w:t>
            </w:r>
          </w:p>
          <w:p w14:paraId="75B42EC2" w14:textId="2C9F6924" w:rsidR="008576B1" w:rsidRPr="001A25D7" w:rsidRDefault="008576B1" w:rsidP="008404AE">
            <w:pPr>
              <w:jc w:val="center"/>
              <w:rPr>
                <w:rFonts w:ascii="Times New Roman" w:hAnsi="Times New Roman" w:cs="Times New Roman"/>
                <w:sz w:val="20"/>
                <w:szCs w:val="20"/>
              </w:rPr>
            </w:pPr>
          </w:p>
        </w:tc>
        <w:tc>
          <w:tcPr>
            <w:tcW w:w="630" w:type="dxa"/>
            <w:tcBorders>
              <w:top w:val="nil"/>
              <w:left w:val="nil"/>
              <w:bottom w:val="nil"/>
              <w:right w:val="nil"/>
            </w:tcBorders>
          </w:tcPr>
          <w:p w14:paraId="64ED04E3" w14:textId="77777777" w:rsidR="008576B1" w:rsidRPr="001A25D7" w:rsidRDefault="008576B1" w:rsidP="00352FE4">
            <w:pPr>
              <w:rPr>
                <w:rFonts w:ascii="Times New Roman" w:hAnsi="Times New Roman" w:cs="Times New Roman"/>
                <w:color w:val="000000"/>
                <w:sz w:val="20"/>
                <w:szCs w:val="20"/>
              </w:rPr>
            </w:pPr>
          </w:p>
        </w:tc>
      </w:tr>
      <w:tr w:rsidR="008576B1" w:rsidRPr="00AA5515" w14:paraId="374AE509" w14:textId="73E1548D" w:rsidTr="008404AE">
        <w:trPr>
          <w:trHeight w:val="546"/>
          <w:jc w:val="center"/>
        </w:trPr>
        <w:tc>
          <w:tcPr>
            <w:tcW w:w="1469" w:type="dxa"/>
            <w:tcBorders>
              <w:top w:val="nil"/>
              <w:left w:val="nil"/>
              <w:bottom w:val="single" w:sz="12" w:space="0" w:color="auto"/>
              <w:right w:val="nil"/>
            </w:tcBorders>
            <w:vAlign w:val="center"/>
          </w:tcPr>
          <w:sdt>
            <w:sdtPr>
              <w:rPr>
                <w:rFonts w:ascii="Times New Roman" w:hAnsi="Times New Roman" w:cs="Times New Roman"/>
                <w:color w:val="000000"/>
                <w:sz w:val="20"/>
                <w:szCs w:val="20"/>
              </w:rPr>
              <w:tag w:val="MENDELEY_CITATION_v3_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"/>
              <w:id w:val="-569571850"/>
              <w:placeholder>
                <w:docPart w:val="DefaultPlaceholder_-1854013440"/>
              </w:placeholder>
            </w:sdtPr>
            <w:sdtContent>
              <w:p w14:paraId="2ACD813C" w14:textId="6C90DA4F" w:rsidR="008576B1" w:rsidRPr="00AA5515" w:rsidRDefault="00B278A6" w:rsidP="00AA5515">
                <w:pPr>
                  <w:jc w:val="center"/>
                  <w:rPr>
                    <w:rFonts w:ascii="Times New Roman" w:hAnsi="Times New Roman" w:cs="Times New Roman"/>
                    <w:color w:val="000000"/>
                    <w:sz w:val="20"/>
                    <w:szCs w:val="20"/>
                  </w:rPr>
                </w:pPr>
                <w:r w:rsidRPr="00B278A6">
                  <w:rPr>
                    <w:rFonts w:ascii="Times New Roman" w:hAnsi="Times New Roman" w:cs="Times New Roman"/>
                    <w:color w:val="000000"/>
                    <w:sz w:val="20"/>
                    <w:szCs w:val="20"/>
                  </w:rPr>
                  <w:t>(Hermes et al., 2008)</w:t>
                </w:r>
              </w:p>
            </w:sdtContent>
          </w:sdt>
          <w:p w14:paraId="6BC64AF6" w14:textId="77777777" w:rsidR="008576B1" w:rsidRPr="00AA5515" w:rsidRDefault="008576B1" w:rsidP="00AA5515">
            <w:pPr>
              <w:jc w:val="center"/>
              <w:rPr>
                <w:rFonts w:ascii="Times New Roman" w:hAnsi="Times New Roman" w:cs="Times New Roman"/>
                <w:sz w:val="20"/>
                <w:szCs w:val="20"/>
              </w:rPr>
            </w:pPr>
          </w:p>
        </w:tc>
        <w:tc>
          <w:tcPr>
            <w:tcW w:w="1169" w:type="dxa"/>
            <w:tcBorders>
              <w:top w:val="nil"/>
              <w:left w:val="nil"/>
              <w:bottom w:val="single" w:sz="12" w:space="0" w:color="auto"/>
              <w:right w:val="nil"/>
            </w:tcBorders>
            <w:vAlign w:val="center"/>
          </w:tcPr>
          <w:p w14:paraId="2F5B2859" w14:textId="7AEDCDA1"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RCT</w:t>
            </w:r>
          </w:p>
        </w:tc>
        <w:tc>
          <w:tcPr>
            <w:tcW w:w="1322" w:type="dxa"/>
            <w:tcBorders>
              <w:top w:val="nil"/>
              <w:left w:val="nil"/>
              <w:bottom w:val="single" w:sz="12" w:space="0" w:color="auto"/>
              <w:right w:val="nil"/>
            </w:tcBorders>
            <w:vAlign w:val="center"/>
          </w:tcPr>
          <w:p w14:paraId="31369F6D" w14:textId="5DA45F13"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ES-SCLC</w:t>
            </w:r>
          </w:p>
        </w:tc>
        <w:tc>
          <w:tcPr>
            <w:tcW w:w="990" w:type="dxa"/>
            <w:tcBorders>
              <w:top w:val="nil"/>
              <w:left w:val="nil"/>
              <w:bottom w:val="single" w:sz="12" w:space="0" w:color="auto"/>
              <w:right w:val="nil"/>
            </w:tcBorders>
            <w:vAlign w:val="center"/>
          </w:tcPr>
          <w:p w14:paraId="178EED58" w14:textId="4A7E9029"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bCs/>
                <w:sz w:val="20"/>
                <w:szCs w:val="20"/>
              </w:rPr>
              <w:t>IC/EC</w:t>
            </w:r>
            <w:r w:rsidRPr="00AA5515">
              <w:rPr>
                <w:rFonts w:ascii="Times New Roman" w:hAnsi="Times New Roman" w:cs="Times New Roman"/>
                <w:sz w:val="20"/>
                <w:szCs w:val="20"/>
              </w:rPr>
              <w:t xml:space="preserve"> </w:t>
            </w:r>
          </w:p>
        </w:tc>
        <w:tc>
          <w:tcPr>
            <w:tcW w:w="1260" w:type="dxa"/>
            <w:tcBorders>
              <w:top w:val="nil"/>
              <w:left w:val="nil"/>
              <w:bottom w:val="single" w:sz="12" w:space="0" w:color="auto"/>
              <w:right w:val="nil"/>
            </w:tcBorders>
            <w:vAlign w:val="center"/>
          </w:tcPr>
          <w:p w14:paraId="24E97640" w14:textId="3134FB62"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9.2</w:t>
            </w:r>
          </w:p>
        </w:tc>
        <w:tc>
          <w:tcPr>
            <w:tcW w:w="1350" w:type="dxa"/>
            <w:tcBorders>
              <w:top w:val="nil"/>
              <w:left w:val="nil"/>
              <w:bottom w:val="single" w:sz="12" w:space="0" w:color="auto"/>
              <w:right w:val="nil"/>
            </w:tcBorders>
            <w:vAlign w:val="center"/>
          </w:tcPr>
          <w:p w14:paraId="2B6A2A00" w14:textId="4CAE12F4"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104</w:t>
            </w:r>
            <w:r>
              <w:rPr>
                <w:rFonts w:ascii="Times New Roman" w:hAnsi="Times New Roman" w:cs="Times New Roman"/>
                <w:sz w:val="20"/>
                <w:szCs w:val="20"/>
              </w:rPr>
              <w:t>/</w:t>
            </w:r>
            <w:r w:rsidRPr="00AA5515">
              <w:rPr>
                <w:rFonts w:ascii="Times New Roman" w:hAnsi="Times New Roman" w:cs="Times New Roman"/>
                <w:sz w:val="20"/>
                <w:szCs w:val="20"/>
              </w:rPr>
              <w:t>105</w:t>
            </w:r>
          </w:p>
        </w:tc>
        <w:tc>
          <w:tcPr>
            <w:tcW w:w="1170" w:type="dxa"/>
            <w:tcBorders>
              <w:top w:val="nil"/>
              <w:left w:val="nil"/>
              <w:bottom w:val="single" w:sz="12" w:space="0" w:color="auto"/>
              <w:right w:val="nil"/>
            </w:tcBorders>
            <w:vAlign w:val="center"/>
          </w:tcPr>
          <w:p w14:paraId="22DA170C" w14:textId="0E00C860"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138/71</w:t>
            </w:r>
          </w:p>
        </w:tc>
        <w:tc>
          <w:tcPr>
            <w:tcW w:w="2160" w:type="dxa"/>
            <w:tcBorders>
              <w:top w:val="nil"/>
              <w:left w:val="nil"/>
              <w:bottom w:val="single" w:sz="12" w:space="0" w:color="auto"/>
              <w:right w:val="nil"/>
            </w:tcBorders>
            <w:vAlign w:val="center"/>
          </w:tcPr>
          <w:p w14:paraId="23B2E10E" w14:textId="002DD6F5"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67</w:t>
            </w:r>
            <w:r>
              <w:rPr>
                <w:rFonts w:ascii="Times New Roman" w:hAnsi="Times New Roman" w:cs="Times New Roman"/>
                <w:sz w:val="20"/>
                <w:szCs w:val="20"/>
              </w:rPr>
              <w:t>/</w:t>
            </w:r>
            <w:r w:rsidRPr="00AA5515">
              <w:rPr>
                <w:rFonts w:ascii="Times New Roman" w:hAnsi="Times New Roman" w:cs="Times New Roman"/>
                <w:sz w:val="20"/>
                <w:szCs w:val="20"/>
              </w:rPr>
              <w:t>68</w:t>
            </w:r>
          </w:p>
        </w:tc>
        <w:tc>
          <w:tcPr>
            <w:tcW w:w="2160" w:type="dxa"/>
            <w:tcBorders>
              <w:top w:val="nil"/>
              <w:left w:val="nil"/>
              <w:bottom w:val="single" w:sz="12" w:space="0" w:color="auto"/>
              <w:right w:val="nil"/>
            </w:tcBorders>
            <w:vAlign w:val="center"/>
          </w:tcPr>
          <w:p w14:paraId="43663546" w14:textId="2E7D5C49"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CNS</w:t>
            </w:r>
            <w:r>
              <w:rPr>
                <w:rFonts w:ascii="Times New Roman" w:hAnsi="Times New Roman" w:cs="Times New Roman"/>
                <w:sz w:val="20"/>
                <w:szCs w:val="20"/>
              </w:rPr>
              <w:t xml:space="preserve"> </w:t>
            </w:r>
            <w:r w:rsidRPr="00AA5515">
              <w:rPr>
                <w:rFonts w:ascii="Times New Roman" w:hAnsi="Times New Roman" w:cs="Times New Roman"/>
                <w:sz w:val="20"/>
                <w:szCs w:val="20"/>
              </w:rPr>
              <w:t>17</w:t>
            </w:r>
            <w:r>
              <w:rPr>
                <w:rFonts w:ascii="Times New Roman" w:hAnsi="Times New Roman" w:cs="Times New Roman"/>
                <w:sz w:val="20"/>
                <w:szCs w:val="20"/>
              </w:rPr>
              <w:t>/</w:t>
            </w:r>
            <w:r w:rsidRPr="00AA5515">
              <w:rPr>
                <w:rFonts w:ascii="Times New Roman" w:hAnsi="Times New Roman" w:cs="Times New Roman"/>
                <w:sz w:val="20"/>
                <w:szCs w:val="20"/>
              </w:rPr>
              <w:t>12</w:t>
            </w:r>
          </w:p>
          <w:p w14:paraId="43168E4E" w14:textId="15E9D70D"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Liver</w:t>
            </w:r>
            <w:r>
              <w:rPr>
                <w:rFonts w:ascii="Times New Roman" w:hAnsi="Times New Roman" w:cs="Times New Roman"/>
                <w:sz w:val="20"/>
                <w:szCs w:val="20"/>
              </w:rPr>
              <w:t xml:space="preserve"> </w:t>
            </w:r>
            <w:r w:rsidRPr="00AA5515">
              <w:rPr>
                <w:rFonts w:ascii="Times New Roman" w:hAnsi="Times New Roman" w:cs="Times New Roman"/>
                <w:sz w:val="20"/>
                <w:szCs w:val="20"/>
              </w:rPr>
              <w:t>46</w:t>
            </w:r>
            <w:r>
              <w:rPr>
                <w:rFonts w:ascii="Times New Roman" w:hAnsi="Times New Roman" w:cs="Times New Roman"/>
                <w:sz w:val="20"/>
                <w:szCs w:val="20"/>
              </w:rPr>
              <w:t>/</w:t>
            </w:r>
            <w:r w:rsidRPr="00AA5515">
              <w:rPr>
                <w:rFonts w:ascii="Times New Roman" w:hAnsi="Times New Roman" w:cs="Times New Roman"/>
                <w:sz w:val="20"/>
                <w:szCs w:val="20"/>
              </w:rPr>
              <w:t>48</w:t>
            </w:r>
          </w:p>
          <w:p w14:paraId="2070AAAF" w14:textId="5C571F19"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Bone</w:t>
            </w:r>
            <w:r>
              <w:rPr>
                <w:rFonts w:ascii="Times New Roman" w:hAnsi="Times New Roman" w:cs="Times New Roman"/>
                <w:sz w:val="20"/>
                <w:szCs w:val="20"/>
              </w:rPr>
              <w:t xml:space="preserve"> </w:t>
            </w:r>
            <w:r w:rsidRPr="00AA5515">
              <w:rPr>
                <w:rFonts w:ascii="Times New Roman" w:hAnsi="Times New Roman" w:cs="Times New Roman"/>
                <w:sz w:val="20"/>
                <w:szCs w:val="20"/>
              </w:rPr>
              <w:t>19</w:t>
            </w:r>
            <w:r>
              <w:rPr>
                <w:rFonts w:ascii="Times New Roman" w:hAnsi="Times New Roman" w:cs="Times New Roman"/>
                <w:sz w:val="20"/>
                <w:szCs w:val="20"/>
              </w:rPr>
              <w:t>/</w:t>
            </w:r>
            <w:r w:rsidRPr="00AA5515">
              <w:rPr>
                <w:rFonts w:ascii="Times New Roman" w:hAnsi="Times New Roman" w:cs="Times New Roman"/>
                <w:sz w:val="20"/>
                <w:szCs w:val="20"/>
              </w:rPr>
              <w:t>20</w:t>
            </w:r>
          </w:p>
        </w:tc>
        <w:tc>
          <w:tcPr>
            <w:tcW w:w="5130" w:type="dxa"/>
            <w:tcBorders>
              <w:top w:val="nil"/>
              <w:left w:val="nil"/>
              <w:bottom w:val="single" w:sz="12" w:space="0" w:color="auto"/>
              <w:right w:val="nil"/>
            </w:tcBorders>
            <w:vAlign w:val="center"/>
          </w:tcPr>
          <w:p w14:paraId="52CD71FB" w14:textId="6E52D741" w:rsidR="008576B1" w:rsidRPr="00AA5515" w:rsidRDefault="008576B1" w:rsidP="00AA5515">
            <w:pPr>
              <w:jc w:val="center"/>
              <w:rPr>
                <w:rFonts w:ascii="Times New Roman" w:hAnsi="Times New Roman" w:cs="Times New Roman"/>
                <w:color w:val="000000"/>
                <w:sz w:val="20"/>
                <w:szCs w:val="20"/>
              </w:rPr>
            </w:pPr>
            <w:r w:rsidRPr="00AA5515">
              <w:rPr>
                <w:rFonts w:ascii="Times New Roman" w:hAnsi="Times New Roman" w:cs="Times New Roman"/>
                <w:color w:val="000000"/>
                <w:sz w:val="20"/>
                <w:szCs w:val="20"/>
              </w:rPr>
              <w:t>175 mg/m² on day 1+AUC 4 mg/ml/min on day 1</w:t>
            </w:r>
          </w:p>
          <w:p w14:paraId="1D50B1D3" w14:textId="425D1CFC" w:rsidR="008576B1" w:rsidRPr="00AA5515" w:rsidRDefault="008576B1" w:rsidP="00AA5515">
            <w:pPr>
              <w:jc w:val="center"/>
              <w:rPr>
                <w:rFonts w:ascii="Times New Roman" w:hAnsi="Times New Roman" w:cs="Times New Roman"/>
                <w:color w:val="000000"/>
                <w:sz w:val="20"/>
                <w:szCs w:val="20"/>
              </w:rPr>
            </w:pPr>
            <w:r w:rsidRPr="00AA5515">
              <w:rPr>
                <w:rFonts w:ascii="Times New Roman" w:hAnsi="Times New Roman" w:cs="Times New Roman"/>
                <w:color w:val="000000"/>
                <w:sz w:val="20"/>
                <w:szCs w:val="20"/>
              </w:rPr>
              <w:t>120 mg/m² on days 1-5+AUC 4 mg/ml/min on day 1</w:t>
            </w:r>
          </w:p>
        </w:tc>
        <w:tc>
          <w:tcPr>
            <w:tcW w:w="1620" w:type="dxa"/>
            <w:tcBorders>
              <w:top w:val="nil"/>
              <w:left w:val="nil"/>
              <w:bottom w:val="single" w:sz="12" w:space="0" w:color="auto"/>
              <w:right w:val="nil"/>
            </w:tcBorders>
            <w:vAlign w:val="center"/>
          </w:tcPr>
          <w:p w14:paraId="3305D177" w14:textId="3AD12271"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4</w:t>
            </w:r>
          </w:p>
        </w:tc>
        <w:tc>
          <w:tcPr>
            <w:tcW w:w="1530" w:type="dxa"/>
            <w:tcBorders>
              <w:top w:val="nil"/>
              <w:left w:val="nil"/>
              <w:bottom w:val="single" w:sz="12" w:space="0" w:color="auto"/>
              <w:right w:val="nil"/>
            </w:tcBorders>
            <w:vAlign w:val="center"/>
          </w:tcPr>
          <w:p w14:paraId="3BC2B29C" w14:textId="3552FEDF" w:rsidR="008576B1" w:rsidRPr="00AA5515" w:rsidRDefault="008576B1" w:rsidP="00AA5515">
            <w:pPr>
              <w:jc w:val="center"/>
              <w:rPr>
                <w:rFonts w:ascii="Times New Roman" w:hAnsi="Times New Roman" w:cs="Times New Roman"/>
                <w:sz w:val="20"/>
                <w:szCs w:val="20"/>
              </w:rPr>
            </w:pPr>
            <w:r w:rsidRPr="00AA5515">
              <w:rPr>
                <w:rFonts w:ascii="Times New Roman" w:hAnsi="Times New Roman" w:cs="Times New Roman"/>
                <w:sz w:val="20"/>
                <w:szCs w:val="20"/>
              </w:rPr>
              <w:t>53</w:t>
            </w:r>
            <w:r>
              <w:rPr>
                <w:rFonts w:ascii="Times New Roman" w:hAnsi="Times New Roman" w:cs="Times New Roman"/>
                <w:sz w:val="20"/>
                <w:szCs w:val="20"/>
              </w:rPr>
              <w:t>/</w:t>
            </w:r>
            <w:r w:rsidRPr="00AA5515">
              <w:rPr>
                <w:rFonts w:ascii="Times New Roman" w:hAnsi="Times New Roman" w:cs="Times New Roman"/>
                <w:sz w:val="20"/>
                <w:szCs w:val="20"/>
              </w:rPr>
              <w:t>52</w:t>
            </w:r>
          </w:p>
        </w:tc>
        <w:tc>
          <w:tcPr>
            <w:tcW w:w="2250" w:type="dxa"/>
            <w:tcBorders>
              <w:top w:val="nil"/>
              <w:left w:val="nil"/>
              <w:bottom w:val="single" w:sz="12" w:space="0" w:color="auto"/>
              <w:right w:val="nil"/>
            </w:tcBorders>
          </w:tcPr>
          <w:p w14:paraId="5A57783A" w14:textId="77777777" w:rsidR="008576B1" w:rsidRPr="001A25D7" w:rsidRDefault="008576B1" w:rsidP="008404AE">
            <w:pPr>
              <w:jc w:val="center"/>
              <w:rPr>
                <w:rFonts w:ascii="Times New Roman" w:hAnsi="Times New Roman" w:cs="Times New Roman"/>
                <w:sz w:val="20"/>
                <w:szCs w:val="20"/>
              </w:rPr>
            </w:pPr>
          </w:p>
          <w:p w14:paraId="2EE731A5" w14:textId="236B6D81" w:rsidR="008576B1" w:rsidRDefault="008576B1" w:rsidP="008404AE">
            <w:pPr>
              <w:jc w:val="center"/>
              <w:rPr>
                <w:rFonts w:ascii="Times New Roman" w:hAnsi="Times New Roman" w:cs="Times New Roman"/>
                <w:sz w:val="20"/>
                <w:szCs w:val="20"/>
              </w:rPr>
            </w:pPr>
            <w:r w:rsidRPr="001A25D7">
              <w:rPr>
                <w:rFonts w:ascii="Times New Roman" w:hAnsi="Times New Roman" w:cs="Times New Roman"/>
                <w:sz w:val="20"/>
                <w:szCs w:val="20"/>
              </w:rPr>
              <w:t>n=13</w:t>
            </w:r>
          </w:p>
          <w:p w14:paraId="6B0B5019" w14:textId="6B54A289" w:rsidR="008576B1" w:rsidRPr="00352FE4" w:rsidRDefault="008576B1" w:rsidP="008404AE">
            <w:pPr>
              <w:jc w:val="center"/>
              <w:rPr>
                <w:rFonts w:ascii="Times New Roman" w:hAnsi="Times New Roman" w:cs="Times New Roman"/>
                <w:sz w:val="20"/>
                <w:szCs w:val="20"/>
              </w:rPr>
            </w:pPr>
            <w:r w:rsidRPr="001A25D7">
              <w:rPr>
                <w:rFonts w:ascii="Times New Roman" w:hAnsi="Times New Roman" w:cs="Times New Roman"/>
                <w:color w:val="000000"/>
                <w:sz w:val="20"/>
                <w:szCs w:val="20"/>
              </w:rPr>
              <w:t>n=17</w:t>
            </w:r>
          </w:p>
          <w:p w14:paraId="7805A9EC" w14:textId="0A2EB76C" w:rsidR="008576B1" w:rsidRPr="001A25D7" w:rsidRDefault="008576B1" w:rsidP="008404AE">
            <w:pPr>
              <w:jc w:val="center"/>
              <w:rPr>
                <w:rFonts w:ascii="Times New Roman" w:hAnsi="Times New Roman" w:cs="Times New Roman"/>
                <w:sz w:val="20"/>
                <w:szCs w:val="20"/>
              </w:rPr>
            </w:pPr>
          </w:p>
        </w:tc>
        <w:tc>
          <w:tcPr>
            <w:tcW w:w="630" w:type="dxa"/>
            <w:tcBorders>
              <w:top w:val="nil"/>
              <w:left w:val="nil"/>
              <w:bottom w:val="single" w:sz="12" w:space="0" w:color="auto"/>
              <w:right w:val="nil"/>
            </w:tcBorders>
          </w:tcPr>
          <w:p w14:paraId="26758821" w14:textId="77777777" w:rsidR="008576B1" w:rsidRPr="001A25D7" w:rsidRDefault="008576B1" w:rsidP="001A25D7">
            <w:pPr>
              <w:rPr>
                <w:rFonts w:ascii="Times New Roman" w:hAnsi="Times New Roman" w:cs="Times New Roman"/>
                <w:sz w:val="20"/>
                <w:szCs w:val="20"/>
              </w:rPr>
            </w:pPr>
          </w:p>
        </w:tc>
      </w:tr>
    </w:tbl>
    <w:p w14:paraId="34431382" w14:textId="216A5F65" w:rsidR="00160598" w:rsidRPr="00AA5515" w:rsidRDefault="00160598" w:rsidP="00160598">
      <w:pPr>
        <w:tabs>
          <w:tab w:val="left" w:pos="430"/>
        </w:tabs>
        <w:rPr>
          <w:rFonts w:ascii="Times New Roman" w:hAnsi="Times New Roman" w:cs="Times New Roman"/>
          <w:sz w:val="20"/>
          <w:szCs w:val="20"/>
        </w:rPr>
      </w:pPr>
      <w:r w:rsidRPr="00AA5515">
        <w:rPr>
          <w:rFonts w:ascii="Times New Roman" w:hAnsi="Times New Roman" w:cs="Times New Roman"/>
          <w:sz w:val="20"/>
          <w:szCs w:val="20"/>
        </w:rPr>
        <w:t>IC, irinotecan/carboplatin; EC, etoposide/carboplatin; M/F, male/female; n, number of patients</w:t>
      </w:r>
      <w:r w:rsidR="002C462E">
        <w:rPr>
          <w:rFonts w:ascii="Times New Roman" w:hAnsi="Times New Roman" w:cs="Times New Roman"/>
          <w:sz w:val="20"/>
          <w:szCs w:val="20"/>
        </w:rPr>
        <w:t>; ED-SCLC, extended disease small cell lung cancer; RCT, randomized controlled trial; AUC, area under the curve; PS, performance status; CNS, central nervous system</w:t>
      </w:r>
    </w:p>
    <w:bookmarkEnd w:id="0"/>
    <w:p w14:paraId="55E06131" w14:textId="0C5020B8" w:rsidR="00E0021C" w:rsidRPr="00AA5515" w:rsidRDefault="00E0021C" w:rsidP="008404AE">
      <w:pPr>
        <w:tabs>
          <w:tab w:val="left" w:pos="430"/>
        </w:tabs>
        <w:jc w:val="center"/>
        <w:rPr>
          <w:rFonts w:ascii="Times New Roman" w:hAnsi="Times New Roman" w:cs="Times New Roman"/>
          <w:sz w:val="20"/>
          <w:szCs w:val="20"/>
        </w:rPr>
      </w:pPr>
    </w:p>
    <w:sectPr w:rsidR="00E0021C" w:rsidRPr="00AA5515" w:rsidSect="00160598">
      <w:pgSz w:w="24480" w:h="15840" w:orient="landscape" w:code="3"/>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60598"/>
    <w:rsid w:val="00160598"/>
    <w:rsid w:val="001A25D7"/>
    <w:rsid w:val="002C462E"/>
    <w:rsid w:val="00352FE4"/>
    <w:rsid w:val="003D30CF"/>
    <w:rsid w:val="00742BD7"/>
    <w:rsid w:val="008404AE"/>
    <w:rsid w:val="008550E7"/>
    <w:rsid w:val="008576B1"/>
    <w:rsid w:val="00A00185"/>
    <w:rsid w:val="00AA5515"/>
    <w:rsid w:val="00B14419"/>
    <w:rsid w:val="00B25664"/>
    <w:rsid w:val="00B278A6"/>
    <w:rsid w:val="00D20EB9"/>
    <w:rsid w:val="00E0021C"/>
    <w:rsid w:val="00E302A9"/>
    <w:rsid w:val="00F1303C"/>
    <w:rsid w:val="00FA1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A9F9D3"/>
  <w15:docId w15:val="{19090381-83BB-401F-A2AC-40DA40328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0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278A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61445">
      <w:bodyDiv w:val="1"/>
      <w:marLeft w:val="0"/>
      <w:marRight w:val="0"/>
      <w:marTop w:val="0"/>
      <w:marBottom w:val="0"/>
      <w:divBdr>
        <w:top w:val="none" w:sz="0" w:space="0" w:color="auto"/>
        <w:left w:val="none" w:sz="0" w:space="0" w:color="auto"/>
        <w:bottom w:val="none" w:sz="0" w:space="0" w:color="auto"/>
        <w:right w:val="none" w:sz="0" w:space="0" w:color="auto"/>
      </w:divBdr>
    </w:div>
    <w:div w:id="784618909">
      <w:bodyDiv w:val="1"/>
      <w:marLeft w:val="0"/>
      <w:marRight w:val="0"/>
      <w:marTop w:val="0"/>
      <w:marBottom w:val="0"/>
      <w:divBdr>
        <w:top w:val="none" w:sz="0" w:space="0" w:color="auto"/>
        <w:left w:val="none" w:sz="0" w:space="0" w:color="auto"/>
        <w:bottom w:val="none" w:sz="0" w:space="0" w:color="auto"/>
        <w:right w:val="none" w:sz="0" w:space="0" w:color="auto"/>
      </w:divBdr>
    </w:div>
    <w:div w:id="1013191483">
      <w:bodyDiv w:val="1"/>
      <w:marLeft w:val="0"/>
      <w:marRight w:val="0"/>
      <w:marTop w:val="0"/>
      <w:marBottom w:val="0"/>
      <w:divBdr>
        <w:top w:val="none" w:sz="0" w:space="0" w:color="auto"/>
        <w:left w:val="none" w:sz="0" w:space="0" w:color="auto"/>
        <w:bottom w:val="none" w:sz="0" w:space="0" w:color="auto"/>
        <w:right w:val="none" w:sz="0" w:space="0" w:color="auto"/>
      </w:divBdr>
    </w:div>
    <w:div w:id="1298560807">
      <w:bodyDiv w:val="1"/>
      <w:marLeft w:val="0"/>
      <w:marRight w:val="0"/>
      <w:marTop w:val="0"/>
      <w:marBottom w:val="0"/>
      <w:divBdr>
        <w:top w:val="none" w:sz="0" w:space="0" w:color="auto"/>
        <w:left w:val="none" w:sz="0" w:space="0" w:color="auto"/>
        <w:bottom w:val="none" w:sz="0" w:space="0" w:color="auto"/>
        <w:right w:val="none" w:sz="0" w:space="0" w:color="auto"/>
      </w:divBdr>
    </w:div>
    <w:div w:id="1436824093">
      <w:bodyDiv w:val="1"/>
      <w:marLeft w:val="0"/>
      <w:marRight w:val="0"/>
      <w:marTop w:val="0"/>
      <w:marBottom w:val="0"/>
      <w:divBdr>
        <w:top w:val="none" w:sz="0" w:space="0" w:color="auto"/>
        <w:left w:val="none" w:sz="0" w:space="0" w:color="auto"/>
        <w:bottom w:val="none" w:sz="0" w:space="0" w:color="auto"/>
        <w:right w:val="none" w:sz="0" w:space="0" w:color="auto"/>
      </w:divBdr>
    </w:div>
    <w:div w:id="1605192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C66D300-6290-4275-9976-EA9F572CCADD}"/>
      </w:docPartPr>
      <w:docPartBody>
        <w:p w:rsidR="00000000" w:rsidRDefault="00EC1BB6">
          <w:r w:rsidRPr="00972A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BB6"/>
    <w:rsid w:val="00834414"/>
    <w:rsid w:val="00EC1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1BB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4F58EB-927B-4D24-8932-29663BD67316}">
  <we:reference id="wa104382081" version="1.55.1.0" store="en-US" storeType="OMEX"/>
  <we:alternateReferences>
    <we:reference id="wa104382081" version="1.55.1.0" store="en-US" storeType="OMEX"/>
  </we:alternateReferences>
  <we:properties>
    <we:property name="MENDELEY_CITATIONS" value="[{&quot;citationID&quot;:&quot;MENDELEY_CITATION_1702856e-cfe8-4566-b10b-3633ab5ecfd0&quot;,&quot;properties&quot;:{&quot;noteIndex&quot;:0},&quot;isEdited&quot;:false,&quot;manualOverride&quot;:{&quot;isManuallyOverridden&quot;:false,&quot;citeprocText&quot;:&quot;(Shimokawa et al., 2023)&quot;,&quot;manualOverrideText&quot;:&quot;&quot;},&quot;citationTag&quot;:&quot;MENDELEY_CITATION_v3_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&quot;,&quot;citationItems&quot;:[{&quot;id&quot;:&quot;f10682f3-272c-3716-ade1-748a3c976d36&quot;,&quot;itemData&quot;:{&quot;type&quot;:&quot;article-journal&quot;,&quot;id&quot;:&quot;f10682f3-272c-3716-ade1-748a3c976d36&quot;,&quot;title&quot;:&quot;Carboplatin and irinotecan (CI) vs. carboplatin and etoposide (CE) for the treatment of extended-stage small-cell lung cancer in an elderly population: A phase II/III randomized control trial&quot;,&quot;author&quot;:[{&quot;family&quot;:&quot;Shimokawa&quot;,&quot;given&quot;:&quot;Tsuneo&quot;,&quot;parse-names&quot;:false,&quot;dropping-particle&quot;:&quot;&quot;,&quot;non-dropping-particle&quot;:&quot;&quot;},{&quot;family&quot;:&quot;Okamoto&quot;,&quot;given&quot;:&quot;Hiroaki&quot;,&quot;parse-names&quot;:false,&quot;dropping-particle&quot;:&quot;&quot;,&quot;non-dropping-particle&quot;:&quot;&quot;},{&quot;family&quot;:&quot;Machida&quot;,&quot;given&quot;:&quot;Ryunosuke&quot;,&quot;parse-names&quot;:false,&quot;dropping-particle&quot;:&quot;&quot;,&quot;non-dropping-particle&quot;:&quot;&quot;},{&quot;family&quot;:&quot;Misumi&quot;,&quot;given&quot;:&quot;Yuki&quot;,&quot;parse-names&quot;:false,&quot;dropping-particle&quot;:&quot;&quot;,&quot;non-dropping-particle&quot;:&quot;&quot;},{&quot;family&quot;:&quot;Hosomi&quot;,&quot;given&quot;:&quot;Yukio&quot;,&quot;parse-names&quot;:false,&quot;dropping-particle&quot;:&quot;&quot;,&quot;non-dropping-particle&quot;:&quot;&quot;},{&quot;family&quot;:&quot;Yoneshima&quot;,&quot;given&quot;:&quot;Yasuto&quot;,&quot;parse-names&quot;:false,&quot;dropping-particle&quot;:&quot;&quot;,&quot;non-dropping-particle&quot;:&quot;&quot;},{&quot;family&quot;:&quot;Tanaka&quot;,&quot;given&quot;:&quot;Hiroshi&quot;,&quot;parse-names&quot;:false,&quot;dropping-particle&quot;:&quot;&quot;,&quot;non-dropping-particle&quot;:&quot;&quot;},{&quot;family&quot;:&quot;Okishio&quot;,&quot;given&quot;:&quot;Kyoichi&quot;,&quot;parse-names&quot;:false,&quot;dropping-particle&quot;:&quot;&quot;,&quot;non-dropping-particle&quot;:&quot;&quot;},{&quot;family&quot;:&quot;Simizu&quot;,&quot;given&quot;:&quot;Junichi&quot;,&quot;parse-names&quot;:false,&quot;dropping-particle&quot;:&quot;&quot;,&quot;non-dropping-particle&quot;:&quot;&quot;},{&quot;family&quot;:&quot;Goto&quot;,&quot;given&quot;:&quot;Koichi&quot;,&quot;parse-names&quot;:false,&quot;dropping-particle&quot;:&quot;&quot;,&quot;non-dropping-particle&quot;:&quot;&quot;},{&quot;family&quot;:&quot;Akamatsu&quot;,&quot;given&quot;:&quot;Hiroaki&quot;,&quot;parse-names&quot;:false,&quot;dropping-particle&quot;:&quot;&quot;,&quot;non-dropping-particle&quot;:&quot;&quot;},{&quot;family&quot;:&quot;Kubota&quot;,&quot;given&quot;:&quot;Kaoru&quot;,&quot;parse-names&quot;:false,&quot;dropping-particle&quot;:&quot;&quot;,&quot;non-dropping-particle&quot;:&quot;&quot;},{&quot;family&quot;:&quot;Nakagawa&quot;,&quot;given&quot;:&quot;Kazuhiko&quot;,&quot;parse-names&quot;:false,&quot;dropping-particle&quot;:&quot;&quot;,&quot;non-dropping-particle&quot;:&quot;&quot;},{&quot;family&quot;:&quot;Horinouchi&quot;,&quot;given&quot;:&quot;Hidehito&quot;,&quot;parse-names&quot;:false,&quot;dropping-particle&quot;:&quot;&quot;,&quot;non-dropping-particle&quot;:&quot;&quot;},{&quot;family&quot;:&quot;Ando&quot;,&quot;given&quot;:&quot;Masahiko&quot;,&quot;parse-names&quot;:false,&quot;dropping-particle&quot;:&quot;&quot;,&quot;non-dropping-particle&quot;:&quot;&quot;},{&quot;family&quot;:&quot;Kataoka&quot;,&quot;given&quot;:&quot;Tomoko&quot;,&quot;parse-names&quot;:false,&quot;dropping-particle&quot;:&quot;&quot;,&quot;non-dropping-particle&quot;:&quot;&quot;},{&quot;family&quot;:&quot;Ohe&quot;,&quot;given&quot;:&quot;Yuichiro&quot;,&quot;parse-names&quot;:false,&quot;dropping-particle&quot;:&quot;&quot;,&quot;non-dropping-particle&quot;:&quot;&quot;}],&quot;container-title&quot;:&quot;Lung Cancer&quot;,&quot;accessed&quot;:{&quot;date-parts&quot;:[[2023,12,5]]},&quot;DOI&quot;:&quot;10.1016/j.lungcan.2023.107195&quot;,&quot;ISSN&quot;:&quot;18728332&quot;,&quot;PMID&quot;:&quot;37156212&quot;,&quot;URL&quot;:&quot;http://www.lungcancerjournal.info/article/S016950022300733X/fulltext&quot;,&quot;issued&quot;:{&quot;date-parts&quot;:[[2023,7,1]]},&quot;page&quot;:&quot;107195&quot;,&quot;abstract&quot;:&quot;Objectives: Cisplatin plus irinotecan has been considered as the standard therapy in younger (&lt;70 years old) patients for extensive-disease small-cell lung cancer (ED-SCLC) in Japan. However, there is a lack of high-quality evidence for the use of irinotecan in elderly patients with ED-SCLC. This study aimed to demonstrate that carboplatin plus irinotecan (CI) improves overall survival (OS) in elderly patients with ED-SCLC. Materials and methods: This was a randomized Phase II/III trial which enrolled elderly patients with ED-SCLC. Patients were randomized to the CI or carboplatin plus etoposide (CE) arm in a 1:1 ratio. The CE group intravenously received carboplatin (AUC 5 mg/ml/min on day 1) and etoposide (80 mg/m2 on days 1–3) every 3 weeks for four cycles. The CI group received carboplatin (AUC 4 mg/ml/min on day 1) and irinotecan (50 mg/m2 on days 1 and 8) intravenously every 3 weeks for 4 cycles. Results: In total, 258 patients were enrolled and randomized (CE arm, 129 patients; CI arm, 129 patients). The median overall survival, progression-free survival, and objective response rate of the CE vs. CI arms were 12.0 (95% CI, 9.3–13.7) vs. 13.2 (95% CI, 11.1–14.6) months (HR, 0.85 (95% CI, 0.65–1.11)) (one-sided P = 0.11), 4.4 (95% CI, 4.0–4.7) vs. 4.9 (95% CI, 4.5–5.2) months (HR, 0.85 (95% CI, 0.66–1.09)), and 59.5% vs. 63.2%, respectively. A higher incidence of myelosuppression was observed in the CE group, whereas a higher incidence of gastrointestinal toxicity was observed in the CI group. Three treatment-related deaths occurred (one due to lung infection in the CE arm, and one due to lung infection and sepsis each in the CI arm). Conclusions: The CI treatment showed favorable efficacy; however, the difference was not statistically significant. These results suggest that CE should remain as the standard chemotherapy regimen for elderly patients with ED-SCLC.&quot;,&quot;publisher&quot;:&quot;Elsevier Ireland Ltd&quot;,&quot;volume&quot;:&quot;181&quot;,&quot;container-title-short&quot;:&quot;&quot;},&quot;isTemporary&quot;:false}]},{&quot;citationID&quot;:&quot;MENDELEY_CITATION_c17e33e2-8134-448e-a225-d3465b2fce07&quot;,&quot;properties&quot;:{&quot;noteIndex&quot;:0},&quot;isEdited&quot;:false,&quot;manualOverride&quot;:{&quot;isManuallyOverridden&quot;:false,&quot;citeprocText&quot;:&quot;(Schmittel et al., 2011)&quot;,&quot;manualOverrideText&quot;:&quot;&quot;},&quot;citationTag&quot;:&quot;MENDELEY_CITATION_v3_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&quot;,&quot;citationItems&quot;:[{&quot;id&quot;:&quot;57c64eea-6717-34e0-b183-d8d0b07f2b11&quot;,&quot;itemData&quot;:{&quot;type&quot;:&quot;article-journal&quot;,&quot;id&quot;:&quot;57c64eea-6717-34e0-b183-d8d0b07f2b11&quot;,&quot;title&quot;:&quot;A German multicenter, randomized phase III trial comparing irinotecan-carboplatin with etoposide-carboplatin as first-line therapy for extensive-disease small-cell lung cancer&quot;,&quot;author&quot;:[{&quot;family&quot;:&quot;Schmittel&quot;,&quot;given&quot;:&quot;A.&quot;,&quot;parse-names&quot;:false,&quot;dropping-particle&quot;:&quot;&quot;,&quot;non-dropping-particle&quot;:&quot;&quot;},{&quot;family&quot;:&quot;Sebastian&quot;,&quot;given&quot;:&quot;M.&quot;,&quot;parse-names&quot;:false,&quot;dropping-particle&quot;:&quot;&quot;,&quot;non-dropping-particle&quot;:&quot;&quot;},{&quot;family&quot;:&quot;Fischer von Weikersthal&quot;,&quot;given&quot;:&quot;L.&quot;,&quot;parse-names&quot;:false,&quot;dropping-particle&quot;:&quot;&quot;,&quot;non-dropping-particle&quot;:&quot;&quot;},{&quot;family&quot;:&quot;Martus&quot;,&quot;given&quot;:&quot;P.&quot;,&quot;parse-names&quot;:false,&quot;dropping-particle&quot;:&quot;&quot;,&quot;non-dropping-particle&quot;:&quot;&quot;},{&quot;family&quot;:&quot;Gauler&quot;,&quot;given&quot;:&quot;T. C.&quot;,&quot;parse-names&quot;:false,&quot;dropping-particle&quot;:&quot;&quot;,&quot;non-dropping-particle&quot;:&quot;&quot;},{&quot;family&quot;:&quot;Kaufmann&quot;,&quot;given&quot;:&quot;C.&quot;,&quot;parse-names&quot;:false,&quot;dropping-particle&quot;:&quot;&quot;,&quot;non-dropping-particle&quot;:&quot;&quot;},{&quot;family&quot;:&quot;Hortig&quot;,&quot;given&quot;:&quot;P.&quot;,&quot;parse-names&quot;:false,&quot;dropping-particle&quot;:&quot;&quot;,&quot;non-dropping-particle&quot;:&quot;&quot;},{&quot;family&quot;:&quot;Fischer&quot;,&quot;given&quot;:&quot;J. R.&quot;,&quot;parse-names&quot;:false,&quot;dropping-particle&quot;:&quot;&quot;,&quot;non-dropping-particle&quot;:&quot;&quot;},{&quot;family&quot;:&quot;Link&quot;,&quot;given&quot;:&quot;H.&quot;,&quot;parse-names&quot;:false,&quot;dropping-particle&quot;:&quot;&quot;,&quot;non-dropping-particle&quot;:&quot;&quot;},{&quot;family&quot;:&quot;Binder&quot;,&quot;given&quot;:&quot;D.&quot;,&quot;parse-names&quot;:false,&quot;dropping-particle&quot;:&quot;&quot;,&quot;non-dropping-particle&quot;:&quot;&quot;},{&quot;family&quot;:&quot;Fischer&quot;,&quot;given&quot;:&quot;B.&quot;,&quot;parse-names&quot;:false,&quot;dropping-particle&quot;:&quot;&quot;,&quot;non-dropping-particle&quot;:&quot;&quot;},{&quot;family&quot;:&quot;Caca&quot;,&quot;given&quot;:&quot;K.&quot;,&quot;parse-names&quot;:false,&quot;dropping-particle&quot;:&quot;&quot;,&quot;non-dropping-particle&quot;:&quot;&quot;},{&quot;family&quot;:&quot;Eberhardt&quot;,&quot;given&quot;:&quot;W. E.E.&quot;,&quot;parse-names&quot;:false,&quot;dropping-particle&quot;:&quot;&quot;,&quot;non-dropping-particle&quot;:&quot;&quot;},{&quot;family&quot;:&quot;Keilholz&quot;,&quot;given&quot;:&quot;U.&quot;,&quot;parse-names&quot;:false,&quot;dropping-particle&quot;:&quot;&quot;,&quot;non-dropping-particle&quot;:&quot;&quot;}],&quot;container-title&quot;:&quot;Annals of oncology : official journal of the European Society for Medical Oncology&quot;,&quot;container-title-short&quot;:&quot;Ann Oncol&quot;,&quot;accessed&quot;:{&quot;date-parts&quot;:[[2023,12,5]]},&quot;DOI&quot;:&quot;10.1093/ANNONC/MDQ652&quot;,&quot;ISSN&quot;:&quot;1569-8041&quot;,&quot;PMID&quot;:&quot;21266516&quot;,&quot;URL&quot;:&quot;https://pubmed.ncbi.nlm.nih.gov/21266516/&quot;,&quot;issued&quot;:{&quot;date-parts&quot;:[[2011,8,1]]},&quot;page&quot;:&quot;1798-1804&quot;,&quot;abstract&quot;:&quot;Background: This trial was designed to prove superiority of irinotecan over etoposide combined with carboplatin in extensive-disease small-cell lung cancer. Patients and methods: Patients were randomly assigned to receive carboplatin area under the curve 5 mg ·min/ml either in combination with irinotecan 50 mg/m2 on days 1, 8, and 15 (IP) or etoposide 140 mg/m2 on days 1-3 (EP). Primary end point was progression-free survival (PFS) at 6 months. Secondary end points were overall survival (OS), response rate, and toxicity. Results: Of 226 patients, 216 were eligible. Median PFS was 6.0 months [95% confidence interval (CI) 5.0-7.0] in the IP arm and 6.0 months (95% CI 5.2-6.8) in EP arm (P = 0.07). Median survival was 10.0 months (95% CI 8.4-11.6) and 9.0 months (95% CI 7.6-10.4) in the IP and EP arm (P = 0.06), respectively. Hazard ratios for disease progression and OS were 1.29 (95% CI 0.96-1.73, P = 0.095) and 1.34 (95% CI 0.97-1.85, P = 0.072), respectively. No difference in response rates was observed. Grade 3 and 4 hematologic toxicity favored the IP arm, whereas diarrhea was significantly more frequent in the IP arm. Conclusion: This trial failed to show superiority of irinotecan over etoposide in combination with carboplatin. © The Author 2011. Published by Oxford University Press on behalf of the European Society for Medical Oncology. All rights reserved.&quot;,&quot;publisher&quot;:&quot;Ann Oncol&quot;,&quot;issue&quot;:&quot;8&quot;,&quot;volume&quot;:&quot;22&quot;},&quot;isTemporary&quot;:false}]},{&quot;citationID&quot;:&quot;MENDELEY_CITATION_9bf397ef-76ef-4896-99c2-e5008f457475&quot;,&quot;properties&quot;:{&quot;noteIndex&quot;:0},&quot;isEdited&quot;:false,&quot;manualOverride&quot;:{&quot;isManuallyOverridden&quot;:false,&quot;citeprocText&quot;:&quot;(Hermes et al., 2008)&quot;,&quot;manualOverrideText&quot;:&quot;&quot;},&quot;citationTag&quot;:&quot;MENDELEY_CITATION_v3_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&quot;,&quot;citationItems&quot;:[{&quot;id&quot;:&quot;a7bfd74b-e725-3882-98a3-0fa673a9e4d8&quot;,&quot;itemData&quot;:{&quot;type&quot;:&quot;article-journal&quot;,&quot;id&quot;:&quot;a7bfd74b-e725-3882-98a3-0fa673a9e4d8&quot;,&quot;title&quot;:&quot;Irinotecan plus carboplatin versus oral etoposide plus carboplatin in extensive small-cell lung cancer: a randomized phase III trial&quot;,&quot;author&quot;:[{&quot;family&quot;:&quot;Hermes&quot;,&quot;given&quot;:&quot;Andreas&quot;,&quot;parse-names&quot;:false,&quot;dropping-particle&quot;:&quot;&quot;,&quot;non-dropping-particle&quot;:&quot;&quot;},{&quot;family&quot;:&quot;Bergman&quot;,&quot;given&quot;:&quot;Bengt&quot;,&quot;parse-names&quot;:false,&quot;dropping-particle&quot;:&quot;&quot;,&quot;non-dropping-particle&quot;:&quot;&quot;},{&quot;family&quot;:&quot;Bremnes&quot;,&quot;given&quot;:&quot;Roy&quot;,&quot;parse-names&quot;:false,&quot;dropping-particle&quot;:&quot;&quot;,&quot;non-dropping-particle&quot;:&quot;&quot;},{&quot;family&quot;:&quot;Ek&quot;,&quot;given&quot;:&quot;Lars&quot;,&quot;parse-names&quot;:false,&quot;dropping-particle&quot;:&quot;&quot;,&quot;non-dropping-particle&quot;:&quot;&quot;},{&quot;family&quot;:&quot;Fluge&quot;,&quot;given&quot;:&quot;Sverre&quot;,&quot;parse-names&quot;:false,&quot;dropping-particle&quot;:&quot;&quot;,&quot;non-dropping-particle&quot;:&quot;&quot;},{&quot;family&quot;:&quot;Sederholm&quot;,&quot;given&quot;:&quot;Christer&quot;,&quot;parse-names&quot;:false,&quot;dropping-particle&quot;:&quot;&quot;,&quot;non-dropping-particle&quot;:&quot;&quot;},{&quot;family&quot;:&quot;Sundstrøm&quot;,&quot;given&quot;:&quot;Stein&quot;,&quot;parse-names&quot;:false,&quot;dropping-particle&quot;:&quot;&quot;,&quot;non-dropping-particle&quot;:&quot;&quot;},{&quot;family&quot;:&quot;Thaning&quot;,&quot;given&quot;:&quot;Lars&quot;,&quot;parse-names&quot;:false,&quot;dropping-particle&quot;:&quot;&quot;,&quot;non-dropping-particle&quot;:&quot;&quot;},{&quot;family&quot;:&quot;Vilsvik&quot;,&quot;given&quot;:&quot;Jan&quot;,&quot;parse-names&quot;:false,&quot;dropping-particle&quot;:&quot;&quot;,&quot;non-dropping-particle&quot;:&quot;&quot;},{&quot;family&quot;:&quot;Aasebø&quot;,&quot;given&quot;:&quot;Ulf&quot;,&quot;parse-names&quot;:false,&quot;dropping-particle&quot;:&quot;&quot;,&quot;non-dropping-particle&quot;:&quot;&quot;},{&quot;family&quot;:&quot;Sörenson&quot;,&quot;given&quot;:&quot;Sverre&quot;,&quot;parse-names&quot;:false,&quot;dropping-particle&quot;:&quot;&quot;,&quot;non-dropping-particle&quot;:&quot;&quot;}],&quot;container-title&quot;:&quot;Journal of clinical oncology : official journal of the American Society of Clinical Oncology&quot;,&quot;container-title-short&quot;:&quot;J Clin Oncol&quot;,&quot;accessed&quot;:{&quot;date-parts&quot;:[[2023,12,5]]},&quot;DOI&quot;:&quot;10.1200/JCO.2007.15.7545&quot;,&quot;ISSN&quot;:&quot;1527-7755&quot;,&quot;PMID&quot;:&quot;18779613&quot;,&quot;URL&quot;:&quot;https://pubmed.ncbi.nlm.nih.gov/18779613/&quot;,&quot;issued&quot;:{&quot;date-parts&quot;:[[2008,9,10]]},&quot;page&quot;:&quot;4261-4267&quot;,&quot;abstract&quot;:&quot;Purpose: A Japanese randomized trial showed superior survival for patients with extensive-disease (ED) small-cell lung cancer (SCLC) receiving irinotecan plus cisplatin compared with etoposide plus cisplatin. The present trial evaluated the efficacy of irinotecan plus carboplatin (IC) compared with oral etoposide plus carboplatin (EC). Patients and Methods:Patients with ED SCLC were randomly assigned to receive either IC, which consisted of carboplatin (area under the curve = 4; Chatelut formula) and irinotecan (175 mg/m2) intravenously both on day 1, or EC, which consisted of carboplatin as in IC and etoposide (120 mg/m2/d) orally on days 1 through 5. Courses were repeated every 3 weeks with four cycles planned. Doses were reduced by one third in patients with a WHO performance status (PS) of 3 to 4 and/or age older than 70 years. Primary end point was overall survival (OS). Secondary end points were quality of life (QOL) and complete response (CR) rate. Results:Of 220 randomly assigned patients, 209 were eligible for analysis (IC, n = 105; EC, n = 104). Thirty-five percent were older than 70 years, and 47% had a PS of 2 to 4. The groups were well balanced with respect to prognostic factors. OS was inferior in the EC group (hazard ratio = 1.41; 95% Cl, 1.06 to 1.87; P = .02). Median survival time was 8.5 months for IC compared with 7.1 months for EC. One-year survival rate was 34% for IC and 24% for EC. CR was seen in 18 IC patients compared with seven EC patients (P = .02). There were no statistically significant differences in hematologic grade 3 or 4 toxicity. Grade 3 or 4 diarrhea was more common in the IC group. QOL differences were small, with a trend toward prolonged palliation with the IC regimen. Conclusion:IC prolongs survival in ED SCLC with slightly better scores for QOL. ©2008 by American Society of Clinical oncology.&quot;,&quot;publisher&quot;:&quot;J Clin Oncol&quot;,&quot;issue&quot;:&quot;26&quot;,&quot;volume&quot;:&quot;26&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A7084-5D49-48E9-BB20-5DA456EDE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Pages>
  <Words>201</Words>
  <Characters>1010</Characters>
  <Application>Microsoft Office Word</Application>
  <DocSecurity>0</DocSecurity>
  <Lines>91</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Zeeshan Afzal</dc:creator>
  <cp:keywords/>
  <dc:description/>
  <cp:lastModifiedBy>Zeeshan Afzal</cp:lastModifiedBy>
  <cp:revision>1</cp:revision>
  <cp:lastPrinted>2023-10-25T06:55:00Z</cp:lastPrinted>
  <dcterms:created xsi:type="dcterms:W3CDTF">2023-10-25T05:13:00Z</dcterms:created>
  <dcterms:modified xsi:type="dcterms:W3CDTF">2023-12-06T11:10:00Z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61bc82b9-346c-47e5-ace1-4aaa513db1ef</vt:lpwstr>
  </property>
</Properties>
</file>