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AF782" w14:textId="77777777" w:rsidR="000C47E7" w:rsidRDefault="000C47E7" w:rsidP="000C47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61F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cs-CZ" w:eastAsia="cs-CZ"/>
        </w:rPr>
        <w:drawing>
          <wp:inline distT="0" distB="0" distL="0" distR="0" wp14:anchorId="6FB12BC7" wp14:editId="7AE95578">
            <wp:extent cx="2844924" cy="2590800"/>
            <wp:effectExtent l="0" t="0" r="0" b="0"/>
            <wp:docPr id="731648132" name="Picture 6" descr="A graph with numbers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648132" name="Picture 6" descr="A graph with numbers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815" cy="260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61144" w14:textId="77777777" w:rsidR="000C47E7" w:rsidRPr="007F15FE" w:rsidRDefault="000C47E7" w:rsidP="000C47E7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sz w:val="24"/>
          <w:szCs w:val="24"/>
        </w:rPr>
        <w:t>Additional file 8</w:t>
      </w:r>
      <w:r>
        <w:rPr>
          <w:rFonts w:ascii="Times New Roman" w:hAnsi="Times New Roman" w:cs="Times New Roman"/>
          <w:sz w:val="24"/>
          <w:szCs w:val="24"/>
        </w:rPr>
        <w:t xml:space="preserve">: Correlation between log2 fold change in the gene expression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RNAseq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RT-qPCR of the selected 17 reproduction-associated genes. Pearson’s correlation coefficient (R) is shown.</w:t>
      </w:r>
    </w:p>
    <w:p w14:paraId="28C9535B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7E7"/>
    <w:rsid w:val="000C47E7"/>
    <w:rsid w:val="005D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29BFE"/>
  <w15:chartTrackingRefBased/>
  <w15:docId w15:val="{AB389E19-FFD4-4C33-ADBA-8394D49B7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7E7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oi">
    <w:name w:val="doi"/>
    <w:basedOn w:val="Policepardfaut"/>
    <w:rsid w:val="000C4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173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2023-12-30T16:58:00Z</dcterms:created>
  <dcterms:modified xsi:type="dcterms:W3CDTF">2023-12-30T16:58:00Z</dcterms:modified>
</cp:coreProperties>
</file>