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FFEF" w14:textId="7BA06C95" w:rsidR="00740C93" w:rsidRPr="006569CA" w:rsidRDefault="00516659">
      <w:pPr>
        <w:rPr>
          <w:b/>
          <w:sz w:val="20"/>
        </w:rPr>
      </w:pPr>
      <w:r w:rsidRPr="006569CA">
        <w:rPr>
          <w:b/>
          <w:sz w:val="20"/>
        </w:rPr>
        <w:t>Supplementary Information</w:t>
      </w:r>
    </w:p>
    <w:p w14:paraId="6DACAB06" w14:textId="77777777" w:rsidR="00516659" w:rsidRPr="00516659" w:rsidRDefault="00516659">
      <w:pPr>
        <w:rPr>
          <w:sz w:val="20"/>
        </w:rPr>
      </w:pPr>
    </w:p>
    <w:p w14:paraId="1429F101" w14:textId="46F05DCB" w:rsidR="00516659" w:rsidRPr="00516659" w:rsidRDefault="00516659" w:rsidP="00516659">
      <w:pPr>
        <w:spacing w:line="480" w:lineRule="auto"/>
        <w:jc w:val="left"/>
        <w:rPr>
          <w:sz w:val="20"/>
        </w:rPr>
      </w:pPr>
      <w:r w:rsidRPr="00516659">
        <w:rPr>
          <w:b/>
          <w:bCs/>
          <w:sz w:val="20"/>
        </w:rPr>
        <w:t>Supplementary Table 1</w:t>
      </w:r>
      <w:r w:rsidRPr="00516659">
        <w:rPr>
          <w:sz w:val="20"/>
        </w:rPr>
        <w:t xml:space="preserve"> Statistical results of the one-way analysis of variance test </w:t>
      </w:r>
      <w:r w:rsidRPr="00516659">
        <w:rPr>
          <w:i/>
          <w:sz w:val="20"/>
        </w:rPr>
        <w:t xml:space="preserve">in vitro </w:t>
      </w:r>
      <w:r w:rsidRPr="00516659">
        <w:rPr>
          <w:sz w:val="20"/>
        </w:rPr>
        <w:t>(real-time PCR)</w:t>
      </w:r>
    </w:p>
    <w:tbl>
      <w:tblPr>
        <w:tblpPr w:leftFromText="142" w:rightFromText="142" w:vertAnchor="text" w:horzAnchor="margin" w:tblpY="18"/>
        <w:tblW w:w="9498" w:type="dxa"/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3969"/>
        <w:gridCol w:w="1843"/>
        <w:gridCol w:w="1843"/>
        <w:gridCol w:w="1843"/>
      </w:tblGrid>
      <w:tr w:rsidR="00516659" w:rsidRPr="00516659" w14:paraId="08CF896C" w14:textId="77777777" w:rsidTr="00A67172">
        <w:trPr>
          <w:trHeight w:val="510"/>
        </w:trPr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80F7587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41C7E6D" w14:textId="7EDB4386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i/>
                <w:iCs/>
                <w:sz w:val="20"/>
              </w:rPr>
              <w:t>P</w:t>
            </w:r>
            <w:r w:rsidRPr="00516659">
              <w:rPr>
                <w:b/>
                <w:sz w:val="20"/>
              </w:rPr>
              <w:t>-value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042B1942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sz w:val="20"/>
              </w:rPr>
              <w:t>Effect size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49D9F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sz w:val="20"/>
              </w:rPr>
              <w:t>Statistical power</w:t>
            </w:r>
          </w:p>
        </w:tc>
      </w:tr>
      <w:tr w:rsidR="00516659" w:rsidRPr="00516659" w14:paraId="3D8D80FE" w14:textId="77777777" w:rsidTr="00A67172">
        <w:trPr>
          <w:trHeight w:val="510"/>
        </w:trPr>
        <w:tc>
          <w:tcPr>
            <w:tcW w:w="396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1CD7B19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COL2A1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19C531B8" w14:textId="3CBA69B6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3D11325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1.85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57C50CE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DED2130" w14:textId="77777777" w:rsidTr="00A67172">
        <w:trPr>
          <w:trHeight w:val="510"/>
        </w:trPr>
        <w:tc>
          <w:tcPr>
            <w:tcW w:w="3969" w:type="dxa"/>
            <w:shd w:val="clear" w:color="auto" w:fill="auto"/>
            <w:vAlign w:val="center"/>
          </w:tcPr>
          <w:p w14:paraId="789A602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ACAN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675D6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977434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5C2B11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0.99</w:t>
            </w:r>
          </w:p>
        </w:tc>
      </w:tr>
      <w:tr w:rsidR="00516659" w:rsidRPr="00516659" w14:paraId="0B03A5E7" w14:textId="77777777" w:rsidTr="00A67172">
        <w:trPr>
          <w:trHeight w:val="510"/>
        </w:trPr>
        <w:tc>
          <w:tcPr>
            <w:tcW w:w="3969" w:type="dxa"/>
            <w:shd w:val="clear" w:color="auto" w:fill="auto"/>
            <w:vAlign w:val="center"/>
          </w:tcPr>
          <w:p w14:paraId="4D1F0B9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SOX9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0BD7C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0.003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61AAC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E2A5E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0.98</w:t>
            </w:r>
          </w:p>
        </w:tc>
      </w:tr>
      <w:tr w:rsidR="00516659" w:rsidRPr="00516659" w14:paraId="4C43AC43" w14:textId="77777777" w:rsidTr="00A67172">
        <w:trPr>
          <w:trHeight w:val="510"/>
        </w:trPr>
        <w:tc>
          <w:tcPr>
            <w:tcW w:w="3969" w:type="dxa"/>
            <w:shd w:val="clear" w:color="auto" w:fill="auto"/>
            <w:vAlign w:val="center"/>
          </w:tcPr>
          <w:p w14:paraId="2600429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MMP13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088DF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0.287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3B7CD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0.57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31602E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0.53</w:t>
            </w:r>
          </w:p>
        </w:tc>
      </w:tr>
      <w:tr w:rsidR="00516659" w:rsidRPr="00516659" w14:paraId="72551D6A" w14:textId="77777777" w:rsidTr="00A67172">
        <w:trPr>
          <w:trHeight w:val="510"/>
        </w:trPr>
        <w:tc>
          <w:tcPr>
            <w:tcW w:w="396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B34613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ADAMTS5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382D494" w14:textId="567632AC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4D21D17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1.37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256D6F5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</w:tbl>
    <w:p w14:paraId="46567048" w14:textId="77777777" w:rsidR="00516659" w:rsidRPr="00516659" w:rsidRDefault="00516659" w:rsidP="00516659">
      <w:pPr>
        <w:spacing w:line="480" w:lineRule="auto"/>
        <w:jc w:val="left"/>
        <w:rPr>
          <w:bCs/>
          <w:sz w:val="20"/>
        </w:rPr>
      </w:pPr>
      <w:r w:rsidRPr="00516659">
        <w:rPr>
          <w:bCs/>
          <w:sz w:val="20"/>
        </w:rPr>
        <w:br w:type="page"/>
      </w:r>
    </w:p>
    <w:p w14:paraId="7D1E4EE6" w14:textId="6E143DD6" w:rsidR="00516659" w:rsidRPr="00516659" w:rsidRDefault="00516659" w:rsidP="00516659">
      <w:pPr>
        <w:spacing w:line="480" w:lineRule="auto"/>
        <w:jc w:val="left"/>
        <w:rPr>
          <w:sz w:val="20"/>
        </w:rPr>
      </w:pPr>
      <w:r w:rsidRPr="00516659">
        <w:rPr>
          <w:b/>
          <w:bCs/>
          <w:sz w:val="20"/>
        </w:rPr>
        <w:lastRenderedPageBreak/>
        <w:t>Supplementary Table 2</w:t>
      </w:r>
      <w:r w:rsidRPr="00516659">
        <w:rPr>
          <w:sz w:val="20"/>
        </w:rPr>
        <w:t xml:space="preserve"> Statistical results of the one-way analysis of variance test </w:t>
      </w:r>
      <w:r w:rsidRPr="00516659">
        <w:rPr>
          <w:i/>
          <w:sz w:val="20"/>
        </w:rPr>
        <w:t xml:space="preserve">in vivo </w:t>
      </w:r>
      <w:r w:rsidRPr="00516659">
        <w:rPr>
          <w:sz w:val="20"/>
        </w:rPr>
        <w:t>(histological and immunohistochemical analyses)</w:t>
      </w:r>
    </w:p>
    <w:tbl>
      <w:tblPr>
        <w:tblpPr w:leftFromText="142" w:rightFromText="142" w:vertAnchor="text" w:horzAnchor="margin" w:tblpY="18"/>
        <w:tblW w:w="9498" w:type="dxa"/>
        <w:tblLayout w:type="fixed"/>
        <w:tblCellMar>
          <w:left w:w="57" w:type="dxa"/>
          <w:right w:w="57" w:type="dxa"/>
        </w:tblCellMar>
        <w:tblLook w:val="06A0" w:firstRow="1" w:lastRow="0" w:firstColumn="1" w:lastColumn="0" w:noHBand="1" w:noVBand="1"/>
      </w:tblPr>
      <w:tblGrid>
        <w:gridCol w:w="1985"/>
        <w:gridCol w:w="1984"/>
        <w:gridCol w:w="1843"/>
        <w:gridCol w:w="1843"/>
        <w:gridCol w:w="1843"/>
      </w:tblGrid>
      <w:tr w:rsidR="00516659" w:rsidRPr="00516659" w14:paraId="3B421062" w14:textId="77777777" w:rsidTr="00A67172">
        <w:trPr>
          <w:trHeight w:val="624"/>
        </w:trPr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C5B81B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34A2AC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518989" w14:textId="0C73E7B0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i/>
                <w:iCs/>
                <w:sz w:val="20"/>
              </w:rPr>
              <w:t>P</w:t>
            </w:r>
            <w:r w:rsidRPr="00516659">
              <w:rPr>
                <w:b/>
                <w:sz w:val="20"/>
              </w:rPr>
              <w:t>-value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7B161991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sz w:val="20"/>
              </w:rPr>
              <w:t>Effect size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FD6D9" w14:textId="77777777" w:rsidR="00516659" w:rsidRPr="00516659" w:rsidRDefault="00516659" w:rsidP="00A67172">
            <w:pPr>
              <w:spacing w:line="480" w:lineRule="auto"/>
              <w:rPr>
                <w:b/>
                <w:sz w:val="20"/>
              </w:rPr>
            </w:pPr>
            <w:r w:rsidRPr="00516659">
              <w:rPr>
                <w:b/>
                <w:sz w:val="20"/>
              </w:rPr>
              <w:t>Statistical power</w:t>
            </w:r>
          </w:p>
        </w:tc>
      </w:tr>
      <w:tr w:rsidR="00516659" w:rsidRPr="00516659" w14:paraId="4BF0CBEA" w14:textId="77777777" w:rsidTr="00A67172">
        <w:trPr>
          <w:trHeight w:val="624"/>
        </w:trPr>
        <w:tc>
          <w:tcPr>
            <w:tcW w:w="1985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07B595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Cartilage thickness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472035D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9BEC9C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0.612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674FD27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0.45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</w:tcPr>
          <w:p w14:paraId="7C4A5D7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0.33</w:t>
            </w:r>
          </w:p>
        </w:tc>
      </w:tr>
      <w:tr w:rsidR="00516659" w:rsidRPr="00516659" w14:paraId="3696DEF3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FCBABA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84B86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A30AC7" w14:textId="558BF2A6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AE1598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342C5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2EA6E8F3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54F3F11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D74A68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25FC42" w14:textId="74E8AE7B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4B610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D6C09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66E37B1D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54437D6E" w14:textId="21CE5F5D" w:rsidR="00516659" w:rsidRPr="00516659" w:rsidRDefault="00516659" w:rsidP="00A67172">
            <w:pPr>
              <w:spacing w:line="480" w:lineRule="auto"/>
              <w:jc w:val="left"/>
              <w:rPr>
                <w:sz w:val="20"/>
              </w:rPr>
            </w:pPr>
            <w:r w:rsidRPr="00516659">
              <w:rPr>
                <w:sz w:val="20"/>
              </w:rPr>
              <w:t>Number</w:t>
            </w:r>
            <w:r w:rsidR="00A67172">
              <w:rPr>
                <w:sz w:val="20"/>
              </w:rPr>
              <w:t xml:space="preserve"> </w:t>
            </w:r>
            <w:r w:rsidRPr="00516659">
              <w:rPr>
                <w:sz w:val="20"/>
              </w:rPr>
              <w:t>of chondrocytes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2FC5E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C8A3DD" w14:textId="1D7A9F45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43007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2.06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74E0D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40D467B0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3FF6F8E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B788F1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0D42E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0.038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CD022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D82371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0.85</w:t>
            </w:r>
          </w:p>
        </w:tc>
      </w:tr>
      <w:tr w:rsidR="00516659" w:rsidRPr="00516659" w14:paraId="7EC253B1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2F9AA94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5CB03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E0A990" w14:textId="043CD3D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D5B7A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1.55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F3604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F779F04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0011B8D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PCNA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EC0C2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B3964" w14:textId="2C97944E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F5972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1.32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B4ADA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48E46B86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B1C2CC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EE9D5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1704B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0.507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1CF93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0.48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9060F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0.38</w:t>
            </w:r>
          </w:p>
        </w:tc>
      </w:tr>
      <w:tr w:rsidR="00516659" w:rsidRPr="00516659" w14:paraId="09E6A299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7DFDC95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21403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A9F192" w14:textId="4E214CD3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CA55B9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B7528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0.99</w:t>
            </w:r>
          </w:p>
        </w:tc>
      </w:tr>
      <w:tr w:rsidR="00516659" w:rsidRPr="00516659" w14:paraId="6A84A2CF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FF8840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SOX9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EEB09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F9E1AD" w14:textId="6E8D2858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353B2F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1.24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05972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763D4447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7D66D1C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C8A1BA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52B7A6" w14:textId="3851B52D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5C0BC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2.30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73CE58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15740293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27713D7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50112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AF59AB" w14:textId="31A046E8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0FADB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1.81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873E7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5FA52B2D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1E93736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Lubricin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BE300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–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4428B9" w14:textId="6CCCF7AA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DB07F1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1.60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CC6E0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C926A6B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5E763F21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Type II collagen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60B06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C29F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0.281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C3051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0.57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A7B9E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0.54</w:t>
            </w:r>
          </w:p>
        </w:tc>
      </w:tr>
      <w:tr w:rsidR="00516659" w:rsidRPr="00516659" w14:paraId="7141225E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58094C8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7C8F58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81631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C331D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5AC4E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0.89</w:t>
            </w:r>
          </w:p>
        </w:tc>
      </w:tr>
      <w:tr w:rsidR="00516659" w:rsidRPr="00516659" w14:paraId="4A8B0FD2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AD0569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962AEE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F9CB1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0.120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F1415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0.67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65917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0.70</w:t>
            </w:r>
          </w:p>
        </w:tc>
      </w:tr>
      <w:tr w:rsidR="00516659" w:rsidRPr="00516659" w14:paraId="6139C296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53EAD9F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Aggrecan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B870B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C8AE6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0.057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D6F5A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0.75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9C461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0.81</w:t>
            </w:r>
          </w:p>
        </w:tc>
      </w:tr>
      <w:tr w:rsidR="00516659" w:rsidRPr="00516659" w14:paraId="705FA285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7FEAD35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BAFBE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5E055D" w14:textId="0E46163E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0088C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8C9C9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29670DE8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1FEAB07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80B1A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C2724" w14:textId="31D00824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E650E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1.12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BA193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271D28F2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718D417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MMP13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15574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34CE2" w14:textId="14D508B9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697C7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1.89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D9304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7CCADFC6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24B8A50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9EFB9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2647A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7979C9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5F65A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0.91</w:t>
            </w:r>
          </w:p>
        </w:tc>
      </w:tr>
      <w:tr w:rsidR="00516659" w:rsidRPr="00516659" w14:paraId="7001F23C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0DF7ACA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1A7A17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E941EB" w14:textId="4BBC6B29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92B48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23946E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254528F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15B6E36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ADAMTS5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3FCFF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960B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0.005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A0123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E88C1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0.97</w:t>
            </w:r>
          </w:p>
        </w:tc>
      </w:tr>
      <w:tr w:rsidR="00516659" w:rsidRPr="00516659" w14:paraId="5F80AB60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7F014D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5D1EC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19BFF" w14:textId="1667E873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7A3CD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2.34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7DA71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A6A6049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63B7BD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0B75A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AE1DA7" w14:textId="2B4D547A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B4652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99B96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4A1F3734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1DFCAF6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ALP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E0F46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0DF1C9" w14:textId="50AE97D9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8016CF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2.01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BEDC8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8BFEE4C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2A95B20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DAFB0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DDF305" w14:textId="55043D44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C0E3B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1.36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ED396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7D2E9BCA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3625B73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F1CDFB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807B3" w14:textId="1EAF46F3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CC3EF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2.04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99250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3AB4C036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001B863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Type X collagen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F8291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4C698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0.014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78A3E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33A7A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0.93</w:t>
            </w:r>
          </w:p>
        </w:tc>
      </w:tr>
      <w:tr w:rsidR="00516659" w:rsidRPr="00516659" w14:paraId="3133C44E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433EB713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023D7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FD4889" w14:textId="4541ABAC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D49A1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285AE5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29E26B0F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29FEB842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BEF803D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1769D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0.007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445A7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4F364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0.96</w:t>
            </w:r>
          </w:p>
        </w:tc>
      </w:tr>
      <w:tr w:rsidR="00516659" w:rsidRPr="00516659" w14:paraId="61133B11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6E31F57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TUNEL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1C579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Uncalcified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216922" w14:textId="0363C5B2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CAFD58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65D117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  <w:tr w:rsidR="00516659" w:rsidRPr="00516659" w14:paraId="592D01FD" w14:textId="77777777" w:rsidTr="00A67172">
        <w:trPr>
          <w:trHeight w:val="624"/>
        </w:trPr>
        <w:tc>
          <w:tcPr>
            <w:tcW w:w="1985" w:type="dxa"/>
            <w:shd w:val="clear" w:color="auto" w:fill="auto"/>
            <w:vAlign w:val="center"/>
          </w:tcPr>
          <w:p w14:paraId="39CDE19A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54B66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Calcified layer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E63EA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0.012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FE26BF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0.89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2128F4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0.94</w:t>
            </w:r>
          </w:p>
        </w:tc>
      </w:tr>
      <w:tr w:rsidR="00516659" w:rsidRPr="00516659" w14:paraId="7AB58C1D" w14:textId="77777777" w:rsidTr="00A67172">
        <w:trPr>
          <w:trHeight w:val="624"/>
        </w:trPr>
        <w:tc>
          <w:tcPr>
            <w:tcW w:w="198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2EB22FBC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</w:p>
        </w:tc>
        <w:tc>
          <w:tcPr>
            <w:tcW w:w="198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4DE1D9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Total layer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820BDC1" w14:textId="25A3F9D5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&lt;0.001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7B1C87E6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1.48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10968D40" w14:textId="77777777" w:rsidR="00516659" w:rsidRPr="00516659" w:rsidRDefault="00516659" w:rsidP="00A67172">
            <w:pPr>
              <w:spacing w:line="480" w:lineRule="auto"/>
              <w:rPr>
                <w:sz w:val="20"/>
              </w:rPr>
            </w:pPr>
            <w:r w:rsidRPr="00516659">
              <w:rPr>
                <w:sz w:val="20"/>
              </w:rPr>
              <w:t>1</w:t>
            </w:r>
          </w:p>
        </w:tc>
      </w:tr>
    </w:tbl>
    <w:p w14:paraId="21CD39C3" w14:textId="77777777" w:rsidR="00516659" w:rsidRPr="00516659" w:rsidRDefault="00516659" w:rsidP="00516659">
      <w:pPr>
        <w:spacing w:line="480" w:lineRule="auto"/>
        <w:jc w:val="left"/>
        <w:rPr>
          <w:sz w:val="20"/>
        </w:rPr>
      </w:pPr>
      <w:r w:rsidRPr="00516659">
        <w:rPr>
          <w:sz w:val="20"/>
        </w:rPr>
        <w:br w:type="page"/>
      </w:r>
    </w:p>
    <w:p w14:paraId="592D9FD1" w14:textId="4D0C5BBF" w:rsidR="00516659" w:rsidRPr="00516659" w:rsidRDefault="00516659" w:rsidP="00516659">
      <w:pPr>
        <w:spacing w:line="480" w:lineRule="auto"/>
        <w:jc w:val="left"/>
        <w:rPr>
          <w:sz w:val="20"/>
        </w:rPr>
      </w:pPr>
      <w:r w:rsidRPr="00516659">
        <w:rPr>
          <w:b/>
          <w:sz w:val="20"/>
        </w:rPr>
        <w:lastRenderedPageBreak/>
        <w:t>Supplementary Figure</w:t>
      </w:r>
    </w:p>
    <w:p w14:paraId="6F0E26BB" w14:textId="2A6E3784" w:rsidR="00D0481F" w:rsidRPr="00D0481F" w:rsidRDefault="00D0481F" w:rsidP="00516659">
      <w:pPr>
        <w:spacing w:line="480" w:lineRule="auto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15479A6" wp14:editId="0BD4F479">
            <wp:extent cx="5943600" cy="285877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FBCA8" w14:textId="004EEE07" w:rsidR="00516659" w:rsidRPr="006569CA" w:rsidRDefault="00D707DE" w:rsidP="00516659">
      <w:pPr>
        <w:spacing w:line="480" w:lineRule="auto"/>
        <w:jc w:val="left"/>
        <w:rPr>
          <w:b/>
          <w:sz w:val="20"/>
        </w:rPr>
      </w:pPr>
      <w:r>
        <w:rPr>
          <w:b/>
          <w:sz w:val="20"/>
        </w:rPr>
        <w:t xml:space="preserve">Supplementary </w:t>
      </w:r>
      <w:r w:rsidR="00516659" w:rsidRPr="00516659">
        <w:rPr>
          <w:b/>
          <w:sz w:val="20"/>
        </w:rPr>
        <w:t>Fig</w:t>
      </w:r>
      <w:r w:rsidR="002B4D08">
        <w:rPr>
          <w:b/>
          <w:sz w:val="20"/>
        </w:rPr>
        <w:t>.</w:t>
      </w:r>
      <w:r w:rsidR="00516659" w:rsidRPr="00516659">
        <w:rPr>
          <w:b/>
          <w:sz w:val="20"/>
        </w:rPr>
        <w:t xml:space="preserve"> 1</w:t>
      </w:r>
      <w:r w:rsidR="006569CA">
        <w:rPr>
          <w:b/>
          <w:sz w:val="20"/>
        </w:rPr>
        <w:t xml:space="preserve"> </w:t>
      </w:r>
      <w:r w:rsidR="00516659" w:rsidRPr="00516659">
        <w:rPr>
          <w:sz w:val="20"/>
        </w:rPr>
        <w:t>Cartilage thickness and number of chondrocytes in the tibial cartilage. (</w:t>
      </w:r>
      <w:r w:rsidR="002B4D08">
        <w:rPr>
          <w:sz w:val="20"/>
        </w:rPr>
        <w:t>a</w:t>
      </w:r>
      <w:r w:rsidR="00516659" w:rsidRPr="00516659">
        <w:rPr>
          <w:sz w:val="20"/>
        </w:rPr>
        <w:t>) Thicknesses in the uncalcified, calcified, and total layers of the tibial cartilage were measured separately on histological sections stained with safranin O/first green. Quantitative results of the mean cartilage thickness of the three regions. (</w:t>
      </w:r>
      <w:r w:rsidR="002B4D08">
        <w:rPr>
          <w:sz w:val="20"/>
        </w:rPr>
        <w:t>b</w:t>
      </w:r>
      <w:r w:rsidR="00516659" w:rsidRPr="00516659">
        <w:rPr>
          <w:sz w:val="20"/>
        </w:rPr>
        <w:t>) Quantitative results of the mean number of chondrocytes of the three regions. Data are presented as means ± standard deviations. Statistical differences are shown as follows: 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**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††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‡‡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§§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¶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HLS; ¶¶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HLS; </w:t>
      </w:r>
      <w:proofErr w:type="spellStart"/>
      <w:r w:rsidR="00516659" w:rsidRPr="00516659">
        <w:rPr>
          <w:sz w:val="20"/>
        </w:rPr>
        <w:t>δ</w:t>
      </w:r>
      <w:r w:rsidR="00516659" w:rsidRPr="00516659">
        <w:rPr>
          <w:i/>
          <w:sz w:val="20"/>
        </w:rPr>
        <w:t>p</w:t>
      </w:r>
      <w:proofErr w:type="spellEnd"/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LHL; </w:t>
      </w:r>
      <w:proofErr w:type="spellStart"/>
      <w:r w:rsidR="00516659" w:rsidRPr="00516659">
        <w:rPr>
          <w:sz w:val="20"/>
        </w:rPr>
        <w:t>δδ</w:t>
      </w:r>
      <w:r w:rsidR="00516659" w:rsidRPr="00516659">
        <w:rPr>
          <w:i/>
          <w:sz w:val="20"/>
        </w:rPr>
        <w:t>p</w:t>
      </w:r>
      <w:proofErr w:type="spellEnd"/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LHL. HHL: high-intensity, high-frequency, and long-duration; HHS: high-intensity, high-frequency, and short-duration; HLL: high-intensity, low-frequency, and long-duration; HLS: high-intensity, low-frequency, and short-duration; LHL: low-intensity, high-frequency, and long-duration; LHS: low-intensity, high-frequency, and short-duration; LLL: low-intensity, low-frequency, and long-duration; LLS: low-intensity, low-frequency, and short-duration</w:t>
      </w:r>
      <w:r w:rsidR="00516659" w:rsidRPr="00516659">
        <w:rPr>
          <w:sz w:val="20"/>
        </w:rPr>
        <w:br w:type="page"/>
      </w:r>
    </w:p>
    <w:p w14:paraId="1730D9F8" w14:textId="31255EE8" w:rsidR="00D0481F" w:rsidRPr="00D0481F" w:rsidRDefault="00D0481F" w:rsidP="00516659">
      <w:pPr>
        <w:spacing w:line="480" w:lineRule="auto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1B6A7F4" wp14:editId="52090A8F">
            <wp:extent cx="5943600" cy="3665855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C573" w14:textId="03B378E0" w:rsidR="00516659" w:rsidRPr="006569CA" w:rsidRDefault="00D707DE" w:rsidP="00516659">
      <w:pPr>
        <w:spacing w:line="480" w:lineRule="auto"/>
        <w:jc w:val="left"/>
        <w:rPr>
          <w:b/>
          <w:sz w:val="20"/>
        </w:rPr>
      </w:pPr>
      <w:r>
        <w:rPr>
          <w:b/>
          <w:sz w:val="20"/>
        </w:rPr>
        <w:t xml:space="preserve">Supplementary </w:t>
      </w:r>
      <w:r w:rsidR="00516659" w:rsidRPr="00516659">
        <w:rPr>
          <w:b/>
          <w:sz w:val="20"/>
        </w:rPr>
        <w:t>Fig</w:t>
      </w:r>
      <w:r w:rsidR="002B4D08">
        <w:rPr>
          <w:b/>
          <w:sz w:val="20"/>
        </w:rPr>
        <w:t>.</w:t>
      </w:r>
      <w:r w:rsidR="00516659" w:rsidRPr="00516659">
        <w:rPr>
          <w:b/>
          <w:sz w:val="20"/>
        </w:rPr>
        <w:t xml:space="preserve"> 2</w:t>
      </w:r>
      <w:r w:rsidR="006569CA">
        <w:rPr>
          <w:rFonts w:hint="eastAsia"/>
          <w:b/>
          <w:sz w:val="20"/>
        </w:rPr>
        <w:t xml:space="preserve"> </w:t>
      </w:r>
      <w:r w:rsidR="00516659" w:rsidRPr="00516659">
        <w:rPr>
          <w:sz w:val="20"/>
        </w:rPr>
        <w:t>Representative image of the tibial cartilage stained with PCNA and the quantitative results. (</w:t>
      </w:r>
      <w:r w:rsidR="002B4D08">
        <w:rPr>
          <w:sz w:val="20"/>
        </w:rPr>
        <w:t>a</w:t>
      </w:r>
      <w:r w:rsidR="00516659" w:rsidRPr="00516659">
        <w:rPr>
          <w:sz w:val="20"/>
        </w:rPr>
        <w:t xml:space="preserve">) </w:t>
      </w:r>
      <w:r w:rsidRPr="00E11C21">
        <w:rPr>
          <w:sz w:val="20"/>
        </w:rPr>
        <w:t>B</w:t>
      </w:r>
      <w:r w:rsidR="00516659" w:rsidRPr="00E11C21">
        <w:rPr>
          <w:sz w:val="20"/>
        </w:rPr>
        <w:t>lack arrowheads</w:t>
      </w:r>
      <w:r w:rsidRPr="00E11C21">
        <w:rPr>
          <w:sz w:val="20"/>
        </w:rPr>
        <w:t xml:space="preserve"> represent positive cells</w:t>
      </w:r>
      <w:r w:rsidR="00516659" w:rsidRPr="00E11C21">
        <w:rPr>
          <w:sz w:val="20"/>
        </w:rPr>
        <w:t>.</w:t>
      </w:r>
      <w:r w:rsidR="00516659" w:rsidRPr="00516659">
        <w:rPr>
          <w:sz w:val="20"/>
        </w:rPr>
        <w:t xml:space="preserve"> Scale bars = 40 </w:t>
      </w:r>
      <w:proofErr w:type="spellStart"/>
      <w:r w:rsidR="00516659" w:rsidRPr="00516659">
        <w:rPr>
          <w:sz w:val="20"/>
        </w:rPr>
        <w:t>μm</w:t>
      </w:r>
      <w:proofErr w:type="spellEnd"/>
      <w:r w:rsidR="00516659" w:rsidRPr="00516659">
        <w:rPr>
          <w:sz w:val="20"/>
        </w:rPr>
        <w:t>. (</w:t>
      </w:r>
      <w:r w:rsidR="002B4D08">
        <w:rPr>
          <w:sz w:val="20"/>
        </w:rPr>
        <w:t>b</w:t>
      </w:r>
      <w:r w:rsidR="00516659" w:rsidRPr="00516659">
        <w:rPr>
          <w:sz w:val="20"/>
        </w:rPr>
        <w:t>) Quantitative results of the percentage of PCNA-positive cells. Data are presented as means ± standard deviations. Statistical differences are shown as follows: 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**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††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HHL. HHL: high-intensity, high-frequency, and long-duration; HHS: high-intensity, high-frequency, and short-duration; HLL: high-intensity, low-frequency, and long-duration; HLS: high-intensity, low-frequency, and short-duration; LHL: low-intensity, high-frequency, and long-duration; LHS: low-intensity, high-frequency, and short-duration; LLL: low-intensity, low-frequency, and long-duration; LLS: low-intensity, low-frequency, and short-duration; PCNA: proliferating cell nuclear antigen</w:t>
      </w:r>
      <w:r w:rsidR="00516659" w:rsidRPr="00516659">
        <w:rPr>
          <w:sz w:val="20"/>
        </w:rPr>
        <w:br w:type="page"/>
      </w:r>
    </w:p>
    <w:p w14:paraId="1C2A5373" w14:textId="188CCDA3" w:rsidR="00D0481F" w:rsidRPr="00D0481F" w:rsidRDefault="00D0481F" w:rsidP="00516659">
      <w:pPr>
        <w:spacing w:line="480" w:lineRule="auto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CB9AD78" wp14:editId="69BBEC65">
            <wp:extent cx="5943600" cy="4276725"/>
            <wp:effectExtent l="0" t="0" r="0" b="317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F9611" w14:textId="3FE70151" w:rsidR="00516659" w:rsidRPr="00516659" w:rsidRDefault="00D707DE" w:rsidP="00516659">
      <w:pPr>
        <w:spacing w:line="480" w:lineRule="auto"/>
        <w:jc w:val="left"/>
        <w:rPr>
          <w:sz w:val="20"/>
        </w:rPr>
      </w:pPr>
      <w:r>
        <w:rPr>
          <w:b/>
          <w:sz w:val="20"/>
        </w:rPr>
        <w:t xml:space="preserve">Supplementary </w:t>
      </w:r>
      <w:r w:rsidR="00516659" w:rsidRPr="00516659">
        <w:rPr>
          <w:b/>
          <w:sz w:val="20"/>
        </w:rPr>
        <w:t>Fig</w:t>
      </w:r>
      <w:r w:rsidR="008835BB">
        <w:rPr>
          <w:b/>
          <w:sz w:val="20"/>
        </w:rPr>
        <w:t>.</w:t>
      </w:r>
      <w:r w:rsidR="00516659" w:rsidRPr="00516659">
        <w:rPr>
          <w:b/>
          <w:sz w:val="20"/>
        </w:rPr>
        <w:t xml:space="preserve"> 3</w:t>
      </w:r>
      <w:r w:rsidR="00516659" w:rsidRPr="00516659">
        <w:rPr>
          <w:sz w:val="20"/>
        </w:rPr>
        <w:t xml:space="preserve"> Quantitative results of (</w:t>
      </w:r>
      <w:r w:rsidR="008835BB">
        <w:rPr>
          <w:sz w:val="20"/>
        </w:rPr>
        <w:t>a</w:t>
      </w:r>
      <w:r w:rsidR="00516659" w:rsidRPr="00516659">
        <w:rPr>
          <w:sz w:val="20"/>
        </w:rPr>
        <w:t>) the percentage of SOX9-positive cells, (</w:t>
      </w:r>
      <w:r w:rsidR="008835BB">
        <w:rPr>
          <w:sz w:val="20"/>
        </w:rPr>
        <w:t>b</w:t>
      </w:r>
      <w:r w:rsidR="00516659" w:rsidRPr="00516659">
        <w:rPr>
          <w:sz w:val="20"/>
        </w:rPr>
        <w:t>) staining intensity for type II collagen, and (</w:t>
      </w:r>
      <w:r w:rsidR="008835BB">
        <w:rPr>
          <w:sz w:val="20"/>
        </w:rPr>
        <w:t>c</w:t>
      </w:r>
      <w:r w:rsidR="00516659" w:rsidRPr="00516659">
        <w:rPr>
          <w:sz w:val="20"/>
        </w:rPr>
        <w:t>) the percentage of aggrecan-positive area in the articular cartilage. Data are presented as means ± standard deviations. Statistical differences are shown as follows: 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**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††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‡‡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§§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¶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HLS. HHL: high-intensity, high-frequency, and long-duration; HHS: high-intensity, high-frequency, and short-duration; HLL: high-intensity, low-frequency, and long-duration; HLS: high-intensity, low-frequency, and short-duration; LHL: low-intensity, high-frequency, and long-duration; LHS: low-intensity, high-frequency, and short-duration; LLL: low-intensity, low-frequency, and long-duration; LLS: low-intensity, low-frequency, and short-duration. SOX9: sex-determining region Y-box 9</w:t>
      </w:r>
      <w:r w:rsidR="00516659" w:rsidRPr="00516659">
        <w:rPr>
          <w:sz w:val="20"/>
        </w:rPr>
        <w:br w:type="page"/>
      </w:r>
    </w:p>
    <w:p w14:paraId="766FB20B" w14:textId="63F8C06E" w:rsidR="00D0481F" w:rsidRPr="00D0481F" w:rsidRDefault="00D0481F" w:rsidP="00516659">
      <w:pPr>
        <w:spacing w:line="480" w:lineRule="auto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8FB320C" wp14:editId="2B75ED0C">
            <wp:extent cx="5943600" cy="43053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37C49" w14:textId="6968D992" w:rsidR="00516659" w:rsidRPr="00516659" w:rsidRDefault="00D707DE" w:rsidP="00516659">
      <w:pPr>
        <w:spacing w:line="480" w:lineRule="auto"/>
        <w:jc w:val="left"/>
        <w:rPr>
          <w:sz w:val="20"/>
        </w:rPr>
      </w:pPr>
      <w:r>
        <w:rPr>
          <w:b/>
          <w:sz w:val="20"/>
        </w:rPr>
        <w:t xml:space="preserve">Supplementary </w:t>
      </w:r>
      <w:r w:rsidR="00516659" w:rsidRPr="00516659">
        <w:rPr>
          <w:b/>
          <w:sz w:val="20"/>
        </w:rPr>
        <w:t>Fig</w:t>
      </w:r>
      <w:r w:rsidR="00A67172">
        <w:rPr>
          <w:b/>
          <w:sz w:val="20"/>
        </w:rPr>
        <w:t>.</w:t>
      </w:r>
      <w:r w:rsidR="00516659" w:rsidRPr="00516659">
        <w:rPr>
          <w:b/>
          <w:sz w:val="20"/>
        </w:rPr>
        <w:t xml:space="preserve"> 4</w:t>
      </w:r>
      <w:r w:rsidR="006569CA">
        <w:rPr>
          <w:rFonts w:hint="eastAsia"/>
          <w:sz w:val="20"/>
        </w:rPr>
        <w:t xml:space="preserve"> </w:t>
      </w:r>
      <w:r w:rsidR="00516659" w:rsidRPr="00516659">
        <w:rPr>
          <w:sz w:val="20"/>
        </w:rPr>
        <w:t>Quantitative results of (</w:t>
      </w:r>
      <w:r w:rsidR="005B54DF">
        <w:rPr>
          <w:sz w:val="20"/>
        </w:rPr>
        <w:t>a</w:t>
      </w:r>
      <w:r w:rsidR="00516659" w:rsidRPr="00516659">
        <w:rPr>
          <w:sz w:val="20"/>
        </w:rPr>
        <w:t>) the percentage of MMP13-positive cells, (</w:t>
      </w:r>
      <w:r w:rsidR="005B54DF">
        <w:rPr>
          <w:sz w:val="20"/>
        </w:rPr>
        <w:t>b</w:t>
      </w:r>
      <w:r w:rsidR="00516659" w:rsidRPr="00516659">
        <w:rPr>
          <w:sz w:val="20"/>
        </w:rPr>
        <w:t>) percentage of ADAMTS5-positive cells, and (</w:t>
      </w:r>
      <w:r w:rsidR="005B54DF">
        <w:rPr>
          <w:sz w:val="20"/>
        </w:rPr>
        <w:t>c</w:t>
      </w:r>
      <w:r w:rsidR="00516659" w:rsidRPr="00516659">
        <w:rPr>
          <w:sz w:val="20"/>
        </w:rPr>
        <w:t>) percentage of ALP-positive cells in the articular cartilage. Data are presented as means ± standard deviations. Statistical differences are shown as follows: 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**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††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‡‡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§§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HLL; ¶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HLS; ¶¶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HLS. HHL: high-intensity, high-frequency, and long-duration; HHS: high-intensity, high-frequency, and short-duration; HLL: high-intensity, low-frequency, and long-duration; HLS: high-intensity, low-frequency, and short-duration; LHL: low-intensity, high-frequency, and long-duration; LHS: low-intensity, high-frequency, and short-duration; LLL: low-intensity, low-frequency, and long-duration; LLS: low-intensity, low-frequency, and short-duration; MMT13: matrix metallopeptidase 13; ADAMTS5: a </w:t>
      </w:r>
      <w:proofErr w:type="spellStart"/>
      <w:r w:rsidR="00516659" w:rsidRPr="00516659">
        <w:rPr>
          <w:sz w:val="20"/>
        </w:rPr>
        <w:t>disintegrin</w:t>
      </w:r>
      <w:proofErr w:type="spellEnd"/>
      <w:r w:rsidR="00516659" w:rsidRPr="00516659">
        <w:rPr>
          <w:sz w:val="20"/>
        </w:rPr>
        <w:t>-like and metallopeptidase with thrombospondin type 1 motif 5; ALP: alkaline phosphatase</w:t>
      </w:r>
      <w:r w:rsidR="00516659" w:rsidRPr="00516659">
        <w:rPr>
          <w:sz w:val="20"/>
        </w:rPr>
        <w:br w:type="page"/>
      </w:r>
    </w:p>
    <w:p w14:paraId="1EC03785" w14:textId="72E8D100" w:rsidR="00D0481F" w:rsidRPr="00D0481F" w:rsidRDefault="00D0481F" w:rsidP="00516659">
      <w:pPr>
        <w:spacing w:line="480" w:lineRule="auto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8A6E63B" wp14:editId="66702E8A">
            <wp:extent cx="5943600" cy="364680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B423" w14:textId="6613C02C" w:rsidR="00516659" w:rsidRPr="006569CA" w:rsidRDefault="00D707DE" w:rsidP="00516659">
      <w:pPr>
        <w:spacing w:line="480" w:lineRule="auto"/>
        <w:jc w:val="left"/>
        <w:rPr>
          <w:b/>
          <w:sz w:val="20"/>
        </w:rPr>
      </w:pPr>
      <w:r>
        <w:rPr>
          <w:b/>
          <w:sz w:val="20"/>
        </w:rPr>
        <w:t xml:space="preserve">Supplementary </w:t>
      </w:r>
      <w:r w:rsidR="00516659" w:rsidRPr="00516659">
        <w:rPr>
          <w:b/>
          <w:sz w:val="20"/>
        </w:rPr>
        <w:t>Fig</w:t>
      </w:r>
      <w:r w:rsidR="00A67172">
        <w:rPr>
          <w:b/>
          <w:sz w:val="20"/>
        </w:rPr>
        <w:t>.</w:t>
      </w:r>
      <w:r w:rsidR="00516659" w:rsidRPr="00516659">
        <w:rPr>
          <w:b/>
          <w:sz w:val="20"/>
        </w:rPr>
        <w:t xml:space="preserve"> 5</w:t>
      </w:r>
      <w:r w:rsidR="006569CA">
        <w:rPr>
          <w:rFonts w:hint="eastAsia"/>
          <w:b/>
          <w:sz w:val="20"/>
        </w:rPr>
        <w:t xml:space="preserve"> </w:t>
      </w:r>
      <w:r w:rsidR="00516659" w:rsidRPr="00516659">
        <w:rPr>
          <w:sz w:val="20"/>
        </w:rPr>
        <w:t>Representative image of the tibial cartilage stained with TUNEL assay and the quantitative results. (</w:t>
      </w:r>
      <w:r w:rsidR="00A67172">
        <w:rPr>
          <w:sz w:val="20"/>
        </w:rPr>
        <w:t>a</w:t>
      </w:r>
      <w:r w:rsidR="00516659" w:rsidRPr="00516659">
        <w:rPr>
          <w:sz w:val="20"/>
        </w:rPr>
        <w:t>) TUNEL-positive cells were slightly observed in the mainly calcified layer in the control and low-intensity groups, whereas, in the high-intensity (particularly, HHL and HHS) groups, TUNEL-positive cells were also observed in the noncalcified layer</w:t>
      </w:r>
      <w:r w:rsidR="00516659" w:rsidRPr="00E11C21">
        <w:rPr>
          <w:sz w:val="20"/>
        </w:rPr>
        <w:t xml:space="preserve">.  </w:t>
      </w:r>
      <w:r w:rsidR="00974C85" w:rsidRPr="00E11C21">
        <w:rPr>
          <w:sz w:val="20"/>
        </w:rPr>
        <w:t>B</w:t>
      </w:r>
      <w:r w:rsidR="00516659" w:rsidRPr="00E11C21">
        <w:rPr>
          <w:sz w:val="20"/>
        </w:rPr>
        <w:t>lack arrowheads</w:t>
      </w:r>
      <w:r w:rsidR="00974C85" w:rsidRPr="00E11C21">
        <w:rPr>
          <w:sz w:val="20"/>
        </w:rPr>
        <w:t xml:space="preserve"> represent TUNEL-positive cells</w:t>
      </w:r>
      <w:r w:rsidR="00516659" w:rsidRPr="00E11C21">
        <w:rPr>
          <w:sz w:val="20"/>
        </w:rPr>
        <w:t>. Scale b</w:t>
      </w:r>
      <w:r w:rsidR="00516659" w:rsidRPr="00516659">
        <w:rPr>
          <w:sz w:val="20"/>
        </w:rPr>
        <w:t xml:space="preserve">ars = 40 </w:t>
      </w:r>
      <w:proofErr w:type="spellStart"/>
      <w:r w:rsidR="00516659" w:rsidRPr="00516659">
        <w:rPr>
          <w:sz w:val="20"/>
        </w:rPr>
        <w:t>μm</w:t>
      </w:r>
      <w:proofErr w:type="spellEnd"/>
      <w:r w:rsidR="00516659" w:rsidRPr="00516659">
        <w:rPr>
          <w:sz w:val="20"/>
        </w:rPr>
        <w:t>. (</w:t>
      </w:r>
      <w:r w:rsidR="00A67172">
        <w:rPr>
          <w:sz w:val="20"/>
        </w:rPr>
        <w:t>b</w:t>
      </w:r>
      <w:r w:rsidR="00516659" w:rsidRPr="00516659">
        <w:rPr>
          <w:sz w:val="20"/>
        </w:rPr>
        <w:t>) Quantitative results of the percentage of TUNEL-positive cells. Data are presented as means ± standard deviations. Statistical differences are shown as follows: 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**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control; ††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HHL; 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‡‡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0.01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HHS; §</w:t>
      </w:r>
      <w:r w:rsidR="00516659" w:rsidRPr="00516659">
        <w:rPr>
          <w:i/>
          <w:sz w:val="20"/>
        </w:rPr>
        <w:t>p</w:t>
      </w:r>
      <w:r w:rsidR="00516659" w:rsidRPr="00516659">
        <w:rPr>
          <w:sz w:val="20"/>
        </w:rPr>
        <w:t xml:space="preserve"> &lt; 0.05 </w:t>
      </w:r>
      <w:r w:rsidR="00516659" w:rsidRPr="00516659">
        <w:rPr>
          <w:i/>
          <w:sz w:val="20"/>
        </w:rPr>
        <w:t>vs.</w:t>
      </w:r>
      <w:r w:rsidR="00516659" w:rsidRPr="00516659">
        <w:rPr>
          <w:sz w:val="20"/>
        </w:rPr>
        <w:t xml:space="preserve"> HLL. HHL: high-intensity, high-frequency, and long-duration; HHS: high-intensity, high-frequency, and short-duration; HLL: high-intensity, low-frequency, and long-duration; HLS: high-intensity, low-frequency, and short-duration; LHL: low-intensity, high-frequency, and long-duration; LHS: low-intensity, high-frequency, and short-duration; LLL: low-intensity, low-frequency, and long-duration; LLS: low-intensity, low-frequency, and short-duration</w:t>
      </w:r>
    </w:p>
    <w:p w14:paraId="77BA01F2" w14:textId="6F620B2E" w:rsidR="00516659" w:rsidRDefault="00516659" w:rsidP="00A67172">
      <w:pPr>
        <w:spacing w:line="480" w:lineRule="auto"/>
        <w:jc w:val="left"/>
        <w:rPr>
          <w:sz w:val="20"/>
        </w:rPr>
      </w:pPr>
    </w:p>
    <w:p w14:paraId="1F53D827" w14:textId="606FB810" w:rsidR="001B632D" w:rsidRDefault="001B632D" w:rsidP="00A67172">
      <w:pPr>
        <w:spacing w:line="480" w:lineRule="auto"/>
        <w:jc w:val="left"/>
        <w:rPr>
          <w:sz w:val="20"/>
        </w:rPr>
      </w:pPr>
    </w:p>
    <w:p w14:paraId="38F537B9" w14:textId="32677BFD" w:rsidR="001B632D" w:rsidRDefault="001B632D" w:rsidP="00A67172">
      <w:pPr>
        <w:spacing w:line="480" w:lineRule="auto"/>
        <w:jc w:val="left"/>
        <w:rPr>
          <w:sz w:val="20"/>
        </w:rPr>
      </w:pPr>
    </w:p>
    <w:p w14:paraId="470C7333" w14:textId="77777777" w:rsidR="001B632D" w:rsidRDefault="001B632D" w:rsidP="00A67172">
      <w:pPr>
        <w:spacing w:line="480" w:lineRule="auto"/>
        <w:jc w:val="left"/>
        <w:rPr>
          <w:rFonts w:hint="eastAsia"/>
          <w:sz w:val="20"/>
        </w:rPr>
      </w:pPr>
    </w:p>
    <w:p w14:paraId="5A631082" w14:textId="6CF00F60" w:rsidR="001B632D" w:rsidRDefault="009B164B" w:rsidP="00A67172">
      <w:pPr>
        <w:spacing w:line="480" w:lineRule="auto"/>
        <w:jc w:val="left"/>
        <w:rPr>
          <w:b/>
          <w:sz w:val="20"/>
        </w:rPr>
      </w:pPr>
      <w:r>
        <w:rPr>
          <w:b/>
          <w:sz w:val="20"/>
        </w:rPr>
        <w:lastRenderedPageBreak/>
        <w:t>a</w:t>
      </w:r>
      <w:r w:rsidR="001B632D" w:rsidRPr="001B632D">
        <w:rPr>
          <w:b/>
          <w:sz w:val="20"/>
        </w:rPr>
        <w:t>rticle titl</w:t>
      </w:r>
      <w:r w:rsidR="001B632D">
        <w:rPr>
          <w:b/>
          <w:sz w:val="20"/>
        </w:rPr>
        <w:t>e;</w:t>
      </w:r>
      <w:r w:rsidR="001B632D" w:rsidRPr="001B632D">
        <w:rPr>
          <w:sz w:val="20"/>
        </w:rPr>
        <w:t xml:space="preserve"> </w:t>
      </w:r>
      <w:r w:rsidR="001B632D" w:rsidRPr="001B632D">
        <w:rPr>
          <w:sz w:val="20"/>
        </w:rPr>
        <w:t>Effects of different combinations of mechanical stress intensity, duration, and frequency on the articular cartilage in mice</w:t>
      </w:r>
    </w:p>
    <w:p w14:paraId="4F8946D8" w14:textId="6E079FF2" w:rsidR="001B632D" w:rsidRDefault="009B164B" w:rsidP="00A67172">
      <w:pPr>
        <w:spacing w:line="480" w:lineRule="auto"/>
        <w:jc w:val="left"/>
        <w:rPr>
          <w:sz w:val="20"/>
        </w:rPr>
      </w:pPr>
      <w:r>
        <w:rPr>
          <w:b/>
          <w:sz w:val="20"/>
        </w:rPr>
        <w:t>j</w:t>
      </w:r>
      <w:r w:rsidR="001B632D" w:rsidRPr="001B632D">
        <w:rPr>
          <w:b/>
          <w:sz w:val="20"/>
        </w:rPr>
        <w:t>ournal name;</w:t>
      </w:r>
      <w:r w:rsidR="001B632D">
        <w:rPr>
          <w:b/>
          <w:sz w:val="20"/>
        </w:rPr>
        <w:t xml:space="preserve"> </w:t>
      </w:r>
      <w:r w:rsidR="001B632D" w:rsidRPr="001B632D">
        <w:rPr>
          <w:sz w:val="20"/>
        </w:rPr>
        <w:t>Molecular Biology Reports</w:t>
      </w:r>
    </w:p>
    <w:p w14:paraId="2E0735FF" w14:textId="526174CD" w:rsidR="001B632D" w:rsidRDefault="001B632D" w:rsidP="00A67172">
      <w:pPr>
        <w:spacing w:line="480" w:lineRule="auto"/>
        <w:jc w:val="left"/>
        <w:rPr>
          <w:sz w:val="20"/>
        </w:rPr>
      </w:pPr>
      <w:r w:rsidRPr="001B632D">
        <w:rPr>
          <w:b/>
          <w:sz w:val="20"/>
        </w:rPr>
        <w:t>author names</w:t>
      </w:r>
      <w:r>
        <w:rPr>
          <w:b/>
          <w:sz w:val="20"/>
        </w:rPr>
        <w:t>;</w:t>
      </w:r>
      <w:r>
        <w:rPr>
          <w:sz w:val="20"/>
        </w:rPr>
        <w:t xml:space="preserve"> </w:t>
      </w:r>
      <w:r w:rsidRPr="002A1A45">
        <w:rPr>
          <w:sz w:val="20"/>
        </w:rPr>
        <w:t>Yoshio Wakimoto</w:t>
      </w:r>
      <w:r>
        <w:rPr>
          <w:sz w:val="20"/>
        </w:rPr>
        <w:t xml:space="preserve">, </w:t>
      </w:r>
      <w:r w:rsidRPr="002A1A45">
        <w:rPr>
          <w:sz w:val="20"/>
        </w:rPr>
        <w:t>Yasushi Mimura</w:t>
      </w:r>
      <w:r>
        <w:rPr>
          <w:sz w:val="20"/>
        </w:rPr>
        <w:t xml:space="preserve">, </w:t>
      </w:r>
      <w:r w:rsidRPr="002A1A45">
        <w:rPr>
          <w:sz w:val="20"/>
        </w:rPr>
        <w:t xml:space="preserve">Shota </w:t>
      </w:r>
      <w:bookmarkStart w:id="0" w:name="_GoBack"/>
      <w:bookmarkEnd w:id="0"/>
      <w:r w:rsidRPr="002A1A45">
        <w:rPr>
          <w:sz w:val="20"/>
        </w:rPr>
        <w:t>Inoue</w:t>
      </w:r>
      <w:r>
        <w:rPr>
          <w:sz w:val="20"/>
        </w:rPr>
        <w:t xml:space="preserve">, </w:t>
      </w:r>
      <w:r w:rsidRPr="002A1A45">
        <w:rPr>
          <w:sz w:val="20"/>
        </w:rPr>
        <w:t>Masato Nomura</w:t>
      </w:r>
      <w:r>
        <w:rPr>
          <w:sz w:val="20"/>
        </w:rPr>
        <w:t xml:space="preserve">, </w:t>
      </w:r>
      <w:r w:rsidRPr="002A1A45">
        <w:rPr>
          <w:sz w:val="20"/>
        </w:rPr>
        <w:t>Hideki Moriyama</w:t>
      </w:r>
    </w:p>
    <w:p w14:paraId="38100835" w14:textId="77777777" w:rsidR="001B632D" w:rsidRDefault="001B632D" w:rsidP="001B632D">
      <w:pPr>
        <w:spacing w:line="480" w:lineRule="auto"/>
        <w:jc w:val="left"/>
        <w:rPr>
          <w:sz w:val="20"/>
        </w:rPr>
      </w:pPr>
      <w:r w:rsidRPr="001B632D">
        <w:rPr>
          <w:b/>
          <w:sz w:val="20"/>
        </w:rPr>
        <w:t>affiliation and e-mail address of the corresponding author;</w:t>
      </w:r>
    </w:p>
    <w:p w14:paraId="23415A48" w14:textId="583628CC" w:rsidR="001B632D" w:rsidRPr="001B632D" w:rsidRDefault="001B632D" w:rsidP="001B632D">
      <w:pPr>
        <w:spacing w:line="480" w:lineRule="auto"/>
        <w:jc w:val="left"/>
        <w:rPr>
          <w:sz w:val="20"/>
        </w:rPr>
      </w:pPr>
      <w:r w:rsidRPr="002A1A45">
        <w:rPr>
          <w:sz w:val="20"/>
        </w:rPr>
        <w:t xml:space="preserve">Department of Rehabilitation Science, Kobe </w:t>
      </w:r>
      <w:r w:rsidRPr="001B632D">
        <w:rPr>
          <w:sz w:val="20"/>
        </w:rPr>
        <w:t>University Graduate School of Health Sciences</w:t>
      </w:r>
    </w:p>
    <w:p w14:paraId="7FCABE53" w14:textId="6F6A4F73" w:rsidR="001B632D" w:rsidRPr="001B632D" w:rsidRDefault="001B632D" w:rsidP="001B632D">
      <w:pPr>
        <w:spacing w:line="480" w:lineRule="auto"/>
        <w:jc w:val="left"/>
        <w:rPr>
          <w:rFonts w:hint="eastAsia"/>
          <w:sz w:val="20"/>
        </w:rPr>
      </w:pPr>
      <w:r w:rsidRPr="002A1A45">
        <w:rPr>
          <w:sz w:val="20"/>
        </w:rPr>
        <w:t>wakio0820.kbu@gmail.com</w:t>
      </w:r>
    </w:p>
    <w:sectPr w:rsidR="001B632D" w:rsidRPr="001B6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2F"/>
    <w:rsid w:val="00064604"/>
    <w:rsid w:val="001B632D"/>
    <w:rsid w:val="001E182F"/>
    <w:rsid w:val="002B4D08"/>
    <w:rsid w:val="00342A9F"/>
    <w:rsid w:val="00516659"/>
    <w:rsid w:val="005B54DF"/>
    <w:rsid w:val="00601B76"/>
    <w:rsid w:val="006569CA"/>
    <w:rsid w:val="00740C93"/>
    <w:rsid w:val="007E74F5"/>
    <w:rsid w:val="008835BB"/>
    <w:rsid w:val="00974C85"/>
    <w:rsid w:val="009B164B"/>
    <w:rsid w:val="00A67172"/>
    <w:rsid w:val="00D0481F"/>
    <w:rsid w:val="00D707DE"/>
    <w:rsid w:val="00E11C21"/>
    <w:rsid w:val="00EE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5DC83C"/>
  <w15:docId w15:val="{3A7D101C-547C-064A-9E88-6EDC43ED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6659"/>
    <w:pPr>
      <w:widowControl w:val="0"/>
      <w:spacing w:after="0" w:line="240" w:lineRule="auto"/>
      <w:jc w:val="both"/>
    </w:pPr>
    <w:rPr>
      <w:rFonts w:ascii="Times New Roman" w:eastAsia="ＭＳ 明朝" w:hAnsi="Times New Roman" w:cs="Times New Roman"/>
      <w:kern w:val="2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516659"/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16659"/>
    <w:rPr>
      <w:rFonts w:ascii="Tahoma" w:hAnsi="Tahoma" w:cs="Tahoma"/>
      <w:sz w:val="16"/>
      <w:szCs w:val="16"/>
    </w:rPr>
  </w:style>
  <w:style w:type="character" w:customStyle="1" w:styleId="a5">
    <w:name w:val="吹き出し (文字)"/>
    <w:basedOn w:val="a0"/>
    <w:link w:val="a4"/>
    <w:uiPriority w:val="99"/>
    <w:semiHidden/>
    <w:rsid w:val="00516659"/>
    <w:rPr>
      <w:rFonts w:ascii="Tahoma" w:eastAsia="ＭＳ 明朝" w:hAnsi="Tahoma" w:cs="Tahoma"/>
      <w:kern w:val="2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16659"/>
    <w:rPr>
      <w:sz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516659"/>
    <w:rPr>
      <w:rFonts w:ascii="Times New Roman" w:eastAsia="ＭＳ 明朝" w:hAnsi="Times New Roman" w:cs="Times New Roman"/>
      <w:kern w:val="2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1665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16659"/>
    <w:rPr>
      <w:rFonts w:ascii="Times New Roman" w:eastAsia="ＭＳ 明朝" w:hAnsi="Times New Roman" w:cs="Times New Roman"/>
      <w:b/>
      <w:bCs/>
      <w:kern w:val="2"/>
      <w:sz w:val="20"/>
      <w:szCs w:val="20"/>
    </w:rPr>
  </w:style>
  <w:style w:type="character" w:styleId="aa">
    <w:name w:val="Hyperlink"/>
    <w:basedOn w:val="a0"/>
    <w:uiPriority w:val="99"/>
    <w:unhideWhenUsed/>
    <w:rsid w:val="005166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ABB363-38D2-B84B-BA12-8BAD2A26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1120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wakimoto yoshio</dc:creator>
  <cp:lastModifiedBy>wakimoto yoshio</cp:lastModifiedBy>
  <cp:revision>4</cp:revision>
  <dcterms:created xsi:type="dcterms:W3CDTF">2024-01-27T08:15:00Z</dcterms:created>
  <dcterms:modified xsi:type="dcterms:W3CDTF">2024-01-27T08:16:00Z</dcterms:modified>
</cp:coreProperties>
</file>