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7B2F8" w14:textId="77777777" w:rsidR="002C1883" w:rsidRPr="00A270D8" w:rsidRDefault="002C1883" w:rsidP="002C1883">
      <w:pPr>
        <w:rPr>
          <w:rFonts w:ascii="Arial" w:hAnsi="Arial" w:cs="Arial"/>
          <w:sz w:val="20"/>
          <w:szCs w:val="20"/>
          <w:lang w:val="en-US"/>
        </w:rPr>
      </w:pPr>
      <w:r w:rsidRPr="00A270D8">
        <w:rPr>
          <w:rFonts w:ascii="Arial" w:hAnsi="Arial" w:cs="Arial"/>
          <w:b/>
          <w:bCs/>
          <w:sz w:val="20"/>
          <w:szCs w:val="20"/>
          <w:lang w:val="en-US"/>
        </w:rPr>
        <w:t>Systematic Review and Meta-Analysis Protocol according to PRISMA-P guidelines</w:t>
      </w:r>
      <w:r w:rsidRPr="00A270D8">
        <w:rPr>
          <w:rFonts w:ascii="Arial" w:hAnsi="Arial" w:cs="Arial"/>
          <w:b/>
          <w:bCs/>
          <w:sz w:val="20"/>
          <w:szCs w:val="20"/>
          <w:lang w:val="en-US"/>
        </w:rPr>
        <w:br/>
      </w:r>
      <w:r w:rsidRPr="00A270D8">
        <w:rPr>
          <w:rFonts w:ascii="Arial" w:hAnsi="Arial" w:cs="Arial"/>
          <w:sz w:val="20"/>
          <w:szCs w:val="20"/>
          <w:lang w:val="en-US"/>
        </w:rPr>
        <w:t xml:space="preserve">From: </w:t>
      </w:r>
      <w:proofErr w:type="spellStart"/>
      <w:r w:rsidRPr="00A270D8">
        <w:rPr>
          <w:rFonts w:ascii="Arial" w:hAnsi="Arial" w:cs="Arial"/>
          <w:sz w:val="20"/>
          <w:szCs w:val="20"/>
          <w:lang w:val="en-US"/>
        </w:rPr>
        <w:t>Shamseer</w:t>
      </w:r>
      <w:proofErr w:type="spellEnd"/>
      <w:r w:rsidRPr="00A270D8">
        <w:rPr>
          <w:rFonts w:ascii="Arial" w:hAnsi="Arial" w:cs="Arial"/>
          <w:sz w:val="20"/>
          <w:szCs w:val="20"/>
          <w:lang w:val="en-US"/>
        </w:rPr>
        <w:t xml:space="preserve"> L, Moher D, Clarke M, Ghersi D, Liberati A, Petticrew M, </w:t>
      </w:r>
      <w:proofErr w:type="spellStart"/>
      <w:r w:rsidRPr="00A270D8">
        <w:rPr>
          <w:rFonts w:ascii="Arial" w:hAnsi="Arial" w:cs="Arial"/>
          <w:sz w:val="20"/>
          <w:szCs w:val="20"/>
          <w:lang w:val="en-US"/>
        </w:rPr>
        <w:t>Shekelle</w:t>
      </w:r>
      <w:proofErr w:type="spellEnd"/>
      <w:r w:rsidRPr="00A270D8">
        <w:rPr>
          <w:rFonts w:ascii="Arial" w:hAnsi="Arial" w:cs="Arial"/>
          <w:sz w:val="20"/>
          <w:szCs w:val="20"/>
          <w:lang w:val="en-US"/>
        </w:rPr>
        <w:t xml:space="preserve"> P, Stewart L, PRISMA-P Group. Preferred reporting items for systematic review and meta-analysis protocols (PRISMA-P) 2015: elaboration and explanation. BMJ. 2015 Jan 2;349(jan02 1</w:t>
      </w:r>
      <w:proofErr w:type="gramStart"/>
      <w:r w:rsidRPr="00A270D8">
        <w:rPr>
          <w:rFonts w:ascii="Arial" w:hAnsi="Arial" w:cs="Arial"/>
          <w:sz w:val="20"/>
          <w:szCs w:val="20"/>
          <w:lang w:val="en-US"/>
        </w:rPr>
        <w:t>):g</w:t>
      </w:r>
      <w:proofErr w:type="gramEnd"/>
      <w:r w:rsidRPr="00A270D8">
        <w:rPr>
          <w:rFonts w:ascii="Arial" w:hAnsi="Arial" w:cs="Arial"/>
          <w:sz w:val="20"/>
          <w:szCs w:val="20"/>
          <w:lang w:val="en-US"/>
        </w:rPr>
        <w:t>7647.</w:t>
      </w:r>
    </w:p>
    <w:tbl>
      <w:tblPr>
        <w:tblStyle w:val="Tabellenraster"/>
        <w:tblW w:w="0" w:type="auto"/>
        <w:tblLook w:val="04A0" w:firstRow="1" w:lastRow="0" w:firstColumn="1" w:lastColumn="0" w:noHBand="0" w:noVBand="1"/>
      </w:tblPr>
      <w:tblGrid>
        <w:gridCol w:w="1483"/>
        <w:gridCol w:w="2113"/>
        <w:gridCol w:w="5466"/>
      </w:tblGrid>
      <w:tr w:rsidR="002C1883" w:rsidRPr="00E67C14" w14:paraId="7AF8A890" w14:textId="77777777" w:rsidTr="003A27EC">
        <w:tc>
          <w:tcPr>
            <w:tcW w:w="1483" w:type="dxa"/>
          </w:tcPr>
          <w:p w14:paraId="6DE9901C" w14:textId="77777777" w:rsidR="002C1883" w:rsidRPr="00A270D8" w:rsidRDefault="002C1883" w:rsidP="00A43183">
            <w:pPr>
              <w:rPr>
                <w:rFonts w:ascii="Arial" w:hAnsi="Arial" w:cs="Arial"/>
                <w:b/>
                <w:bCs/>
                <w:sz w:val="20"/>
                <w:szCs w:val="20"/>
                <w:lang w:val="en-US"/>
              </w:rPr>
            </w:pPr>
            <w:r w:rsidRPr="00A270D8">
              <w:rPr>
                <w:rFonts w:ascii="Arial" w:hAnsi="Arial" w:cs="Arial"/>
                <w:b/>
                <w:bCs/>
                <w:sz w:val="20"/>
                <w:szCs w:val="20"/>
                <w:lang w:val="en-US"/>
              </w:rPr>
              <w:t>Title</w:t>
            </w:r>
          </w:p>
        </w:tc>
        <w:tc>
          <w:tcPr>
            <w:tcW w:w="2113" w:type="dxa"/>
          </w:tcPr>
          <w:p w14:paraId="344A6EF8"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Identification</w:t>
            </w:r>
          </w:p>
        </w:tc>
        <w:tc>
          <w:tcPr>
            <w:tcW w:w="5466" w:type="dxa"/>
          </w:tcPr>
          <w:p w14:paraId="268FF00B" w14:textId="4143D5E2"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 xml:space="preserve">This report represents a protocol for the systematic review and meta-analysis with the title: </w:t>
            </w:r>
            <w:r w:rsidRPr="002C1883">
              <w:rPr>
                <w:rFonts w:ascii="Arial" w:hAnsi="Arial" w:cs="Arial"/>
                <w:sz w:val="20"/>
                <w:szCs w:val="20"/>
                <w:lang w:val="en-US"/>
              </w:rPr>
              <w:t>Infections drive non-relapse mortality following CAR-T therapy across disease entities and CAR products: a meta-analysis of 7246 patients</w:t>
            </w:r>
          </w:p>
        </w:tc>
      </w:tr>
      <w:tr w:rsidR="002C1883" w:rsidRPr="00C679DF" w14:paraId="752FC581" w14:textId="77777777" w:rsidTr="00C679DF">
        <w:trPr>
          <w:trHeight w:val="88"/>
        </w:trPr>
        <w:tc>
          <w:tcPr>
            <w:tcW w:w="1483" w:type="dxa"/>
          </w:tcPr>
          <w:p w14:paraId="3067A2F6" w14:textId="77777777" w:rsidR="002C1883" w:rsidRPr="00A270D8" w:rsidRDefault="002C1883" w:rsidP="00A43183">
            <w:pPr>
              <w:rPr>
                <w:rFonts w:ascii="Arial" w:hAnsi="Arial" w:cs="Arial"/>
                <w:b/>
                <w:bCs/>
                <w:sz w:val="20"/>
                <w:szCs w:val="20"/>
                <w:lang w:val="en-US"/>
              </w:rPr>
            </w:pPr>
          </w:p>
        </w:tc>
        <w:tc>
          <w:tcPr>
            <w:tcW w:w="2113" w:type="dxa"/>
          </w:tcPr>
          <w:p w14:paraId="12E37A95"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Update</w:t>
            </w:r>
          </w:p>
        </w:tc>
        <w:tc>
          <w:tcPr>
            <w:tcW w:w="5466" w:type="dxa"/>
          </w:tcPr>
          <w:p w14:paraId="3BE256FC" w14:textId="724AFC2B" w:rsidR="002C1883" w:rsidRPr="00A270D8" w:rsidRDefault="00C679DF" w:rsidP="00A43183">
            <w:pPr>
              <w:rPr>
                <w:rFonts w:ascii="Arial" w:hAnsi="Arial" w:cs="Arial"/>
                <w:sz w:val="20"/>
                <w:szCs w:val="20"/>
                <w:lang w:val="en-US"/>
              </w:rPr>
            </w:pPr>
            <w:r>
              <w:rPr>
                <w:rFonts w:ascii="Arial" w:hAnsi="Arial" w:cs="Arial"/>
                <w:sz w:val="20"/>
                <w:szCs w:val="20"/>
                <w:lang w:val="en-US"/>
              </w:rPr>
              <w:t>Version 2.0 (updated 17.12.2023)</w:t>
            </w:r>
          </w:p>
        </w:tc>
      </w:tr>
      <w:tr w:rsidR="002C1883" w:rsidRPr="00A270D8" w14:paraId="40A26B8F" w14:textId="77777777" w:rsidTr="003A27EC">
        <w:tc>
          <w:tcPr>
            <w:tcW w:w="1483" w:type="dxa"/>
          </w:tcPr>
          <w:p w14:paraId="44B8DC66" w14:textId="77777777" w:rsidR="002C1883" w:rsidRPr="00A270D8" w:rsidRDefault="002C1883" w:rsidP="00A43183">
            <w:pPr>
              <w:rPr>
                <w:rFonts w:ascii="Arial" w:hAnsi="Arial" w:cs="Arial"/>
                <w:b/>
                <w:bCs/>
                <w:sz w:val="20"/>
                <w:szCs w:val="20"/>
                <w:lang w:val="en-US"/>
              </w:rPr>
            </w:pPr>
            <w:r w:rsidRPr="00A270D8">
              <w:rPr>
                <w:rFonts w:ascii="Arial" w:hAnsi="Arial" w:cs="Arial"/>
                <w:b/>
                <w:bCs/>
                <w:sz w:val="20"/>
                <w:szCs w:val="20"/>
                <w:lang w:val="en-US"/>
              </w:rPr>
              <w:t>Registration</w:t>
            </w:r>
          </w:p>
        </w:tc>
        <w:tc>
          <w:tcPr>
            <w:tcW w:w="2113" w:type="dxa"/>
          </w:tcPr>
          <w:p w14:paraId="02EC1CAF" w14:textId="77777777" w:rsidR="002C1883" w:rsidRPr="00A270D8" w:rsidRDefault="002C1883" w:rsidP="00A43183">
            <w:pPr>
              <w:rPr>
                <w:rFonts w:ascii="Arial" w:hAnsi="Arial" w:cs="Arial"/>
                <w:sz w:val="20"/>
                <w:szCs w:val="20"/>
                <w:lang w:val="en-US"/>
              </w:rPr>
            </w:pPr>
          </w:p>
        </w:tc>
        <w:tc>
          <w:tcPr>
            <w:tcW w:w="5466" w:type="dxa"/>
          </w:tcPr>
          <w:p w14:paraId="37152111"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N/A</w:t>
            </w:r>
          </w:p>
        </w:tc>
      </w:tr>
      <w:tr w:rsidR="002C1883" w:rsidRPr="00A270D8" w14:paraId="0DE8A88E" w14:textId="77777777" w:rsidTr="003A27EC">
        <w:tc>
          <w:tcPr>
            <w:tcW w:w="1483" w:type="dxa"/>
          </w:tcPr>
          <w:p w14:paraId="32052A63" w14:textId="77777777" w:rsidR="002C1883" w:rsidRPr="00A270D8" w:rsidRDefault="002C1883" w:rsidP="00A43183">
            <w:pPr>
              <w:rPr>
                <w:rFonts w:ascii="Arial" w:hAnsi="Arial" w:cs="Arial"/>
                <w:b/>
                <w:bCs/>
                <w:sz w:val="20"/>
                <w:szCs w:val="20"/>
                <w:lang w:val="en-US"/>
              </w:rPr>
            </w:pPr>
            <w:r w:rsidRPr="00A270D8">
              <w:rPr>
                <w:rFonts w:ascii="Arial" w:hAnsi="Arial" w:cs="Arial"/>
                <w:b/>
                <w:bCs/>
                <w:sz w:val="20"/>
                <w:szCs w:val="20"/>
                <w:lang w:val="en-US"/>
              </w:rPr>
              <w:t>Authors</w:t>
            </w:r>
          </w:p>
        </w:tc>
        <w:tc>
          <w:tcPr>
            <w:tcW w:w="2113" w:type="dxa"/>
          </w:tcPr>
          <w:p w14:paraId="0B37DEDA"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Contact</w:t>
            </w:r>
          </w:p>
        </w:tc>
        <w:tc>
          <w:tcPr>
            <w:tcW w:w="5466" w:type="dxa"/>
          </w:tcPr>
          <w:p w14:paraId="69B5EDC3" w14:textId="5E5A66C8" w:rsidR="008009DF" w:rsidRPr="008009DF" w:rsidRDefault="008009DF" w:rsidP="008009DF">
            <w:pPr>
              <w:rPr>
                <w:rFonts w:ascii="Arial" w:hAnsi="Arial" w:cs="Arial"/>
                <w:sz w:val="20"/>
                <w:szCs w:val="20"/>
                <w:lang w:val="en-US"/>
              </w:rPr>
            </w:pPr>
            <w:r w:rsidRPr="008009DF">
              <w:rPr>
                <w:rFonts w:ascii="Arial" w:hAnsi="Arial" w:cs="Arial"/>
                <w:sz w:val="20"/>
                <w:szCs w:val="20"/>
                <w:lang w:val="en-US"/>
              </w:rPr>
              <w:t>David M. Cordas dos Santos</w:t>
            </w:r>
            <w:r w:rsidRPr="008009DF">
              <w:rPr>
                <w:rFonts w:ascii="Arial" w:hAnsi="Arial" w:cs="Arial"/>
                <w:sz w:val="20"/>
                <w:szCs w:val="20"/>
                <w:vertAlign w:val="superscript"/>
                <w:lang w:val="en-US"/>
              </w:rPr>
              <w:t>1-4</w:t>
            </w:r>
            <w:r w:rsidRPr="008009DF">
              <w:rPr>
                <w:rFonts w:ascii="Arial" w:hAnsi="Arial" w:cs="Arial"/>
                <w:sz w:val="20"/>
                <w:szCs w:val="20"/>
                <w:lang w:val="en-US"/>
              </w:rPr>
              <w:t>, Tobias Tix</w:t>
            </w:r>
            <w:r w:rsidRPr="008009DF">
              <w:rPr>
                <w:rFonts w:ascii="Arial" w:hAnsi="Arial" w:cs="Arial"/>
                <w:sz w:val="20"/>
                <w:szCs w:val="20"/>
                <w:vertAlign w:val="superscript"/>
                <w:lang w:val="en-US"/>
              </w:rPr>
              <w:t>4</w:t>
            </w:r>
            <w:r w:rsidRPr="008009DF">
              <w:rPr>
                <w:rFonts w:ascii="Arial" w:hAnsi="Arial" w:cs="Arial"/>
                <w:sz w:val="20"/>
                <w:szCs w:val="20"/>
                <w:lang w:val="en-US"/>
              </w:rPr>
              <w:t xml:space="preserve">, </w:t>
            </w:r>
          </w:p>
          <w:p w14:paraId="036F369F" w14:textId="252160AF" w:rsidR="008009DF" w:rsidRPr="008009DF" w:rsidRDefault="008009DF" w:rsidP="008009DF">
            <w:pPr>
              <w:rPr>
                <w:rFonts w:ascii="Arial" w:hAnsi="Arial" w:cs="Arial"/>
                <w:sz w:val="20"/>
                <w:szCs w:val="20"/>
                <w:lang w:val="en-US"/>
              </w:rPr>
            </w:pPr>
            <w:r w:rsidRPr="008009DF">
              <w:rPr>
                <w:rFonts w:ascii="Arial" w:hAnsi="Arial" w:cs="Arial"/>
                <w:sz w:val="20"/>
                <w:szCs w:val="20"/>
                <w:lang w:val="en-US"/>
              </w:rPr>
              <w:t>Kai Rejeski</w:t>
            </w:r>
            <w:r w:rsidRPr="008009DF">
              <w:rPr>
                <w:rFonts w:ascii="Arial" w:hAnsi="Arial" w:cs="Arial"/>
                <w:sz w:val="20"/>
                <w:szCs w:val="20"/>
                <w:vertAlign w:val="superscript"/>
                <w:lang w:val="en-US"/>
              </w:rPr>
              <w:t>4,5</w:t>
            </w:r>
          </w:p>
          <w:p w14:paraId="5C8F3100" w14:textId="77777777" w:rsidR="008009DF" w:rsidRPr="008009DF" w:rsidRDefault="008009DF" w:rsidP="008009DF">
            <w:pPr>
              <w:rPr>
                <w:rFonts w:ascii="Arial" w:hAnsi="Arial" w:cs="Arial"/>
                <w:sz w:val="20"/>
                <w:szCs w:val="20"/>
                <w:lang w:val="en-US"/>
              </w:rPr>
            </w:pPr>
          </w:p>
          <w:p w14:paraId="7C57B286" w14:textId="0C86D106" w:rsidR="008009DF" w:rsidRPr="008009DF" w:rsidRDefault="008009DF" w:rsidP="008009DF">
            <w:pPr>
              <w:rPr>
                <w:rFonts w:ascii="Arial" w:hAnsi="Arial" w:cs="Arial"/>
                <w:sz w:val="20"/>
                <w:szCs w:val="20"/>
                <w:lang w:val="en-US"/>
              </w:rPr>
            </w:pPr>
            <w:r w:rsidRPr="008009DF">
              <w:rPr>
                <w:rFonts w:ascii="Arial" w:hAnsi="Arial" w:cs="Arial"/>
                <w:sz w:val="20"/>
                <w:szCs w:val="20"/>
                <w:lang w:val="en-US"/>
              </w:rPr>
              <w:t>1</w:t>
            </w:r>
            <w:r>
              <w:rPr>
                <w:rFonts w:ascii="Arial" w:hAnsi="Arial" w:cs="Arial"/>
                <w:sz w:val="20"/>
                <w:szCs w:val="20"/>
                <w:lang w:val="en-US"/>
              </w:rPr>
              <w:t xml:space="preserve"> </w:t>
            </w:r>
            <w:r w:rsidRPr="008009DF">
              <w:rPr>
                <w:rFonts w:ascii="Arial" w:hAnsi="Arial" w:cs="Arial"/>
                <w:sz w:val="20"/>
                <w:szCs w:val="20"/>
                <w:lang w:val="en-US"/>
              </w:rPr>
              <w:t>Department of Medical Oncology, Dana-Farber Cancer Institute, Boston, MA, USA</w:t>
            </w:r>
          </w:p>
          <w:p w14:paraId="4B68C39A" w14:textId="2B0D968B" w:rsidR="008009DF" w:rsidRPr="008009DF" w:rsidRDefault="008009DF" w:rsidP="008009DF">
            <w:pPr>
              <w:rPr>
                <w:rFonts w:ascii="Arial" w:hAnsi="Arial" w:cs="Arial"/>
                <w:sz w:val="20"/>
                <w:szCs w:val="20"/>
                <w:lang w:val="en-US"/>
              </w:rPr>
            </w:pPr>
            <w:r w:rsidRPr="008009DF">
              <w:rPr>
                <w:rFonts w:ascii="Arial" w:hAnsi="Arial" w:cs="Arial"/>
                <w:sz w:val="20"/>
                <w:szCs w:val="20"/>
                <w:lang w:val="en-US"/>
              </w:rPr>
              <w:t>2</w:t>
            </w:r>
            <w:r>
              <w:rPr>
                <w:rFonts w:ascii="Arial" w:hAnsi="Arial" w:cs="Arial"/>
                <w:sz w:val="20"/>
                <w:szCs w:val="20"/>
                <w:lang w:val="en-US"/>
              </w:rPr>
              <w:t xml:space="preserve"> </w:t>
            </w:r>
            <w:r w:rsidRPr="008009DF">
              <w:rPr>
                <w:rFonts w:ascii="Arial" w:hAnsi="Arial" w:cs="Arial"/>
                <w:sz w:val="20"/>
                <w:szCs w:val="20"/>
                <w:lang w:val="en-US"/>
              </w:rPr>
              <w:t>Harvard Medical School, Boston, MA, USA</w:t>
            </w:r>
          </w:p>
          <w:p w14:paraId="0D24CDC7" w14:textId="43551149" w:rsidR="008009DF" w:rsidRPr="008009DF" w:rsidRDefault="008009DF" w:rsidP="008009DF">
            <w:pPr>
              <w:rPr>
                <w:rFonts w:ascii="Arial" w:hAnsi="Arial" w:cs="Arial"/>
                <w:sz w:val="20"/>
                <w:szCs w:val="20"/>
                <w:lang w:val="en-US"/>
              </w:rPr>
            </w:pPr>
            <w:r w:rsidRPr="008009DF">
              <w:rPr>
                <w:rFonts w:ascii="Arial" w:hAnsi="Arial" w:cs="Arial"/>
                <w:sz w:val="20"/>
                <w:szCs w:val="20"/>
                <w:lang w:val="en-US"/>
              </w:rPr>
              <w:t>3</w:t>
            </w:r>
            <w:r>
              <w:rPr>
                <w:rFonts w:ascii="Arial" w:hAnsi="Arial" w:cs="Arial"/>
                <w:sz w:val="20"/>
                <w:szCs w:val="20"/>
                <w:lang w:val="en-US"/>
              </w:rPr>
              <w:t xml:space="preserve"> </w:t>
            </w:r>
            <w:r w:rsidRPr="008009DF">
              <w:rPr>
                <w:rFonts w:ascii="Arial" w:hAnsi="Arial" w:cs="Arial"/>
                <w:sz w:val="20"/>
                <w:szCs w:val="20"/>
                <w:lang w:val="en-US"/>
              </w:rPr>
              <w:t>Broad Institute of Massachusetts Institute of Technology (MIT) and Harvard, Cambridge, MA, USA</w:t>
            </w:r>
          </w:p>
          <w:p w14:paraId="57F7152C" w14:textId="1DBF3015" w:rsidR="008009DF" w:rsidRPr="008009DF" w:rsidRDefault="008009DF" w:rsidP="008009DF">
            <w:pPr>
              <w:rPr>
                <w:rFonts w:ascii="Arial" w:hAnsi="Arial" w:cs="Arial"/>
                <w:sz w:val="20"/>
                <w:szCs w:val="20"/>
                <w:lang w:val="en-US"/>
              </w:rPr>
            </w:pPr>
            <w:r w:rsidRPr="008009DF">
              <w:rPr>
                <w:rFonts w:ascii="Arial" w:hAnsi="Arial" w:cs="Arial"/>
                <w:sz w:val="20"/>
                <w:szCs w:val="20"/>
                <w:lang w:val="en-US"/>
              </w:rPr>
              <w:t>4</w:t>
            </w:r>
            <w:r>
              <w:rPr>
                <w:rFonts w:ascii="Arial" w:hAnsi="Arial" w:cs="Arial"/>
                <w:sz w:val="20"/>
                <w:szCs w:val="20"/>
                <w:lang w:val="en-US"/>
              </w:rPr>
              <w:t xml:space="preserve"> </w:t>
            </w:r>
            <w:r w:rsidRPr="008009DF">
              <w:rPr>
                <w:rFonts w:ascii="Arial" w:hAnsi="Arial" w:cs="Arial"/>
                <w:sz w:val="20"/>
                <w:szCs w:val="20"/>
                <w:lang w:val="en-US"/>
              </w:rPr>
              <w:t>Department of Medicine III – Hematology/Oncology, LMU University Hospital, LMU Munich, Munich, Germany</w:t>
            </w:r>
          </w:p>
          <w:p w14:paraId="5D4ADE06" w14:textId="4AA466B3" w:rsidR="002C1883" w:rsidRDefault="008009DF" w:rsidP="008009DF">
            <w:pPr>
              <w:rPr>
                <w:rFonts w:ascii="Arial" w:hAnsi="Arial" w:cs="Arial"/>
                <w:sz w:val="20"/>
                <w:szCs w:val="20"/>
                <w:lang w:val="en-US"/>
              </w:rPr>
            </w:pPr>
            <w:r w:rsidRPr="008009DF">
              <w:rPr>
                <w:rFonts w:ascii="Arial" w:hAnsi="Arial" w:cs="Arial"/>
                <w:sz w:val="20"/>
                <w:szCs w:val="20"/>
                <w:lang w:val="en-US"/>
              </w:rPr>
              <w:t>5</w:t>
            </w:r>
            <w:r>
              <w:rPr>
                <w:rFonts w:ascii="Arial" w:hAnsi="Arial" w:cs="Arial"/>
                <w:sz w:val="20"/>
                <w:szCs w:val="20"/>
                <w:lang w:val="en-US"/>
              </w:rPr>
              <w:t xml:space="preserve"> </w:t>
            </w:r>
            <w:r w:rsidRPr="008009DF">
              <w:rPr>
                <w:rFonts w:ascii="Arial" w:hAnsi="Arial" w:cs="Arial"/>
                <w:sz w:val="20"/>
                <w:szCs w:val="20"/>
                <w:lang w:val="en-US"/>
              </w:rPr>
              <w:t xml:space="preserve">Adult BMT and Cellular Therapy Service, Memorial Sloan Kettering Cancer Center, New York, NY, USA </w:t>
            </w:r>
          </w:p>
          <w:p w14:paraId="6E778247" w14:textId="77777777" w:rsidR="008009DF" w:rsidRPr="00A270D8" w:rsidRDefault="008009DF" w:rsidP="008009DF">
            <w:pPr>
              <w:rPr>
                <w:rFonts w:ascii="Arial" w:hAnsi="Arial" w:cs="Arial"/>
                <w:sz w:val="20"/>
                <w:szCs w:val="20"/>
                <w:lang w:val="en-US"/>
              </w:rPr>
            </w:pPr>
          </w:p>
          <w:p w14:paraId="1C3483B1"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Corresponding Author</w:t>
            </w:r>
          </w:p>
          <w:p w14:paraId="363AD257" w14:textId="77777777" w:rsidR="002C1883" w:rsidRPr="002C1883" w:rsidRDefault="002C1883" w:rsidP="002C1883">
            <w:pPr>
              <w:rPr>
                <w:rFonts w:ascii="Arial" w:hAnsi="Arial" w:cs="Arial"/>
                <w:sz w:val="20"/>
                <w:szCs w:val="20"/>
                <w:lang w:val="en-US"/>
              </w:rPr>
            </w:pPr>
            <w:r w:rsidRPr="002C1883">
              <w:rPr>
                <w:rFonts w:ascii="Arial" w:hAnsi="Arial" w:cs="Arial"/>
                <w:sz w:val="20"/>
                <w:szCs w:val="20"/>
                <w:lang w:val="en-US"/>
              </w:rPr>
              <w:t>PD Dr. Kai Rejeski, MD</w:t>
            </w:r>
          </w:p>
          <w:p w14:paraId="09A42C66" w14:textId="77777777" w:rsidR="002C1883" w:rsidRPr="002C1883" w:rsidRDefault="002C1883" w:rsidP="002C1883">
            <w:pPr>
              <w:rPr>
                <w:rFonts w:ascii="Arial" w:hAnsi="Arial" w:cs="Arial"/>
                <w:sz w:val="20"/>
                <w:szCs w:val="20"/>
                <w:lang w:val="en-US"/>
              </w:rPr>
            </w:pPr>
            <w:r w:rsidRPr="002C1883">
              <w:rPr>
                <w:rFonts w:ascii="Arial" w:hAnsi="Arial" w:cs="Arial"/>
                <w:sz w:val="20"/>
                <w:szCs w:val="20"/>
                <w:lang w:val="en-US"/>
              </w:rPr>
              <w:t>Adult BMT and Cellular Therapy Service</w:t>
            </w:r>
          </w:p>
          <w:p w14:paraId="7A4801E5" w14:textId="77777777" w:rsidR="002C1883" w:rsidRPr="002C1883" w:rsidRDefault="002C1883" w:rsidP="002C1883">
            <w:pPr>
              <w:rPr>
                <w:rFonts w:ascii="Arial" w:hAnsi="Arial" w:cs="Arial"/>
                <w:sz w:val="20"/>
                <w:szCs w:val="20"/>
                <w:lang w:val="en-US"/>
              </w:rPr>
            </w:pPr>
            <w:r w:rsidRPr="002C1883">
              <w:rPr>
                <w:rFonts w:ascii="Arial" w:hAnsi="Arial" w:cs="Arial"/>
                <w:sz w:val="20"/>
                <w:szCs w:val="20"/>
                <w:lang w:val="en-US"/>
              </w:rPr>
              <w:t>Memorial Sloan Kettering Cancer Center</w:t>
            </w:r>
          </w:p>
          <w:p w14:paraId="377D9AEA" w14:textId="77777777" w:rsidR="002C1883" w:rsidRPr="002C1883" w:rsidRDefault="002C1883" w:rsidP="002C1883">
            <w:pPr>
              <w:rPr>
                <w:rFonts w:ascii="Arial" w:hAnsi="Arial" w:cs="Arial"/>
                <w:sz w:val="20"/>
                <w:szCs w:val="20"/>
                <w:lang w:val="en-US"/>
              </w:rPr>
            </w:pPr>
            <w:r w:rsidRPr="002C1883">
              <w:rPr>
                <w:rFonts w:ascii="Arial" w:hAnsi="Arial" w:cs="Arial"/>
                <w:sz w:val="20"/>
                <w:szCs w:val="20"/>
                <w:lang w:val="en-US"/>
              </w:rPr>
              <w:t xml:space="preserve">1275 York Avenue, New York, NY 10065, USA </w:t>
            </w:r>
          </w:p>
          <w:p w14:paraId="44766AB6" w14:textId="68ACCC10" w:rsidR="002C1883" w:rsidRPr="00A270D8" w:rsidRDefault="002C1883" w:rsidP="002C1883">
            <w:pPr>
              <w:rPr>
                <w:rFonts w:ascii="Arial" w:hAnsi="Arial" w:cs="Arial"/>
                <w:sz w:val="20"/>
                <w:szCs w:val="20"/>
              </w:rPr>
            </w:pPr>
            <w:r w:rsidRPr="002C1883">
              <w:rPr>
                <w:rFonts w:ascii="Arial" w:hAnsi="Arial" w:cs="Arial"/>
                <w:sz w:val="20"/>
                <w:szCs w:val="20"/>
                <w:lang w:val="en-US"/>
              </w:rPr>
              <w:t>Email: rejeskik@mskcc.org</w:t>
            </w:r>
          </w:p>
        </w:tc>
      </w:tr>
      <w:tr w:rsidR="002C1883" w:rsidRPr="00E67C14" w14:paraId="0CD42331" w14:textId="77777777" w:rsidTr="003A27EC">
        <w:tc>
          <w:tcPr>
            <w:tcW w:w="1483" w:type="dxa"/>
          </w:tcPr>
          <w:p w14:paraId="3196FA4C" w14:textId="77777777" w:rsidR="002C1883" w:rsidRPr="00A270D8" w:rsidRDefault="002C1883" w:rsidP="00A43183">
            <w:pPr>
              <w:rPr>
                <w:rFonts w:ascii="Arial" w:hAnsi="Arial" w:cs="Arial"/>
                <w:b/>
                <w:bCs/>
                <w:sz w:val="20"/>
                <w:szCs w:val="20"/>
              </w:rPr>
            </w:pPr>
          </w:p>
        </w:tc>
        <w:tc>
          <w:tcPr>
            <w:tcW w:w="2113" w:type="dxa"/>
          </w:tcPr>
          <w:p w14:paraId="080CFD9F"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Contributions</w:t>
            </w:r>
          </w:p>
        </w:tc>
        <w:tc>
          <w:tcPr>
            <w:tcW w:w="5466" w:type="dxa"/>
          </w:tcPr>
          <w:p w14:paraId="194B0F1F" w14:textId="0C0804D7" w:rsidR="002C1883" w:rsidRDefault="002C1883" w:rsidP="002C1883">
            <w:pPr>
              <w:rPr>
                <w:rFonts w:ascii="Arial" w:hAnsi="Arial" w:cs="Arial"/>
                <w:sz w:val="20"/>
                <w:szCs w:val="20"/>
                <w:lang w:val="en-US"/>
              </w:rPr>
            </w:pPr>
            <w:r w:rsidRPr="002C1883">
              <w:rPr>
                <w:rFonts w:ascii="Arial" w:hAnsi="Arial" w:cs="Arial"/>
                <w:sz w:val="20"/>
                <w:szCs w:val="20"/>
                <w:lang w:val="en-US"/>
              </w:rPr>
              <w:t>DMCDS, TT, KR</w:t>
            </w:r>
            <w:r>
              <w:rPr>
                <w:rFonts w:ascii="Arial" w:hAnsi="Arial" w:cs="Arial"/>
                <w:sz w:val="20"/>
                <w:szCs w:val="20"/>
                <w:lang w:val="en-US"/>
              </w:rPr>
              <w:t xml:space="preserve">: Conceptualization, </w:t>
            </w:r>
            <w:r w:rsidRPr="002C1883">
              <w:rPr>
                <w:rFonts w:ascii="Arial" w:hAnsi="Arial" w:cs="Arial"/>
                <w:sz w:val="20"/>
                <w:szCs w:val="20"/>
                <w:lang w:val="en-US"/>
              </w:rPr>
              <w:t>Investigation</w:t>
            </w:r>
            <w:r>
              <w:rPr>
                <w:rFonts w:ascii="Arial" w:hAnsi="Arial" w:cs="Arial"/>
                <w:sz w:val="20"/>
                <w:szCs w:val="20"/>
                <w:lang w:val="en-US"/>
              </w:rPr>
              <w:t>, Methodology, Manuscript Drafting, Editing.</w:t>
            </w:r>
          </w:p>
          <w:p w14:paraId="756A5F3A" w14:textId="197C497D" w:rsidR="002C1883" w:rsidRPr="00A270D8" w:rsidRDefault="002C1883" w:rsidP="002C1883">
            <w:pPr>
              <w:rPr>
                <w:rFonts w:ascii="Arial" w:hAnsi="Arial" w:cs="Arial"/>
                <w:sz w:val="20"/>
                <w:szCs w:val="20"/>
                <w:lang w:val="en-US"/>
              </w:rPr>
            </w:pPr>
            <w:r>
              <w:rPr>
                <w:rFonts w:ascii="Arial" w:hAnsi="Arial" w:cs="Arial"/>
                <w:sz w:val="20"/>
                <w:szCs w:val="20"/>
                <w:lang w:val="en-US"/>
              </w:rPr>
              <w:t>DMCDS, TT: Formal Analysis and Visualization</w:t>
            </w:r>
            <w:r w:rsidRPr="002C1883">
              <w:rPr>
                <w:rFonts w:ascii="Arial" w:hAnsi="Arial" w:cs="Arial"/>
                <w:sz w:val="20"/>
                <w:szCs w:val="20"/>
                <w:lang w:val="en-US"/>
              </w:rPr>
              <w:t xml:space="preserve"> </w:t>
            </w:r>
          </w:p>
        </w:tc>
      </w:tr>
      <w:tr w:rsidR="002C1883" w:rsidRPr="00E67C14" w14:paraId="5267A5EB" w14:textId="77777777" w:rsidTr="003A27EC">
        <w:tc>
          <w:tcPr>
            <w:tcW w:w="1483" w:type="dxa"/>
          </w:tcPr>
          <w:p w14:paraId="4156D0AA" w14:textId="77777777" w:rsidR="002C1883" w:rsidRPr="00A270D8" w:rsidRDefault="002C1883" w:rsidP="00A43183">
            <w:pPr>
              <w:rPr>
                <w:rFonts w:ascii="Arial" w:hAnsi="Arial" w:cs="Arial"/>
                <w:b/>
                <w:bCs/>
                <w:sz w:val="20"/>
                <w:szCs w:val="20"/>
                <w:lang w:val="en-US"/>
              </w:rPr>
            </w:pPr>
            <w:r w:rsidRPr="00A270D8">
              <w:rPr>
                <w:rFonts w:ascii="Arial" w:hAnsi="Arial" w:cs="Arial"/>
                <w:b/>
                <w:bCs/>
                <w:sz w:val="20"/>
                <w:szCs w:val="20"/>
                <w:lang w:val="en-US"/>
              </w:rPr>
              <w:t>Amendments</w:t>
            </w:r>
          </w:p>
        </w:tc>
        <w:tc>
          <w:tcPr>
            <w:tcW w:w="2113" w:type="dxa"/>
          </w:tcPr>
          <w:p w14:paraId="3A8FD6A3" w14:textId="77777777" w:rsidR="002C1883" w:rsidRPr="00A270D8" w:rsidRDefault="002C1883" w:rsidP="00A43183">
            <w:pPr>
              <w:rPr>
                <w:rFonts w:ascii="Arial" w:hAnsi="Arial" w:cs="Arial"/>
                <w:sz w:val="20"/>
                <w:szCs w:val="20"/>
                <w:lang w:val="en-US"/>
              </w:rPr>
            </w:pPr>
          </w:p>
        </w:tc>
        <w:tc>
          <w:tcPr>
            <w:tcW w:w="5466" w:type="dxa"/>
          </w:tcPr>
          <w:p w14:paraId="3B29ECA1"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This protocol does not represent an amendment.</w:t>
            </w:r>
          </w:p>
        </w:tc>
      </w:tr>
      <w:tr w:rsidR="002C1883" w:rsidRPr="00E67C14" w14:paraId="4A497748" w14:textId="77777777" w:rsidTr="003A27EC">
        <w:tc>
          <w:tcPr>
            <w:tcW w:w="1483" w:type="dxa"/>
          </w:tcPr>
          <w:p w14:paraId="6D550282" w14:textId="77777777" w:rsidR="002C1883" w:rsidRPr="00A270D8" w:rsidRDefault="002C1883" w:rsidP="00A43183">
            <w:pPr>
              <w:rPr>
                <w:rFonts w:ascii="Arial" w:hAnsi="Arial" w:cs="Arial"/>
                <w:b/>
                <w:bCs/>
                <w:sz w:val="20"/>
                <w:szCs w:val="20"/>
                <w:lang w:val="en-US"/>
              </w:rPr>
            </w:pPr>
            <w:r w:rsidRPr="00A270D8">
              <w:rPr>
                <w:rFonts w:ascii="Arial" w:hAnsi="Arial" w:cs="Arial"/>
                <w:b/>
                <w:bCs/>
                <w:sz w:val="20"/>
                <w:szCs w:val="20"/>
                <w:lang w:val="en-US"/>
              </w:rPr>
              <w:t>Support</w:t>
            </w:r>
          </w:p>
        </w:tc>
        <w:tc>
          <w:tcPr>
            <w:tcW w:w="2113" w:type="dxa"/>
          </w:tcPr>
          <w:p w14:paraId="714E22C5"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Sources</w:t>
            </w:r>
          </w:p>
        </w:tc>
        <w:tc>
          <w:tcPr>
            <w:tcW w:w="5466" w:type="dxa"/>
          </w:tcPr>
          <w:p w14:paraId="21EE9CDD" w14:textId="77777777" w:rsidR="002C1883" w:rsidRDefault="008009DF" w:rsidP="00A43183">
            <w:pPr>
              <w:rPr>
                <w:rFonts w:ascii="Arial" w:hAnsi="Arial" w:cs="Arial"/>
                <w:sz w:val="20"/>
                <w:szCs w:val="20"/>
                <w:lang w:val="en-US"/>
              </w:rPr>
            </w:pPr>
            <w:r w:rsidRPr="008009DF">
              <w:rPr>
                <w:rFonts w:ascii="Arial" w:hAnsi="Arial" w:cs="Arial"/>
                <w:sz w:val="20"/>
                <w:szCs w:val="20"/>
                <w:lang w:val="en-US"/>
              </w:rPr>
              <w:t xml:space="preserve">TT, DMCDS and KR received a fellowship from the School of Oncology of the German Cancer Consortium (DKTK). KR acknowledges funding from the Else </w:t>
            </w:r>
            <w:proofErr w:type="spellStart"/>
            <w:r w:rsidRPr="008009DF">
              <w:rPr>
                <w:rFonts w:ascii="Arial" w:hAnsi="Arial" w:cs="Arial"/>
                <w:sz w:val="20"/>
                <w:szCs w:val="20"/>
                <w:lang w:val="en-US"/>
              </w:rPr>
              <w:t>Kröner</w:t>
            </w:r>
            <w:proofErr w:type="spellEnd"/>
            <w:r w:rsidRPr="008009DF">
              <w:rPr>
                <w:rFonts w:ascii="Arial" w:hAnsi="Arial" w:cs="Arial"/>
                <w:sz w:val="20"/>
                <w:szCs w:val="20"/>
                <w:lang w:val="en-US"/>
              </w:rPr>
              <w:t xml:space="preserve"> </w:t>
            </w:r>
            <w:proofErr w:type="spellStart"/>
            <w:r w:rsidRPr="008009DF">
              <w:rPr>
                <w:rFonts w:ascii="Arial" w:hAnsi="Arial" w:cs="Arial"/>
                <w:sz w:val="20"/>
                <w:szCs w:val="20"/>
                <w:lang w:val="en-US"/>
              </w:rPr>
              <w:t>Forschungskolleg</w:t>
            </w:r>
            <w:proofErr w:type="spellEnd"/>
            <w:r w:rsidRPr="008009DF">
              <w:rPr>
                <w:rFonts w:ascii="Arial" w:hAnsi="Arial" w:cs="Arial"/>
                <w:sz w:val="20"/>
                <w:szCs w:val="20"/>
                <w:lang w:val="en-US"/>
              </w:rPr>
              <w:t xml:space="preserve"> (EKFK) within the Munich Clinician Scientist Program (MCSP). This work was supported by a grant within the Gilead Research Scholar Program (to KR) and a grant from the Bruno and Helene </w:t>
            </w:r>
            <w:proofErr w:type="spellStart"/>
            <w:r w:rsidRPr="008009DF">
              <w:rPr>
                <w:rFonts w:ascii="Arial" w:hAnsi="Arial" w:cs="Arial"/>
                <w:sz w:val="20"/>
                <w:szCs w:val="20"/>
                <w:lang w:val="en-US"/>
              </w:rPr>
              <w:t>Jöster</w:t>
            </w:r>
            <w:proofErr w:type="spellEnd"/>
            <w:r w:rsidRPr="008009DF">
              <w:rPr>
                <w:rFonts w:ascii="Arial" w:hAnsi="Arial" w:cs="Arial"/>
                <w:sz w:val="20"/>
                <w:szCs w:val="20"/>
                <w:lang w:val="en-US"/>
              </w:rPr>
              <w:t xml:space="preserve"> Foundation (to KR). We further acknowledge the structural support from the Bavarian Cancer Research Center (BZKF). </w:t>
            </w:r>
          </w:p>
          <w:p w14:paraId="70C94E8C" w14:textId="77777777" w:rsidR="008009DF" w:rsidRDefault="008009DF" w:rsidP="00A43183">
            <w:pPr>
              <w:rPr>
                <w:rFonts w:ascii="Arial" w:hAnsi="Arial" w:cs="Arial"/>
                <w:sz w:val="20"/>
                <w:szCs w:val="20"/>
                <w:lang w:val="en-US"/>
              </w:rPr>
            </w:pPr>
          </w:p>
          <w:p w14:paraId="5D98CEFC" w14:textId="10725F64" w:rsidR="008009DF" w:rsidRPr="00A270D8" w:rsidRDefault="008009DF" w:rsidP="00A43183">
            <w:pPr>
              <w:rPr>
                <w:rFonts w:ascii="Arial" w:hAnsi="Arial" w:cs="Arial"/>
                <w:sz w:val="20"/>
                <w:szCs w:val="20"/>
                <w:lang w:val="en-US"/>
              </w:rPr>
            </w:pPr>
            <w:r>
              <w:rPr>
                <w:rFonts w:ascii="Arial" w:hAnsi="Arial" w:cs="Arial"/>
                <w:sz w:val="20"/>
                <w:szCs w:val="20"/>
                <w:lang w:val="en-US"/>
              </w:rPr>
              <w:t xml:space="preserve">KR further reports following conflicts of interest: </w:t>
            </w:r>
            <w:r w:rsidRPr="008009DF">
              <w:rPr>
                <w:rFonts w:ascii="Arial" w:hAnsi="Arial" w:cs="Arial"/>
                <w:sz w:val="20"/>
                <w:szCs w:val="20"/>
                <w:lang w:val="en-US"/>
              </w:rPr>
              <w:t>Kite/Gilead: Research Funding, Consultancy, Honoraria and travel support; Novartis: Honoraria; BMS/Celgene: Consultancy, Honoraria; Pierre-Fabre: travel support.</w:t>
            </w:r>
          </w:p>
        </w:tc>
      </w:tr>
      <w:tr w:rsidR="002C1883" w:rsidRPr="002C1883" w14:paraId="1246F695" w14:textId="77777777" w:rsidTr="003A27EC">
        <w:tc>
          <w:tcPr>
            <w:tcW w:w="1483" w:type="dxa"/>
          </w:tcPr>
          <w:p w14:paraId="7F71E7E8" w14:textId="77777777" w:rsidR="002C1883" w:rsidRPr="00A270D8" w:rsidRDefault="002C1883" w:rsidP="00A43183">
            <w:pPr>
              <w:rPr>
                <w:rFonts w:ascii="Arial" w:hAnsi="Arial" w:cs="Arial"/>
                <w:b/>
                <w:bCs/>
                <w:sz w:val="20"/>
                <w:szCs w:val="20"/>
                <w:lang w:val="en-US"/>
              </w:rPr>
            </w:pPr>
          </w:p>
        </w:tc>
        <w:tc>
          <w:tcPr>
            <w:tcW w:w="2113" w:type="dxa"/>
          </w:tcPr>
          <w:p w14:paraId="4FDABEEB"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Sponsor</w:t>
            </w:r>
          </w:p>
        </w:tc>
        <w:tc>
          <w:tcPr>
            <w:tcW w:w="5466" w:type="dxa"/>
          </w:tcPr>
          <w:p w14:paraId="15DB1F28" w14:textId="393AD495" w:rsidR="002C1883" w:rsidRPr="00A270D8" w:rsidRDefault="002C1883" w:rsidP="00A43183">
            <w:pPr>
              <w:rPr>
                <w:rFonts w:ascii="Arial" w:hAnsi="Arial" w:cs="Arial"/>
                <w:sz w:val="20"/>
                <w:szCs w:val="20"/>
                <w:lang w:val="en-US"/>
              </w:rPr>
            </w:pPr>
            <w:r>
              <w:rPr>
                <w:rFonts w:ascii="Arial" w:hAnsi="Arial" w:cs="Arial"/>
                <w:sz w:val="20"/>
                <w:szCs w:val="20"/>
                <w:lang w:val="en-US"/>
              </w:rPr>
              <w:t>N/A</w:t>
            </w:r>
          </w:p>
        </w:tc>
      </w:tr>
      <w:tr w:rsidR="002C1883" w:rsidRPr="00A270D8" w14:paraId="7547CE27" w14:textId="77777777" w:rsidTr="003A27EC">
        <w:tc>
          <w:tcPr>
            <w:tcW w:w="1483" w:type="dxa"/>
          </w:tcPr>
          <w:p w14:paraId="476E7CAF" w14:textId="77777777" w:rsidR="002C1883" w:rsidRPr="00A270D8" w:rsidRDefault="002C1883" w:rsidP="00A43183">
            <w:pPr>
              <w:rPr>
                <w:rFonts w:ascii="Arial" w:hAnsi="Arial" w:cs="Arial"/>
                <w:b/>
                <w:bCs/>
                <w:sz w:val="20"/>
                <w:szCs w:val="20"/>
                <w:lang w:val="en-US"/>
              </w:rPr>
            </w:pPr>
          </w:p>
        </w:tc>
        <w:tc>
          <w:tcPr>
            <w:tcW w:w="2113" w:type="dxa"/>
          </w:tcPr>
          <w:p w14:paraId="74B21525"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Role of sponsor or funder</w:t>
            </w:r>
          </w:p>
        </w:tc>
        <w:tc>
          <w:tcPr>
            <w:tcW w:w="5466" w:type="dxa"/>
          </w:tcPr>
          <w:p w14:paraId="6EE228E5"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N/A</w:t>
            </w:r>
          </w:p>
        </w:tc>
      </w:tr>
      <w:tr w:rsidR="002C1883" w:rsidRPr="00E67C14" w14:paraId="1E7A7C59" w14:textId="77777777" w:rsidTr="003A27EC">
        <w:tc>
          <w:tcPr>
            <w:tcW w:w="1483" w:type="dxa"/>
          </w:tcPr>
          <w:p w14:paraId="5EBC9CD6" w14:textId="77777777" w:rsidR="002C1883" w:rsidRPr="00A270D8" w:rsidRDefault="002C1883" w:rsidP="00A43183">
            <w:pPr>
              <w:rPr>
                <w:rFonts w:ascii="Arial" w:hAnsi="Arial" w:cs="Arial"/>
                <w:b/>
                <w:bCs/>
                <w:sz w:val="20"/>
                <w:szCs w:val="20"/>
                <w:lang w:val="en-US"/>
              </w:rPr>
            </w:pPr>
            <w:r w:rsidRPr="00A270D8">
              <w:rPr>
                <w:rFonts w:ascii="Arial" w:hAnsi="Arial" w:cs="Arial"/>
                <w:b/>
                <w:bCs/>
                <w:sz w:val="20"/>
                <w:szCs w:val="20"/>
                <w:lang w:val="en-US"/>
              </w:rPr>
              <w:t>Introduction</w:t>
            </w:r>
          </w:p>
        </w:tc>
        <w:tc>
          <w:tcPr>
            <w:tcW w:w="2113" w:type="dxa"/>
          </w:tcPr>
          <w:p w14:paraId="04D9A286"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Rationale</w:t>
            </w:r>
          </w:p>
        </w:tc>
        <w:tc>
          <w:tcPr>
            <w:tcW w:w="5466" w:type="dxa"/>
          </w:tcPr>
          <w:p w14:paraId="4FDD8636" w14:textId="77777777" w:rsidR="00C32895" w:rsidRPr="00C32895" w:rsidRDefault="00C32895" w:rsidP="00C32895">
            <w:pPr>
              <w:rPr>
                <w:rFonts w:ascii="Arial" w:hAnsi="Arial" w:cs="Arial"/>
                <w:sz w:val="20"/>
                <w:szCs w:val="20"/>
                <w:lang w:val="en-US"/>
              </w:rPr>
            </w:pPr>
            <w:r w:rsidRPr="00C32895">
              <w:rPr>
                <w:rFonts w:ascii="Arial" w:hAnsi="Arial" w:cs="Arial"/>
                <w:sz w:val="20"/>
                <w:szCs w:val="20"/>
                <w:lang w:val="en-US"/>
              </w:rPr>
              <w:t xml:space="preserve">Chimeric antigen receptor (CAR) T-cells directed against the B-cell antigens CD19 and BCMA represent a practice-changing immunotherapy for multiple advanced B-cell malignancies and are being actively explored for several autoimmune diseases.1-7  However, CAR T-cells present with a unique spectrum of toxicities, which typically include cytokine release syndrome (CRS) and immune effector cell-associated neurotoxicity syndrome (ICANS).8-10 Real-world evidence has further highlighted the role of immune </w:t>
            </w:r>
            <w:r w:rsidRPr="00C32895">
              <w:rPr>
                <w:rFonts w:ascii="Arial" w:hAnsi="Arial" w:cs="Arial"/>
                <w:sz w:val="20"/>
                <w:szCs w:val="20"/>
                <w:lang w:val="en-US"/>
              </w:rPr>
              <w:lastRenderedPageBreak/>
              <w:t xml:space="preserve">effector cell-associated hematological toxicity (ICAHT), which represents the most common high-grade toxicity within the first year following CAR-T infusion.11-16  Importantly, profound and prolonged neutropenia can compound the risk for severe infections together with B cell aplasia and hypogammaglobulinemia as expected on-target/off-tumor side effects of B-cell targeting CAR-T therapies.17-23  In rare cases, the profound hyperinflammatory response induced by CAR T-cells can result in the development of secondary hemophagocytic lymphohistiocytosis (HLH ).24-26 In patients with long-term disease remission, secondary malignancies, particularly myeloid neoplasms, can occur.27, 28  </w:t>
            </w:r>
          </w:p>
          <w:p w14:paraId="0072B45E" w14:textId="77777777" w:rsidR="00C32895" w:rsidRPr="00C32895" w:rsidRDefault="00C32895" w:rsidP="00C32895">
            <w:pPr>
              <w:rPr>
                <w:rFonts w:ascii="Arial" w:hAnsi="Arial" w:cs="Arial"/>
                <w:sz w:val="20"/>
                <w:szCs w:val="20"/>
                <w:lang w:val="en-US"/>
              </w:rPr>
            </w:pPr>
          </w:p>
          <w:p w14:paraId="4CB6DE49" w14:textId="6FE99650" w:rsidR="002C1883" w:rsidRPr="00C32895" w:rsidRDefault="00C32895" w:rsidP="00C32895">
            <w:pPr>
              <w:rPr>
                <w:rFonts w:ascii="Arial" w:hAnsi="Arial" w:cs="Arial"/>
                <w:sz w:val="20"/>
                <w:szCs w:val="20"/>
                <w:highlight w:val="yellow"/>
                <w:lang w:val="en-US"/>
              </w:rPr>
            </w:pPr>
            <w:r w:rsidRPr="00C32895">
              <w:rPr>
                <w:rFonts w:ascii="Arial" w:hAnsi="Arial" w:cs="Arial"/>
                <w:sz w:val="20"/>
                <w:szCs w:val="20"/>
                <w:lang w:val="en-US"/>
              </w:rPr>
              <w:t>Taken together, CAR-T-induced side effects can impose a considerable burden on patients with potentially long-lasting sequelae and reduced quality  of life.29 To mitigate the risk of severe toxicity, patients often receive immunosuppressive  agents and supportive therapies that can be detrimental to therapeutic success.30, 31 Indeed, the presence and/or absence of toxicity can be associated with the risk of treatment failure .32-34 Early non-relapse mortality (NRM), commonly defined as death not preceded by recurrent or progressive malignancy, can be a particularly devastating complication of cell therapy.35 Recent real-world efforts have described both incidence rates and potential causes of NRM following CAR-T therapy.13, 14, 19, 20, 36 However, large-scale analyses of NRM across disease entities, CAR products, and treatment settings have not been performed to date – and data regarding underlying causes remains limited. In this meta-analysis, we</w:t>
            </w:r>
            <w:r w:rsidR="00154C13">
              <w:rPr>
                <w:rFonts w:ascii="Arial" w:hAnsi="Arial" w:cs="Arial"/>
                <w:sz w:val="20"/>
                <w:szCs w:val="20"/>
                <w:lang w:val="en-US"/>
              </w:rPr>
              <w:t xml:space="preserve"> want to</w:t>
            </w:r>
            <w:r w:rsidRPr="00C32895">
              <w:rPr>
                <w:rFonts w:ascii="Arial" w:hAnsi="Arial" w:cs="Arial"/>
                <w:sz w:val="20"/>
                <w:szCs w:val="20"/>
                <w:lang w:val="en-US"/>
              </w:rPr>
              <w:t xml:space="preserve"> outline the comparative incidence and causes of NRM across the spectrum of lymphomas and multiple myeloma wherein BCMA- and CD19-directed CAR-T products are currently being utilized.</w:t>
            </w:r>
          </w:p>
        </w:tc>
      </w:tr>
      <w:tr w:rsidR="002C1883" w:rsidRPr="00E67C14" w14:paraId="267CB826" w14:textId="77777777" w:rsidTr="003A27EC">
        <w:tc>
          <w:tcPr>
            <w:tcW w:w="1483" w:type="dxa"/>
          </w:tcPr>
          <w:p w14:paraId="5C013666" w14:textId="77777777" w:rsidR="002C1883" w:rsidRPr="00A270D8" w:rsidRDefault="002C1883" w:rsidP="00A43183">
            <w:pPr>
              <w:rPr>
                <w:rFonts w:ascii="Arial" w:hAnsi="Arial" w:cs="Arial"/>
                <w:b/>
                <w:bCs/>
                <w:sz w:val="20"/>
                <w:szCs w:val="20"/>
                <w:lang w:val="en-US"/>
              </w:rPr>
            </w:pPr>
          </w:p>
        </w:tc>
        <w:tc>
          <w:tcPr>
            <w:tcW w:w="2113" w:type="dxa"/>
          </w:tcPr>
          <w:p w14:paraId="3590DF9E"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Objectives</w:t>
            </w:r>
          </w:p>
        </w:tc>
        <w:tc>
          <w:tcPr>
            <w:tcW w:w="5466" w:type="dxa"/>
          </w:tcPr>
          <w:p w14:paraId="11DF6DD8" w14:textId="20A8D22D" w:rsidR="002C1883" w:rsidRPr="00A270D8" w:rsidRDefault="002C1883" w:rsidP="00C32895">
            <w:pPr>
              <w:rPr>
                <w:rFonts w:ascii="Arial" w:hAnsi="Arial" w:cs="Arial"/>
                <w:sz w:val="20"/>
                <w:szCs w:val="20"/>
                <w:lang w:val="en-US"/>
              </w:rPr>
            </w:pPr>
            <w:r>
              <w:rPr>
                <w:rFonts w:ascii="Arial" w:hAnsi="Arial" w:cs="Arial"/>
                <w:sz w:val="20"/>
                <w:szCs w:val="20"/>
                <w:lang w:val="en-US"/>
              </w:rPr>
              <w:t xml:space="preserve">To determine the non-relapse </w:t>
            </w:r>
            <w:r w:rsidR="00C32895">
              <w:rPr>
                <w:rFonts w:ascii="Arial" w:hAnsi="Arial" w:cs="Arial"/>
                <w:sz w:val="20"/>
                <w:szCs w:val="20"/>
                <w:lang w:val="en-US"/>
              </w:rPr>
              <w:t xml:space="preserve">mortality and causes of death among patients with lymphoma and multiple myeloma treated with CAR-T cells in clinical trials and real-world settings. </w:t>
            </w:r>
            <w:r>
              <w:rPr>
                <w:rFonts w:ascii="Arial" w:hAnsi="Arial" w:cs="Arial"/>
                <w:sz w:val="20"/>
                <w:szCs w:val="20"/>
                <w:lang w:val="en-US"/>
              </w:rPr>
              <w:t xml:space="preserve"> </w:t>
            </w:r>
          </w:p>
          <w:p w14:paraId="4385A8D9" w14:textId="77777777" w:rsidR="002C1883" w:rsidRPr="00A270D8" w:rsidRDefault="002C1883" w:rsidP="00A43183">
            <w:pPr>
              <w:rPr>
                <w:rFonts w:ascii="Arial" w:hAnsi="Arial" w:cs="Arial"/>
                <w:sz w:val="20"/>
                <w:szCs w:val="20"/>
                <w:lang w:val="en-US"/>
              </w:rPr>
            </w:pPr>
          </w:p>
          <w:p w14:paraId="79AB5B34"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Patient/Population:</w:t>
            </w:r>
          </w:p>
          <w:p w14:paraId="42A404A1" w14:textId="77777777" w:rsidR="00C32895" w:rsidRDefault="00C32895" w:rsidP="00A43183">
            <w:pPr>
              <w:rPr>
                <w:rFonts w:ascii="Arial" w:hAnsi="Arial" w:cs="Arial"/>
                <w:sz w:val="20"/>
                <w:szCs w:val="20"/>
                <w:lang w:val="en-US"/>
              </w:rPr>
            </w:pPr>
            <w:r>
              <w:rPr>
                <w:rFonts w:ascii="Arial" w:hAnsi="Arial" w:cs="Arial"/>
                <w:sz w:val="20"/>
                <w:szCs w:val="20"/>
                <w:lang w:val="en-US"/>
              </w:rPr>
              <w:t>Adult patients diagnosed with:</w:t>
            </w:r>
          </w:p>
          <w:p w14:paraId="709F1ECC" w14:textId="77777777" w:rsidR="00C32895" w:rsidRDefault="00C32895" w:rsidP="00C32895">
            <w:pPr>
              <w:pStyle w:val="Listenabsatz"/>
              <w:numPr>
                <w:ilvl w:val="0"/>
                <w:numId w:val="2"/>
              </w:numPr>
              <w:rPr>
                <w:rFonts w:ascii="Arial" w:hAnsi="Arial" w:cs="Arial"/>
                <w:sz w:val="20"/>
                <w:szCs w:val="20"/>
                <w:lang w:val="en-US"/>
              </w:rPr>
            </w:pPr>
            <w:r>
              <w:rPr>
                <w:rFonts w:ascii="Arial" w:hAnsi="Arial" w:cs="Arial"/>
                <w:sz w:val="20"/>
                <w:szCs w:val="20"/>
                <w:lang w:val="en-US"/>
              </w:rPr>
              <w:t>Indolent lymphoma</w:t>
            </w:r>
          </w:p>
          <w:p w14:paraId="216FDEAB" w14:textId="77777777" w:rsidR="00C32895" w:rsidRDefault="00C32895" w:rsidP="00C32895">
            <w:pPr>
              <w:pStyle w:val="Listenabsatz"/>
              <w:numPr>
                <w:ilvl w:val="0"/>
                <w:numId w:val="2"/>
              </w:numPr>
              <w:rPr>
                <w:rFonts w:ascii="Arial" w:hAnsi="Arial" w:cs="Arial"/>
                <w:sz w:val="20"/>
                <w:szCs w:val="20"/>
                <w:lang w:val="en-US"/>
              </w:rPr>
            </w:pPr>
            <w:r>
              <w:rPr>
                <w:rFonts w:ascii="Arial" w:hAnsi="Arial" w:cs="Arial"/>
                <w:sz w:val="20"/>
                <w:szCs w:val="20"/>
                <w:lang w:val="en-US"/>
              </w:rPr>
              <w:t>Large B-cell lymphoma</w:t>
            </w:r>
          </w:p>
          <w:p w14:paraId="5B948667" w14:textId="77777777" w:rsidR="00C32895" w:rsidRDefault="00C32895" w:rsidP="00C32895">
            <w:pPr>
              <w:pStyle w:val="Listenabsatz"/>
              <w:numPr>
                <w:ilvl w:val="0"/>
                <w:numId w:val="2"/>
              </w:numPr>
              <w:rPr>
                <w:rFonts w:ascii="Arial" w:hAnsi="Arial" w:cs="Arial"/>
                <w:sz w:val="20"/>
                <w:szCs w:val="20"/>
                <w:lang w:val="en-US"/>
              </w:rPr>
            </w:pPr>
            <w:r>
              <w:rPr>
                <w:rFonts w:ascii="Arial" w:hAnsi="Arial" w:cs="Arial"/>
                <w:sz w:val="20"/>
                <w:szCs w:val="20"/>
                <w:lang w:val="en-US"/>
              </w:rPr>
              <w:t>Mantle cell lymphoma</w:t>
            </w:r>
          </w:p>
          <w:p w14:paraId="4D4E99F4" w14:textId="77777777" w:rsidR="00C32895" w:rsidRDefault="00C32895" w:rsidP="00C32895">
            <w:pPr>
              <w:pStyle w:val="Listenabsatz"/>
              <w:numPr>
                <w:ilvl w:val="0"/>
                <w:numId w:val="2"/>
              </w:numPr>
              <w:rPr>
                <w:rFonts w:ascii="Arial" w:hAnsi="Arial" w:cs="Arial"/>
                <w:sz w:val="20"/>
                <w:szCs w:val="20"/>
                <w:lang w:val="en-US"/>
              </w:rPr>
            </w:pPr>
            <w:r>
              <w:rPr>
                <w:rFonts w:ascii="Arial" w:hAnsi="Arial" w:cs="Arial"/>
                <w:sz w:val="20"/>
                <w:szCs w:val="20"/>
                <w:lang w:val="en-US"/>
              </w:rPr>
              <w:t>Multiple myeloma</w:t>
            </w:r>
          </w:p>
          <w:p w14:paraId="3DD6D9F2" w14:textId="28E13D35" w:rsidR="002C1883" w:rsidRDefault="00C32895" w:rsidP="00C32895">
            <w:pPr>
              <w:rPr>
                <w:rFonts w:ascii="Arial" w:hAnsi="Arial" w:cs="Arial"/>
                <w:sz w:val="20"/>
                <w:szCs w:val="20"/>
                <w:lang w:val="en-US"/>
              </w:rPr>
            </w:pPr>
            <w:r>
              <w:rPr>
                <w:rFonts w:ascii="Arial" w:hAnsi="Arial" w:cs="Arial"/>
                <w:sz w:val="20"/>
                <w:szCs w:val="20"/>
                <w:lang w:val="en-US"/>
              </w:rPr>
              <w:t>treated with an approved CAR-T product:</w:t>
            </w:r>
          </w:p>
          <w:p w14:paraId="6A0757E7" w14:textId="240A24ED" w:rsidR="00C32895" w:rsidRDefault="00C32895" w:rsidP="00C32895">
            <w:pPr>
              <w:pStyle w:val="Listenabsatz"/>
              <w:numPr>
                <w:ilvl w:val="0"/>
                <w:numId w:val="2"/>
              </w:numPr>
              <w:rPr>
                <w:rFonts w:ascii="Arial" w:hAnsi="Arial" w:cs="Arial"/>
                <w:sz w:val="20"/>
                <w:szCs w:val="20"/>
                <w:lang w:val="en-US"/>
              </w:rPr>
            </w:pPr>
            <w:r>
              <w:rPr>
                <w:rFonts w:ascii="Arial" w:hAnsi="Arial" w:cs="Arial"/>
                <w:sz w:val="20"/>
                <w:szCs w:val="20"/>
                <w:lang w:val="en-US"/>
              </w:rPr>
              <w:t>Tisa-cel</w:t>
            </w:r>
          </w:p>
          <w:p w14:paraId="4DF85769" w14:textId="49E5557B" w:rsidR="00C32895" w:rsidRDefault="00C32895" w:rsidP="00C32895">
            <w:pPr>
              <w:pStyle w:val="Listenabsatz"/>
              <w:numPr>
                <w:ilvl w:val="0"/>
                <w:numId w:val="2"/>
              </w:numPr>
              <w:rPr>
                <w:rFonts w:ascii="Arial" w:hAnsi="Arial" w:cs="Arial"/>
                <w:sz w:val="20"/>
                <w:szCs w:val="20"/>
                <w:lang w:val="en-US"/>
              </w:rPr>
            </w:pPr>
            <w:r>
              <w:rPr>
                <w:rFonts w:ascii="Arial" w:hAnsi="Arial" w:cs="Arial"/>
                <w:sz w:val="20"/>
                <w:szCs w:val="20"/>
                <w:lang w:val="en-US"/>
              </w:rPr>
              <w:t>Axi-cel</w:t>
            </w:r>
          </w:p>
          <w:p w14:paraId="58F37761" w14:textId="12AB8FE5" w:rsidR="00C32895" w:rsidRDefault="00C32895" w:rsidP="00C32895">
            <w:pPr>
              <w:pStyle w:val="Listenabsatz"/>
              <w:numPr>
                <w:ilvl w:val="0"/>
                <w:numId w:val="2"/>
              </w:numPr>
              <w:rPr>
                <w:rFonts w:ascii="Arial" w:hAnsi="Arial" w:cs="Arial"/>
                <w:sz w:val="20"/>
                <w:szCs w:val="20"/>
                <w:lang w:val="en-US"/>
              </w:rPr>
            </w:pPr>
            <w:r>
              <w:rPr>
                <w:rFonts w:ascii="Arial" w:hAnsi="Arial" w:cs="Arial"/>
                <w:sz w:val="20"/>
                <w:szCs w:val="20"/>
                <w:lang w:val="en-US"/>
              </w:rPr>
              <w:t>Liso-cel</w:t>
            </w:r>
          </w:p>
          <w:p w14:paraId="77AED193" w14:textId="613F9872" w:rsidR="00C32895" w:rsidRDefault="00C32895" w:rsidP="00C32895">
            <w:pPr>
              <w:pStyle w:val="Listenabsatz"/>
              <w:numPr>
                <w:ilvl w:val="0"/>
                <w:numId w:val="2"/>
              </w:numPr>
              <w:rPr>
                <w:rFonts w:ascii="Arial" w:hAnsi="Arial" w:cs="Arial"/>
                <w:sz w:val="20"/>
                <w:szCs w:val="20"/>
                <w:lang w:val="en-US"/>
              </w:rPr>
            </w:pPr>
            <w:r>
              <w:rPr>
                <w:rFonts w:ascii="Arial" w:hAnsi="Arial" w:cs="Arial"/>
                <w:sz w:val="20"/>
                <w:szCs w:val="20"/>
                <w:lang w:val="en-US"/>
              </w:rPr>
              <w:t>Ide-</w:t>
            </w:r>
            <w:proofErr w:type="spellStart"/>
            <w:r>
              <w:rPr>
                <w:rFonts w:ascii="Arial" w:hAnsi="Arial" w:cs="Arial"/>
                <w:sz w:val="20"/>
                <w:szCs w:val="20"/>
                <w:lang w:val="en-US"/>
              </w:rPr>
              <w:t>cel</w:t>
            </w:r>
            <w:proofErr w:type="spellEnd"/>
          </w:p>
          <w:p w14:paraId="1FEF53C0" w14:textId="0DA8039C" w:rsidR="00C32895" w:rsidRDefault="00C32895" w:rsidP="00C32895">
            <w:pPr>
              <w:pStyle w:val="Listenabsatz"/>
              <w:numPr>
                <w:ilvl w:val="0"/>
                <w:numId w:val="2"/>
              </w:numPr>
              <w:rPr>
                <w:rFonts w:ascii="Arial" w:hAnsi="Arial" w:cs="Arial"/>
                <w:sz w:val="20"/>
                <w:szCs w:val="20"/>
                <w:lang w:val="en-US"/>
              </w:rPr>
            </w:pPr>
            <w:r>
              <w:rPr>
                <w:rFonts w:ascii="Arial" w:hAnsi="Arial" w:cs="Arial"/>
                <w:sz w:val="20"/>
                <w:szCs w:val="20"/>
                <w:lang w:val="en-US"/>
              </w:rPr>
              <w:t>Cilta-cel</w:t>
            </w:r>
          </w:p>
          <w:p w14:paraId="2F38078E" w14:textId="43E2A672" w:rsidR="002C1883" w:rsidRPr="00C32895" w:rsidRDefault="00C32895" w:rsidP="00A43183">
            <w:pPr>
              <w:pStyle w:val="Listenabsatz"/>
              <w:numPr>
                <w:ilvl w:val="0"/>
                <w:numId w:val="2"/>
              </w:numPr>
              <w:rPr>
                <w:rFonts w:ascii="Arial" w:hAnsi="Arial" w:cs="Arial"/>
                <w:sz w:val="20"/>
                <w:szCs w:val="20"/>
                <w:lang w:val="en-US"/>
              </w:rPr>
            </w:pPr>
            <w:r>
              <w:rPr>
                <w:rFonts w:ascii="Arial" w:hAnsi="Arial" w:cs="Arial"/>
                <w:sz w:val="20"/>
                <w:szCs w:val="20"/>
                <w:lang w:val="en-US"/>
              </w:rPr>
              <w:t>Brexu-cel</w:t>
            </w:r>
          </w:p>
          <w:p w14:paraId="1386A5C2" w14:textId="77777777" w:rsidR="002C1883" w:rsidRPr="00A270D8" w:rsidRDefault="002C1883" w:rsidP="00A43183">
            <w:pPr>
              <w:rPr>
                <w:rFonts w:ascii="Arial" w:hAnsi="Arial" w:cs="Arial"/>
                <w:sz w:val="20"/>
                <w:szCs w:val="20"/>
                <w:lang w:val="en-US"/>
              </w:rPr>
            </w:pPr>
          </w:p>
          <w:p w14:paraId="2F91CEC8"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 xml:space="preserve">Comparison: </w:t>
            </w:r>
          </w:p>
          <w:p w14:paraId="07B69731" w14:textId="4F402554" w:rsidR="002C1883" w:rsidRPr="00A270D8" w:rsidRDefault="00C32895" w:rsidP="00A43183">
            <w:pPr>
              <w:rPr>
                <w:rFonts w:ascii="Arial" w:hAnsi="Arial" w:cs="Arial"/>
                <w:sz w:val="20"/>
                <w:szCs w:val="20"/>
                <w:lang w:val="en-US"/>
              </w:rPr>
            </w:pPr>
            <w:r>
              <w:rPr>
                <w:rFonts w:ascii="Arial" w:hAnsi="Arial" w:cs="Arial"/>
                <w:sz w:val="20"/>
                <w:szCs w:val="20"/>
                <w:lang w:val="en-US"/>
              </w:rPr>
              <w:t xml:space="preserve">Comparison of subgroups based on disease entity, CAR-T product including costimulatory domain, line of therapy, treatment setting. </w:t>
            </w:r>
          </w:p>
          <w:p w14:paraId="02D2DFB0" w14:textId="77777777" w:rsidR="002C1883" w:rsidRPr="00A270D8" w:rsidRDefault="002C1883" w:rsidP="00A43183">
            <w:pPr>
              <w:rPr>
                <w:rFonts w:ascii="Arial" w:hAnsi="Arial" w:cs="Arial"/>
                <w:sz w:val="20"/>
                <w:szCs w:val="20"/>
                <w:lang w:val="en-US"/>
              </w:rPr>
            </w:pPr>
          </w:p>
          <w:p w14:paraId="6EDC0ED8"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Outcomes:</w:t>
            </w:r>
          </w:p>
          <w:p w14:paraId="0B325F3F" w14:textId="55358996" w:rsidR="002C1883" w:rsidRPr="00A270D8" w:rsidRDefault="00C32895" w:rsidP="00A43183">
            <w:pPr>
              <w:rPr>
                <w:rFonts w:ascii="Arial" w:hAnsi="Arial" w:cs="Arial"/>
                <w:sz w:val="20"/>
                <w:szCs w:val="20"/>
                <w:lang w:val="en-US"/>
              </w:rPr>
            </w:pPr>
            <w:r>
              <w:rPr>
                <w:rFonts w:ascii="Arial" w:hAnsi="Arial" w:cs="Arial"/>
                <w:sz w:val="20"/>
                <w:szCs w:val="20"/>
                <w:lang w:val="en-US"/>
              </w:rPr>
              <w:t xml:space="preserve">Non-relapse mortality, </w:t>
            </w:r>
            <w:r w:rsidR="005573DA">
              <w:rPr>
                <w:rFonts w:ascii="Arial" w:hAnsi="Arial" w:cs="Arial"/>
                <w:sz w:val="20"/>
                <w:szCs w:val="20"/>
                <w:lang w:val="en-US"/>
              </w:rPr>
              <w:t>number and</w:t>
            </w:r>
            <w:r>
              <w:rPr>
                <w:rFonts w:ascii="Arial" w:hAnsi="Arial" w:cs="Arial"/>
                <w:sz w:val="20"/>
                <w:szCs w:val="20"/>
                <w:lang w:val="en-US"/>
              </w:rPr>
              <w:t xml:space="preserve"> causes of death.</w:t>
            </w:r>
          </w:p>
        </w:tc>
      </w:tr>
      <w:tr w:rsidR="002C1883" w:rsidRPr="00E67C14" w14:paraId="33FE41DC" w14:textId="77777777" w:rsidTr="003A27EC">
        <w:tc>
          <w:tcPr>
            <w:tcW w:w="1483" w:type="dxa"/>
          </w:tcPr>
          <w:p w14:paraId="19B14F7E" w14:textId="77777777" w:rsidR="002C1883" w:rsidRPr="00A270D8" w:rsidRDefault="002C1883" w:rsidP="00A43183">
            <w:pPr>
              <w:rPr>
                <w:rFonts w:ascii="Arial" w:hAnsi="Arial" w:cs="Arial"/>
                <w:b/>
                <w:bCs/>
                <w:sz w:val="20"/>
                <w:szCs w:val="20"/>
                <w:lang w:val="en-US"/>
              </w:rPr>
            </w:pPr>
            <w:r w:rsidRPr="00A270D8">
              <w:rPr>
                <w:rFonts w:ascii="Arial" w:hAnsi="Arial" w:cs="Arial"/>
                <w:b/>
                <w:bCs/>
                <w:sz w:val="20"/>
                <w:szCs w:val="20"/>
                <w:lang w:val="en-US"/>
              </w:rPr>
              <w:lastRenderedPageBreak/>
              <w:t>Methods</w:t>
            </w:r>
          </w:p>
        </w:tc>
        <w:tc>
          <w:tcPr>
            <w:tcW w:w="2113" w:type="dxa"/>
          </w:tcPr>
          <w:p w14:paraId="42434567"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Eligibility criteria</w:t>
            </w:r>
          </w:p>
        </w:tc>
        <w:tc>
          <w:tcPr>
            <w:tcW w:w="5466" w:type="dxa"/>
          </w:tcPr>
          <w:p w14:paraId="29CA55D7"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 xml:space="preserve">Studies are eligible for the present review when following eligibility criteria are met: </w:t>
            </w:r>
          </w:p>
          <w:p w14:paraId="524BCF47" w14:textId="77777777" w:rsidR="002C1883" w:rsidRPr="00A270D8" w:rsidRDefault="002C1883" w:rsidP="00A43183">
            <w:pPr>
              <w:rPr>
                <w:rFonts w:ascii="Arial" w:hAnsi="Arial" w:cs="Arial"/>
                <w:sz w:val="20"/>
                <w:szCs w:val="20"/>
                <w:lang w:val="en-US"/>
              </w:rPr>
            </w:pPr>
          </w:p>
          <w:p w14:paraId="6C5DC97D" w14:textId="77777777" w:rsidR="00C32895" w:rsidRPr="00C32895" w:rsidRDefault="00C32895" w:rsidP="00C32895">
            <w:pPr>
              <w:rPr>
                <w:rFonts w:ascii="Arial" w:hAnsi="Arial" w:cs="Arial"/>
                <w:sz w:val="20"/>
                <w:szCs w:val="20"/>
                <w:lang w:val="en-US"/>
              </w:rPr>
            </w:pPr>
            <w:r w:rsidRPr="00C32895">
              <w:rPr>
                <w:rFonts w:ascii="Arial" w:hAnsi="Arial" w:cs="Arial"/>
                <w:sz w:val="20"/>
                <w:szCs w:val="20"/>
                <w:lang w:val="en-US"/>
              </w:rPr>
              <w:t>(1) adult cancer patients with either indolent lymphoma (IL), large B-cell lymphoma (LBCL), multiple myeloma (MM) or mantle cell lymphoma (MCL),</w:t>
            </w:r>
          </w:p>
          <w:p w14:paraId="6507AFAD" w14:textId="77777777" w:rsidR="00C32895" w:rsidRPr="00C32895" w:rsidRDefault="00C32895" w:rsidP="00C32895">
            <w:pPr>
              <w:rPr>
                <w:rFonts w:ascii="Arial" w:hAnsi="Arial" w:cs="Arial"/>
                <w:sz w:val="20"/>
                <w:szCs w:val="20"/>
                <w:lang w:val="en-US"/>
              </w:rPr>
            </w:pPr>
            <w:r w:rsidRPr="00C32895">
              <w:rPr>
                <w:rFonts w:ascii="Arial" w:hAnsi="Arial" w:cs="Arial"/>
                <w:sz w:val="20"/>
                <w:szCs w:val="20"/>
                <w:lang w:val="en-US"/>
              </w:rPr>
              <w:t xml:space="preserve">(2) use of CAR-T products approved by the Food and Drug Administration (FDA), </w:t>
            </w:r>
          </w:p>
          <w:p w14:paraId="486D2F94" w14:textId="6396A3C1" w:rsidR="002C1883" w:rsidRDefault="00C32895" w:rsidP="00C679DF">
            <w:pPr>
              <w:rPr>
                <w:rFonts w:ascii="Arial" w:hAnsi="Arial" w:cs="Arial"/>
                <w:sz w:val="20"/>
                <w:szCs w:val="20"/>
                <w:lang w:val="en-US"/>
              </w:rPr>
            </w:pPr>
            <w:r w:rsidRPr="00C32895">
              <w:rPr>
                <w:rFonts w:ascii="Arial" w:hAnsi="Arial" w:cs="Arial"/>
                <w:sz w:val="20"/>
                <w:szCs w:val="20"/>
                <w:lang w:val="en-US"/>
              </w:rPr>
              <w:t>(3) data available on NRM and/or causes of death</w:t>
            </w:r>
            <w:r w:rsidR="00C679DF">
              <w:rPr>
                <w:rFonts w:ascii="Arial" w:hAnsi="Arial" w:cs="Arial"/>
                <w:sz w:val="20"/>
                <w:szCs w:val="20"/>
                <w:lang w:val="en-US"/>
              </w:rPr>
              <w:t>.</w:t>
            </w:r>
          </w:p>
          <w:p w14:paraId="7D95E8AE" w14:textId="77777777" w:rsidR="00C32895" w:rsidRPr="00A270D8" w:rsidRDefault="00C32895" w:rsidP="00C32895">
            <w:pPr>
              <w:rPr>
                <w:rFonts w:ascii="Arial" w:hAnsi="Arial" w:cs="Arial"/>
                <w:sz w:val="20"/>
                <w:szCs w:val="20"/>
                <w:lang w:val="en-US"/>
              </w:rPr>
            </w:pPr>
          </w:p>
          <w:p w14:paraId="1FC7185C" w14:textId="6910419C"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 xml:space="preserve">All published studies until </w:t>
            </w:r>
            <w:r w:rsidR="00C32895">
              <w:rPr>
                <w:rFonts w:ascii="Arial" w:hAnsi="Arial" w:cs="Arial"/>
                <w:sz w:val="20"/>
                <w:szCs w:val="20"/>
                <w:lang w:val="en-US"/>
              </w:rPr>
              <w:t>15/07/</w:t>
            </w:r>
            <w:r w:rsidRPr="00A270D8">
              <w:rPr>
                <w:rFonts w:ascii="Arial" w:hAnsi="Arial" w:cs="Arial"/>
                <w:sz w:val="20"/>
                <w:szCs w:val="20"/>
                <w:lang w:val="en-US"/>
              </w:rPr>
              <w:t>202</w:t>
            </w:r>
            <w:r w:rsidR="00C32895">
              <w:rPr>
                <w:rFonts w:ascii="Arial" w:hAnsi="Arial" w:cs="Arial"/>
                <w:sz w:val="20"/>
                <w:szCs w:val="20"/>
                <w:lang w:val="en-US"/>
              </w:rPr>
              <w:t>3</w:t>
            </w:r>
            <w:r w:rsidRPr="00A270D8">
              <w:rPr>
                <w:rFonts w:ascii="Arial" w:hAnsi="Arial" w:cs="Arial"/>
                <w:sz w:val="20"/>
                <w:szCs w:val="20"/>
                <w:lang w:val="en-US"/>
              </w:rPr>
              <w:t xml:space="preserve"> will be included.</w:t>
            </w:r>
          </w:p>
        </w:tc>
      </w:tr>
      <w:tr w:rsidR="002C1883" w:rsidRPr="00E67C14" w14:paraId="7497934E" w14:textId="77777777" w:rsidTr="003A27EC">
        <w:tc>
          <w:tcPr>
            <w:tcW w:w="1483" w:type="dxa"/>
          </w:tcPr>
          <w:p w14:paraId="3C3176DB" w14:textId="77777777" w:rsidR="002C1883" w:rsidRPr="00A270D8" w:rsidRDefault="002C1883" w:rsidP="00A43183">
            <w:pPr>
              <w:rPr>
                <w:rFonts w:ascii="Arial" w:hAnsi="Arial" w:cs="Arial"/>
                <w:b/>
                <w:bCs/>
                <w:sz w:val="20"/>
                <w:szCs w:val="20"/>
                <w:lang w:val="en-US"/>
              </w:rPr>
            </w:pPr>
          </w:p>
        </w:tc>
        <w:tc>
          <w:tcPr>
            <w:tcW w:w="2113" w:type="dxa"/>
          </w:tcPr>
          <w:p w14:paraId="50A9728B"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Information sources</w:t>
            </w:r>
          </w:p>
        </w:tc>
        <w:tc>
          <w:tcPr>
            <w:tcW w:w="5466" w:type="dxa"/>
          </w:tcPr>
          <w:p w14:paraId="0F9C272D" w14:textId="68F30A69"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 xml:space="preserve">The following electronic data bases will be used: Medline, Embase and </w:t>
            </w:r>
            <w:r w:rsidR="00C32895">
              <w:rPr>
                <w:rFonts w:ascii="Arial" w:hAnsi="Arial" w:cs="Arial"/>
                <w:sz w:val="20"/>
                <w:szCs w:val="20"/>
                <w:lang w:val="en-US"/>
              </w:rPr>
              <w:t>CINAHL (Cochrane)</w:t>
            </w:r>
            <w:r w:rsidRPr="00A270D8">
              <w:rPr>
                <w:rFonts w:ascii="Arial" w:hAnsi="Arial" w:cs="Arial"/>
                <w:sz w:val="20"/>
                <w:szCs w:val="20"/>
                <w:lang w:val="en-US"/>
              </w:rPr>
              <w:t>. Study authors will be contacted, if literature is not accessible.</w:t>
            </w:r>
          </w:p>
        </w:tc>
      </w:tr>
      <w:tr w:rsidR="002C1883" w:rsidRPr="00E67C14" w14:paraId="7F058107" w14:textId="77777777" w:rsidTr="003A27EC">
        <w:tc>
          <w:tcPr>
            <w:tcW w:w="1483" w:type="dxa"/>
          </w:tcPr>
          <w:p w14:paraId="75FB0CBF" w14:textId="77777777" w:rsidR="002C1883" w:rsidRPr="00A270D8" w:rsidRDefault="002C1883" w:rsidP="00A43183">
            <w:pPr>
              <w:rPr>
                <w:rFonts w:ascii="Arial" w:hAnsi="Arial" w:cs="Arial"/>
                <w:b/>
                <w:bCs/>
                <w:sz w:val="20"/>
                <w:szCs w:val="20"/>
                <w:lang w:val="en-US"/>
              </w:rPr>
            </w:pPr>
          </w:p>
        </w:tc>
        <w:tc>
          <w:tcPr>
            <w:tcW w:w="2113" w:type="dxa"/>
          </w:tcPr>
          <w:p w14:paraId="3B24ED81"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Search strategy</w:t>
            </w:r>
          </w:p>
        </w:tc>
        <w:tc>
          <w:tcPr>
            <w:tcW w:w="5466" w:type="dxa"/>
          </w:tcPr>
          <w:p w14:paraId="12B839EB" w14:textId="57A15DED" w:rsidR="002C1883" w:rsidRPr="00EB56D6" w:rsidRDefault="00C32895" w:rsidP="00A43183">
            <w:pPr>
              <w:rPr>
                <w:rFonts w:ascii="Arial" w:hAnsi="Arial" w:cs="Arial"/>
                <w:sz w:val="20"/>
                <w:szCs w:val="20"/>
                <w:lang w:val="en-US"/>
              </w:rPr>
            </w:pPr>
            <w:r>
              <w:rPr>
                <w:rFonts w:ascii="Arial" w:hAnsi="Arial" w:cs="Arial"/>
                <w:sz w:val="20"/>
                <w:szCs w:val="20"/>
                <w:lang w:val="en-US"/>
              </w:rPr>
              <w:t>We will include all randomized phase I-III trials that led to the approval of the specified CAR-T product. In case of publication with longer follow-up times, later reported studies will be use. In addition, we will use the following search strategies to identify real-world studies to be included into the meta-analysis.</w:t>
            </w:r>
          </w:p>
          <w:p w14:paraId="4092ADDC" w14:textId="77777777" w:rsidR="002C1883" w:rsidRPr="00EB56D6" w:rsidRDefault="002C1883" w:rsidP="00A43183">
            <w:pPr>
              <w:rPr>
                <w:rFonts w:ascii="Arial" w:hAnsi="Arial" w:cs="Arial"/>
                <w:sz w:val="20"/>
                <w:szCs w:val="20"/>
                <w:lang w:val="en-US"/>
              </w:rPr>
            </w:pPr>
          </w:p>
          <w:p w14:paraId="5624A152" w14:textId="77777777" w:rsidR="002C1883" w:rsidRPr="00EB56D6" w:rsidRDefault="002C1883" w:rsidP="00A43183">
            <w:pPr>
              <w:rPr>
                <w:rFonts w:ascii="Arial" w:hAnsi="Arial" w:cs="Arial"/>
                <w:sz w:val="20"/>
                <w:szCs w:val="20"/>
                <w:lang w:val="en-US"/>
              </w:rPr>
            </w:pPr>
            <w:r w:rsidRPr="00EB56D6">
              <w:rPr>
                <w:rFonts w:ascii="Arial" w:hAnsi="Arial" w:cs="Arial"/>
                <w:b/>
                <w:bCs/>
                <w:sz w:val="20"/>
                <w:szCs w:val="20"/>
                <w:lang w:val="en-US"/>
              </w:rPr>
              <w:t>MEDLINE</w:t>
            </w:r>
            <w:r w:rsidRPr="00EB56D6">
              <w:rPr>
                <w:rFonts w:ascii="Arial" w:hAnsi="Arial" w:cs="Arial"/>
                <w:sz w:val="20"/>
                <w:szCs w:val="20"/>
                <w:lang w:val="en-US"/>
              </w:rPr>
              <w:t xml:space="preserve"> (via PubMed)</w:t>
            </w:r>
          </w:p>
          <w:p w14:paraId="7BF01122" w14:textId="65FF5088" w:rsidR="002C1883" w:rsidRDefault="00C32895" w:rsidP="00A43183">
            <w:pPr>
              <w:rPr>
                <w:rFonts w:ascii="Arial" w:hAnsi="Arial" w:cs="Arial"/>
                <w:sz w:val="20"/>
                <w:szCs w:val="20"/>
                <w:lang w:val="en-US"/>
              </w:rPr>
            </w:pPr>
            <w:r w:rsidRPr="00C32895">
              <w:rPr>
                <w:rFonts w:ascii="Arial" w:hAnsi="Arial" w:cs="Arial"/>
                <w:sz w:val="20"/>
                <w:szCs w:val="20"/>
                <w:lang w:val="en-US"/>
              </w:rPr>
              <w:t>((((((((((lymphoma[Title/Abstract]) OR myeloma [Title/Abstract]) AND (</w:t>
            </w:r>
            <w:proofErr w:type="spellStart"/>
            <w:r w:rsidRPr="00C32895">
              <w:rPr>
                <w:rFonts w:ascii="Arial" w:hAnsi="Arial" w:cs="Arial"/>
                <w:sz w:val="20"/>
                <w:szCs w:val="20"/>
                <w:lang w:val="en-US"/>
              </w:rPr>
              <w:t>axicabtagene</w:t>
            </w:r>
            <w:proofErr w:type="spellEnd"/>
            <w:r w:rsidRPr="00C32895">
              <w:rPr>
                <w:rFonts w:ascii="Arial" w:hAnsi="Arial" w:cs="Arial"/>
                <w:sz w:val="20"/>
                <w:szCs w:val="20"/>
                <w:lang w:val="en-US"/>
              </w:rPr>
              <w:t>[Title/Abstract])) OR (standard-of-care CD19 CAR-T[Title/Abstract])) OR (</w:t>
            </w:r>
            <w:proofErr w:type="spellStart"/>
            <w:r w:rsidRPr="00C32895">
              <w:rPr>
                <w:rFonts w:ascii="Arial" w:hAnsi="Arial" w:cs="Arial"/>
                <w:sz w:val="20"/>
                <w:szCs w:val="20"/>
                <w:lang w:val="en-US"/>
              </w:rPr>
              <w:t>lisocabtagene</w:t>
            </w:r>
            <w:proofErr w:type="spellEnd"/>
            <w:r w:rsidRPr="00C32895">
              <w:rPr>
                <w:rFonts w:ascii="Arial" w:hAnsi="Arial" w:cs="Arial"/>
                <w:sz w:val="20"/>
                <w:szCs w:val="20"/>
                <w:lang w:val="en-US"/>
              </w:rPr>
              <w:t>[Title/Abstract])) OR (</w:t>
            </w:r>
            <w:proofErr w:type="spellStart"/>
            <w:r w:rsidRPr="00C32895">
              <w:rPr>
                <w:rFonts w:ascii="Arial" w:hAnsi="Arial" w:cs="Arial"/>
                <w:sz w:val="20"/>
                <w:szCs w:val="20"/>
                <w:lang w:val="en-US"/>
              </w:rPr>
              <w:t>idecabtagene</w:t>
            </w:r>
            <w:proofErr w:type="spellEnd"/>
            <w:r w:rsidRPr="00C32895">
              <w:rPr>
                <w:rFonts w:ascii="Arial" w:hAnsi="Arial" w:cs="Arial"/>
                <w:sz w:val="20"/>
                <w:szCs w:val="20"/>
                <w:lang w:val="en-US"/>
              </w:rPr>
              <w:t>[Title/Abstract])) OR (</w:t>
            </w:r>
            <w:proofErr w:type="spellStart"/>
            <w:r w:rsidRPr="00C32895">
              <w:rPr>
                <w:rFonts w:ascii="Arial" w:hAnsi="Arial" w:cs="Arial"/>
                <w:sz w:val="20"/>
                <w:szCs w:val="20"/>
                <w:lang w:val="en-US"/>
              </w:rPr>
              <w:t>tisagenlecleucel</w:t>
            </w:r>
            <w:proofErr w:type="spellEnd"/>
            <w:r w:rsidRPr="00C32895">
              <w:rPr>
                <w:rFonts w:ascii="Arial" w:hAnsi="Arial" w:cs="Arial"/>
                <w:sz w:val="20"/>
                <w:szCs w:val="20"/>
                <w:lang w:val="en-US"/>
              </w:rPr>
              <w:t>[Title/Abstract])) OR (</w:t>
            </w:r>
            <w:proofErr w:type="spellStart"/>
            <w:r w:rsidRPr="00C32895">
              <w:rPr>
                <w:rFonts w:ascii="Arial" w:hAnsi="Arial" w:cs="Arial"/>
                <w:sz w:val="20"/>
                <w:szCs w:val="20"/>
                <w:lang w:val="en-US"/>
              </w:rPr>
              <w:t>brexucabtagene</w:t>
            </w:r>
            <w:proofErr w:type="spellEnd"/>
            <w:r w:rsidRPr="00C32895">
              <w:rPr>
                <w:rFonts w:ascii="Arial" w:hAnsi="Arial" w:cs="Arial"/>
                <w:sz w:val="20"/>
                <w:szCs w:val="20"/>
                <w:lang w:val="en-US"/>
              </w:rPr>
              <w:t>[Title/Abstract])) OR (</w:t>
            </w:r>
            <w:proofErr w:type="spellStart"/>
            <w:r w:rsidRPr="00C32895">
              <w:rPr>
                <w:rFonts w:ascii="Arial" w:hAnsi="Arial" w:cs="Arial"/>
                <w:sz w:val="20"/>
                <w:szCs w:val="20"/>
                <w:lang w:val="en-US"/>
              </w:rPr>
              <w:t>ciltacabtagene</w:t>
            </w:r>
            <w:proofErr w:type="spellEnd"/>
            <w:r w:rsidRPr="00C32895">
              <w:rPr>
                <w:rFonts w:ascii="Arial" w:hAnsi="Arial" w:cs="Arial"/>
                <w:sz w:val="20"/>
                <w:szCs w:val="20"/>
                <w:lang w:val="en-US"/>
              </w:rPr>
              <w:t>[Title/Abstract])) NOT (Review[Publication Type])) NOT (Meta-analysis[Publication Type]) NOT (case reports [Publication Type])</w:t>
            </w:r>
          </w:p>
          <w:p w14:paraId="2B647F8C" w14:textId="77777777" w:rsidR="00C32895" w:rsidRPr="002C1883" w:rsidRDefault="00C32895" w:rsidP="00A43183">
            <w:pPr>
              <w:rPr>
                <w:rFonts w:ascii="Arial" w:hAnsi="Arial" w:cs="Arial"/>
                <w:sz w:val="20"/>
                <w:szCs w:val="20"/>
                <w:lang w:val="en-US"/>
              </w:rPr>
            </w:pPr>
          </w:p>
          <w:p w14:paraId="43CE458E" w14:textId="7F105128" w:rsidR="002C1883" w:rsidRPr="00EB56D6" w:rsidRDefault="002C1883" w:rsidP="00A43183">
            <w:pPr>
              <w:rPr>
                <w:rFonts w:ascii="Arial" w:eastAsia="Times New Roman" w:hAnsi="Arial" w:cs="Arial"/>
                <w:sz w:val="20"/>
                <w:szCs w:val="20"/>
                <w:lang w:val="en-US" w:eastAsia="de-DE"/>
              </w:rPr>
            </w:pPr>
            <w:r w:rsidRPr="00EB56D6">
              <w:rPr>
                <w:rFonts w:ascii="Arial" w:eastAsia="Times New Roman" w:hAnsi="Arial" w:cs="Arial"/>
                <w:b/>
                <w:sz w:val="20"/>
                <w:szCs w:val="20"/>
                <w:lang w:val="en-US" w:eastAsia="de-DE"/>
              </w:rPr>
              <w:t>Embase</w:t>
            </w:r>
          </w:p>
          <w:p w14:paraId="28EB3F87" w14:textId="77777777" w:rsidR="00C32895" w:rsidRDefault="00C32895" w:rsidP="00A43183">
            <w:pPr>
              <w:rPr>
                <w:rFonts w:ascii="Arial" w:hAnsi="Arial" w:cs="Arial"/>
                <w:sz w:val="20"/>
                <w:szCs w:val="20"/>
                <w:lang w:val="en-US"/>
              </w:rPr>
            </w:pPr>
            <w:r w:rsidRPr="00C32895">
              <w:rPr>
                <w:rFonts w:ascii="Arial" w:hAnsi="Arial" w:cs="Arial"/>
                <w:sz w:val="20"/>
                <w:szCs w:val="20"/>
                <w:lang w:val="en-US"/>
              </w:rPr>
              <w:t>((</w:t>
            </w:r>
            <w:proofErr w:type="spellStart"/>
            <w:proofErr w:type="gramStart"/>
            <w:r w:rsidRPr="00C32895">
              <w:rPr>
                <w:rFonts w:ascii="Arial" w:hAnsi="Arial" w:cs="Arial"/>
                <w:sz w:val="20"/>
                <w:szCs w:val="20"/>
                <w:lang w:val="en-US"/>
              </w:rPr>
              <w:t>myeloma:ab</w:t>
            </w:r>
            <w:proofErr w:type="gramEnd"/>
            <w:r w:rsidRPr="00C32895">
              <w:rPr>
                <w:rFonts w:ascii="Arial" w:hAnsi="Arial" w:cs="Arial"/>
                <w:sz w:val="20"/>
                <w:szCs w:val="20"/>
                <w:lang w:val="en-US"/>
              </w:rPr>
              <w:t>,ti</w:t>
            </w:r>
            <w:proofErr w:type="spellEnd"/>
            <w:r w:rsidRPr="00C32895">
              <w:rPr>
                <w:rFonts w:ascii="Arial" w:hAnsi="Arial" w:cs="Arial"/>
                <w:sz w:val="20"/>
                <w:szCs w:val="20"/>
                <w:lang w:val="en-US"/>
              </w:rPr>
              <w:t xml:space="preserve"> OR </w:t>
            </w:r>
            <w:proofErr w:type="spellStart"/>
            <w:r w:rsidRPr="00C32895">
              <w:rPr>
                <w:rFonts w:ascii="Arial" w:hAnsi="Arial" w:cs="Arial"/>
                <w:sz w:val="20"/>
                <w:szCs w:val="20"/>
                <w:lang w:val="en-US"/>
              </w:rPr>
              <w:t>lymphoma:ab,ti</w:t>
            </w:r>
            <w:proofErr w:type="spellEnd"/>
            <w:r w:rsidRPr="00C32895">
              <w:rPr>
                <w:rFonts w:ascii="Arial" w:hAnsi="Arial" w:cs="Arial"/>
                <w:sz w:val="20"/>
                <w:szCs w:val="20"/>
                <w:lang w:val="en-US"/>
              </w:rPr>
              <w:t xml:space="preserve">) AND </w:t>
            </w:r>
            <w:proofErr w:type="spellStart"/>
            <w:r w:rsidRPr="00C32895">
              <w:rPr>
                <w:rFonts w:ascii="Arial" w:hAnsi="Arial" w:cs="Arial"/>
                <w:sz w:val="20"/>
                <w:szCs w:val="20"/>
                <w:lang w:val="en-US"/>
              </w:rPr>
              <w:t>axicabtagene:ab,ti</w:t>
            </w:r>
            <w:proofErr w:type="spellEnd"/>
            <w:r w:rsidRPr="00C32895">
              <w:rPr>
                <w:rFonts w:ascii="Arial" w:hAnsi="Arial" w:cs="Arial"/>
                <w:sz w:val="20"/>
                <w:szCs w:val="20"/>
                <w:lang w:val="en-US"/>
              </w:rPr>
              <w:t xml:space="preserve"> OR 'standard-of-care cd19 car-t':</w:t>
            </w:r>
            <w:proofErr w:type="spellStart"/>
            <w:r w:rsidRPr="00C32895">
              <w:rPr>
                <w:rFonts w:ascii="Arial" w:hAnsi="Arial" w:cs="Arial"/>
                <w:sz w:val="20"/>
                <w:szCs w:val="20"/>
                <w:lang w:val="en-US"/>
              </w:rPr>
              <w:t>ab,ti</w:t>
            </w:r>
            <w:proofErr w:type="spellEnd"/>
            <w:r w:rsidRPr="00C32895">
              <w:rPr>
                <w:rFonts w:ascii="Arial" w:hAnsi="Arial" w:cs="Arial"/>
                <w:sz w:val="20"/>
                <w:szCs w:val="20"/>
                <w:lang w:val="en-US"/>
              </w:rPr>
              <w:t xml:space="preserve"> OR </w:t>
            </w:r>
            <w:proofErr w:type="spellStart"/>
            <w:r w:rsidRPr="00C32895">
              <w:rPr>
                <w:rFonts w:ascii="Arial" w:hAnsi="Arial" w:cs="Arial"/>
                <w:sz w:val="20"/>
                <w:szCs w:val="20"/>
                <w:lang w:val="en-US"/>
              </w:rPr>
              <w:t>lisocabtagene:ab,ti</w:t>
            </w:r>
            <w:proofErr w:type="spellEnd"/>
            <w:r w:rsidRPr="00C32895">
              <w:rPr>
                <w:rFonts w:ascii="Arial" w:hAnsi="Arial" w:cs="Arial"/>
                <w:sz w:val="20"/>
                <w:szCs w:val="20"/>
                <w:lang w:val="en-US"/>
              </w:rPr>
              <w:t xml:space="preserve"> OR </w:t>
            </w:r>
            <w:proofErr w:type="spellStart"/>
            <w:r w:rsidRPr="00C32895">
              <w:rPr>
                <w:rFonts w:ascii="Arial" w:hAnsi="Arial" w:cs="Arial"/>
                <w:sz w:val="20"/>
                <w:szCs w:val="20"/>
                <w:lang w:val="en-US"/>
              </w:rPr>
              <w:t>idecabtagene:ab,ti</w:t>
            </w:r>
            <w:proofErr w:type="spellEnd"/>
            <w:r w:rsidRPr="00C32895">
              <w:rPr>
                <w:rFonts w:ascii="Arial" w:hAnsi="Arial" w:cs="Arial"/>
                <w:sz w:val="20"/>
                <w:szCs w:val="20"/>
                <w:lang w:val="en-US"/>
              </w:rPr>
              <w:t xml:space="preserve"> OR </w:t>
            </w:r>
            <w:proofErr w:type="spellStart"/>
            <w:r w:rsidRPr="00C32895">
              <w:rPr>
                <w:rFonts w:ascii="Arial" w:hAnsi="Arial" w:cs="Arial"/>
                <w:sz w:val="20"/>
                <w:szCs w:val="20"/>
                <w:lang w:val="en-US"/>
              </w:rPr>
              <w:t>tisagenlecleucel:ab,ti</w:t>
            </w:r>
            <w:proofErr w:type="spellEnd"/>
            <w:r w:rsidRPr="00C32895">
              <w:rPr>
                <w:rFonts w:ascii="Arial" w:hAnsi="Arial" w:cs="Arial"/>
                <w:sz w:val="20"/>
                <w:szCs w:val="20"/>
                <w:lang w:val="en-US"/>
              </w:rPr>
              <w:t xml:space="preserve"> OR </w:t>
            </w:r>
            <w:proofErr w:type="spellStart"/>
            <w:r w:rsidRPr="00C32895">
              <w:rPr>
                <w:rFonts w:ascii="Arial" w:hAnsi="Arial" w:cs="Arial"/>
                <w:sz w:val="20"/>
                <w:szCs w:val="20"/>
                <w:lang w:val="en-US"/>
              </w:rPr>
              <w:t>brexucabtagene:ab,ti</w:t>
            </w:r>
            <w:proofErr w:type="spellEnd"/>
            <w:r w:rsidRPr="00C32895">
              <w:rPr>
                <w:rFonts w:ascii="Arial" w:hAnsi="Arial" w:cs="Arial"/>
                <w:sz w:val="20"/>
                <w:szCs w:val="20"/>
                <w:lang w:val="en-US"/>
              </w:rPr>
              <w:t xml:space="preserve"> OR </w:t>
            </w:r>
            <w:proofErr w:type="spellStart"/>
            <w:r w:rsidRPr="00C32895">
              <w:rPr>
                <w:rFonts w:ascii="Arial" w:hAnsi="Arial" w:cs="Arial"/>
                <w:sz w:val="20"/>
                <w:szCs w:val="20"/>
                <w:lang w:val="en-US"/>
              </w:rPr>
              <w:t>ciltacabtagene:ab,ti</w:t>
            </w:r>
            <w:proofErr w:type="spellEnd"/>
            <w:r w:rsidRPr="00C32895">
              <w:rPr>
                <w:rFonts w:ascii="Arial" w:hAnsi="Arial" w:cs="Arial"/>
                <w:sz w:val="20"/>
                <w:szCs w:val="20"/>
                <w:lang w:val="en-US"/>
              </w:rPr>
              <w:t xml:space="preserve">) NOT </w:t>
            </w:r>
            <w:proofErr w:type="spellStart"/>
            <w:r w:rsidRPr="00C32895">
              <w:rPr>
                <w:rFonts w:ascii="Arial" w:hAnsi="Arial" w:cs="Arial"/>
                <w:sz w:val="20"/>
                <w:szCs w:val="20"/>
                <w:lang w:val="en-US"/>
              </w:rPr>
              <w:t>review:it</w:t>
            </w:r>
            <w:proofErr w:type="spellEnd"/>
            <w:r w:rsidRPr="00C32895">
              <w:rPr>
                <w:rFonts w:ascii="Arial" w:hAnsi="Arial" w:cs="Arial"/>
                <w:sz w:val="20"/>
                <w:szCs w:val="20"/>
                <w:lang w:val="en-US"/>
              </w:rPr>
              <w:t xml:space="preserve"> NOT '</w:t>
            </w:r>
            <w:proofErr w:type="spellStart"/>
            <w:r w:rsidRPr="00C32895">
              <w:rPr>
                <w:rFonts w:ascii="Arial" w:hAnsi="Arial" w:cs="Arial"/>
                <w:sz w:val="20"/>
                <w:szCs w:val="20"/>
                <w:lang w:val="en-US"/>
              </w:rPr>
              <w:t>meta analysis</w:t>
            </w:r>
            <w:proofErr w:type="spellEnd"/>
            <w:r w:rsidRPr="00C32895">
              <w:rPr>
                <w:rFonts w:ascii="Arial" w:hAnsi="Arial" w:cs="Arial"/>
                <w:sz w:val="20"/>
                <w:szCs w:val="20"/>
                <w:lang w:val="en-US"/>
              </w:rPr>
              <w:t xml:space="preserve">':it NOT 'case </w:t>
            </w:r>
            <w:proofErr w:type="spellStart"/>
            <w:r w:rsidRPr="00C32895">
              <w:rPr>
                <w:rFonts w:ascii="Arial" w:hAnsi="Arial" w:cs="Arial"/>
                <w:sz w:val="20"/>
                <w:szCs w:val="20"/>
                <w:lang w:val="en-US"/>
              </w:rPr>
              <w:t>reports':it</w:t>
            </w:r>
            <w:proofErr w:type="spellEnd"/>
            <w:r w:rsidRPr="00C32895">
              <w:rPr>
                <w:rFonts w:ascii="Arial" w:hAnsi="Arial" w:cs="Arial"/>
                <w:sz w:val="20"/>
                <w:szCs w:val="20"/>
                <w:lang w:val="en-US"/>
              </w:rPr>
              <w:t xml:space="preserve"> NOT </w:t>
            </w:r>
            <w:proofErr w:type="spellStart"/>
            <w:r w:rsidRPr="00C32895">
              <w:rPr>
                <w:rFonts w:ascii="Arial" w:hAnsi="Arial" w:cs="Arial"/>
                <w:sz w:val="20"/>
                <w:szCs w:val="20"/>
                <w:lang w:val="en-US"/>
              </w:rPr>
              <w:t>medline</w:t>
            </w:r>
            <w:proofErr w:type="spellEnd"/>
            <w:r w:rsidRPr="00C32895">
              <w:rPr>
                <w:rFonts w:ascii="Arial" w:hAnsi="Arial" w:cs="Arial"/>
                <w:sz w:val="20"/>
                <w:szCs w:val="20"/>
                <w:lang w:val="en-US"/>
              </w:rPr>
              <w:t xml:space="preserve"> NOT 'conference abstract'/it</w:t>
            </w:r>
          </w:p>
          <w:p w14:paraId="2CB8FDEA" w14:textId="77777777" w:rsidR="00C32895" w:rsidRDefault="00C32895" w:rsidP="00A43183">
            <w:pPr>
              <w:rPr>
                <w:rFonts w:ascii="Arial" w:hAnsi="Arial" w:cs="Arial"/>
                <w:b/>
                <w:sz w:val="20"/>
                <w:szCs w:val="20"/>
                <w:lang w:val="en-US"/>
              </w:rPr>
            </w:pPr>
          </w:p>
          <w:p w14:paraId="3B822829" w14:textId="37442F41" w:rsidR="002C1883" w:rsidRPr="00EB56D6" w:rsidRDefault="00C32895" w:rsidP="00A43183">
            <w:pPr>
              <w:rPr>
                <w:rFonts w:ascii="Arial" w:hAnsi="Arial" w:cs="Arial"/>
                <w:sz w:val="20"/>
                <w:szCs w:val="20"/>
                <w:lang w:val="en-US"/>
              </w:rPr>
            </w:pPr>
            <w:r>
              <w:rPr>
                <w:rFonts w:ascii="Arial" w:hAnsi="Arial" w:cs="Arial"/>
                <w:b/>
                <w:sz w:val="20"/>
                <w:szCs w:val="20"/>
                <w:lang w:val="en-US"/>
              </w:rPr>
              <w:t>CIINAHL</w:t>
            </w:r>
            <w:r w:rsidR="002C1883" w:rsidRPr="00EB56D6">
              <w:rPr>
                <w:rFonts w:ascii="Arial" w:hAnsi="Arial" w:cs="Arial"/>
                <w:sz w:val="20"/>
                <w:szCs w:val="20"/>
                <w:lang w:val="en-US"/>
              </w:rPr>
              <w:t xml:space="preserve"> in the Cochrane Library </w:t>
            </w:r>
          </w:p>
          <w:p w14:paraId="3F281048" w14:textId="19180251" w:rsidR="002C1883" w:rsidRPr="00C32895" w:rsidRDefault="00C32895" w:rsidP="00A43183">
            <w:pPr>
              <w:spacing w:after="160" w:line="259" w:lineRule="auto"/>
              <w:rPr>
                <w:rFonts w:ascii="Arial" w:hAnsi="Arial" w:cs="Arial"/>
                <w:sz w:val="20"/>
                <w:szCs w:val="20"/>
                <w:lang w:val="en-US"/>
              </w:rPr>
            </w:pPr>
            <w:r w:rsidRPr="00C32895">
              <w:rPr>
                <w:rFonts w:ascii="Arial" w:hAnsi="Arial" w:cs="Arial"/>
                <w:sz w:val="20"/>
                <w:szCs w:val="20"/>
                <w:lang w:val="en-US"/>
              </w:rPr>
              <w:t>((myeloma</w:t>
            </w:r>
            <w:proofErr w:type="gramStart"/>
            <w:r w:rsidRPr="00C32895">
              <w:rPr>
                <w:rFonts w:ascii="Arial" w:hAnsi="Arial" w:cs="Arial"/>
                <w:sz w:val="20"/>
                <w:szCs w:val="20"/>
                <w:lang w:val="en-US"/>
              </w:rPr>
              <w:t>):</w:t>
            </w:r>
            <w:proofErr w:type="spellStart"/>
            <w:r w:rsidRPr="00C32895">
              <w:rPr>
                <w:rFonts w:ascii="Arial" w:hAnsi="Arial" w:cs="Arial"/>
                <w:sz w:val="20"/>
                <w:szCs w:val="20"/>
                <w:lang w:val="en-US"/>
              </w:rPr>
              <w:t>ti</w:t>
            </w:r>
            <w:proofErr w:type="gramEnd"/>
            <w:r w:rsidRPr="00C32895">
              <w:rPr>
                <w:rFonts w:ascii="Arial" w:hAnsi="Arial" w:cs="Arial"/>
                <w:sz w:val="20"/>
                <w:szCs w:val="20"/>
                <w:lang w:val="en-US"/>
              </w:rPr>
              <w:t>,ab,kw</w:t>
            </w:r>
            <w:proofErr w:type="spellEnd"/>
            <w:r w:rsidRPr="00C32895">
              <w:rPr>
                <w:rFonts w:ascii="Arial" w:hAnsi="Arial" w:cs="Arial"/>
                <w:sz w:val="20"/>
                <w:szCs w:val="20"/>
                <w:lang w:val="en-US"/>
              </w:rPr>
              <w:t xml:space="preserve"> OR (lymphoma):</w:t>
            </w:r>
            <w:proofErr w:type="spellStart"/>
            <w:r w:rsidRPr="00C32895">
              <w:rPr>
                <w:rFonts w:ascii="Arial" w:hAnsi="Arial" w:cs="Arial"/>
                <w:sz w:val="20"/>
                <w:szCs w:val="20"/>
                <w:lang w:val="en-US"/>
              </w:rPr>
              <w:t>ti,ab,kw</w:t>
            </w:r>
            <w:proofErr w:type="spellEnd"/>
            <w:r w:rsidRPr="00C32895">
              <w:rPr>
                <w:rFonts w:ascii="Arial" w:hAnsi="Arial" w:cs="Arial"/>
                <w:sz w:val="20"/>
                <w:szCs w:val="20"/>
                <w:lang w:val="en-US"/>
              </w:rPr>
              <w:t>) AND ((</w:t>
            </w:r>
            <w:proofErr w:type="spellStart"/>
            <w:r w:rsidRPr="00C32895">
              <w:rPr>
                <w:rFonts w:ascii="Arial" w:hAnsi="Arial" w:cs="Arial"/>
                <w:sz w:val="20"/>
                <w:szCs w:val="20"/>
                <w:lang w:val="en-US"/>
              </w:rPr>
              <w:t>axicabtagene</w:t>
            </w:r>
            <w:proofErr w:type="spellEnd"/>
            <w:r w:rsidRPr="00C32895">
              <w:rPr>
                <w:rFonts w:ascii="Arial" w:hAnsi="Arial" w:cs="Arial"/>
                <w:sz w:val="20"/>
                <w:szCs w:val="20"/>
                <w:lang w:val="en-US"/>
              </w:rPr>
              <w:t>):</w:t>
            </w:r>
            <w:proofErr w:type="spellStart"/>
            <w:r w:rsidRPr="00C32895">
              <w:rPr>
                <w:rFonts w:ascii="Arial" w:hAnsi="Arial" w:cs="Arial"/>
                <w:sz w:val="20"/>
                <w:szCs w:val="20"/>
                <w:lang w:val="en-US"/>
              </w:rPr>
              <w:t>ti,ab,kw</w:t>
            </w:r>
            <w:proofErr w:type="spellEnd"/>
            <w:r w:rsidRPr="00C32895">
              <w:rPr>
                <w:rFonts w:ascii="Arial" w:hAnsi="Arial" w:cs="Arial"/>
                <w:sz w:val="20"/>
                <w:szCs w:val="20"/>
                <w:lang w:val="en-US"/>
              </w:rPr>
              <w:t xml:space="preserve"> OR ("standard-of-care cd19 car-t"):</w:t>
            </w:r>
            <w:proofErr w:type="spellStart"/>
            <w:r w:rsidRPr="00C32895">
              <w:rPr>
                <w:rFonts w:ascii="Arial" w:hAnsi="Arial" w:cs="Arial"/>
                <w:sz w:val="20"/>
                <w:szCs w:val="20"/>
                <w:lang w:val="en-US"/>
              </w:rPr>
              <w:t>ti,ab,kw</w:t>
            </w:r>
            <w:proofErr w:type="spellEnd"/>
            <w:r w:rsidRPr="00C32895">
              <w:rPr>
                <w:rFonts w:ascii="Arial" w:hAnsi="Arial" w:cs="Arial"/>
                <w:sz w:val="20"/>
                <w:szCs w:val="20"/>
                <w:lang w:val="en-US"/>
              </w:rPr>
              <w:t xml:space="preserve"> OR (</w:t>
            </w:r>
            <w:proofErr w:type="spellStart"/>
            <w:r w:rsidRPr="00C32895">
              <w:rPr>
                <w:rFonts w:ascii="Arial" w:hAnsi="Arial" w:cs="Arial"/>
                <w:sz w:val="20"/>
                <w:szCs w:val="20"/>
                <w:lang w:val="en-US"/>
              </w:rPr>
              <w:t>lisocabtagene</w:t>
            </w:r>
            <w:proofErr w:type="spellEnd"/>
            <w:r w:rsidRPr="00C32895">
              <w:rPr>
                <w:rFonts w:ascii="Arial" w:hAnsi="Arial" w:cs="Arial"/>
                <w:sz w:val="20"/>
                <w:szCs w:val="20"/>
                <w:lang w:val="en-US"/>
              </w:rPr>
              <w:t>):</w:t>
            </w:r>
            <w:proofErr w:type="spellStart"/>
            <w:r w:rsidRPr="00C32895">
              <w:rPr>
                <w:rFonts w:ascii="Arial" w:hAnsi="Arial" w:cs="Arial"/>
                <w:sz w:val="20"/>
                <w:szCs w:val="20"/>
                <w:lang w:val="en-US"/>
              </w:rPr>
              <w:t>ti,ab,kw</w:t>
            </w:r>
            <w:proofErr w:type="spellEnd"/>
            <w:r w:rsidRPr="00C32895">
              <w:rPr>
                <w:rFonts w:ascii="Arial" w:hAnsi="Arial" w:cs="Arial"/>
                <w:sz w:val="20"/>
                <w:szCs w:val="20"/>
                <w:lang w:val="en-US"/>
              </w:rPr>
              <w:t xml:space="preserve"> OR (</w:t>
            </w:r>
            <w:proofErr w:type="spellStart"/>
            <w:r w:rsidRPr="00C32895">
              <w:rPr>
                <w:rFonts w:ascii="Arial" w:hAnsi="Arial" w:cs="Arial"/>
                <w:sz w:val="20"/>
                <w:szCs w:val="20"/>
                <w:lang w:val="en-US"/>
              </w:rPr>
              <w:t>idecabtagene</w:t>
            </w:r>
            <w:proofErr w:type="spellEnd"/>
            <w:r w:rsidRPr="00C32895">
              <w:rPr>
                <w:rFonts w:ascii="Arial" w:hAnsi="Arial" w:cs="Arial"/>
                <w:sz w:val="20"/>
                <w:szCs w:val="20"/>
                <w:lang w:val="en-US"/>
              </w:rPr>
              <w:t>):</w:t>
            </w:r>
            <w:proofErr w:type="spellStart"/>
            <w:r w:rsidRPr="00C32895">
              <w:rPr>
                <w:rFonts w:ascii="Arial" w:hAnsi="Arial" w:cs="Arial"/>
                <w:sz w:val="20"/>
                <w:szCs w:val="20"/>
                <w:lang w:val="en-US"/>
              </w:rPr>
              <w:t>ti,ab,kw</w:t>
            </w:r>
            <w:proofErr w:type="spellEnd"/>
            <w:r w:rsidRPr="00C32895">
              <w:rPr>
                <w:rFonts w:ascii="Arial" w:hAnsi="Arial" w:cs="Arial"/>
                <w:sz w:val="20"/>
                <w:szCs w:val="20"/>
                <w:lang w:val="en-US"/>
              </w:rPr>
              <w:t xml:space="preserve"> OR (</w:t>
            </w:r>
            <w:proofErr w:type="spellStart"/>
            <w:r w:rsidRPr="00C32895">
              <w:rPr>
                <w:rFonts w:ascii="Arial" w:hAnsi="Arial" w:cs="Arial"/>
                <w:sz w:val="20"/>
                <w:szCs w:val="20"/>
                <w:lang w:val="en-US"/>
              </w:rPr>
              <w:t>tisagenlecleucel</w:t>
            </w:r>
            <w:proofErr w:type="spellEnd"/>
            <w:r w:rsidRPr="00C32895">
              <w:rPr>
                <w:rFonts w:ascii="Arial" w:hAnsi="Arial" w:cs="Arial"/>
                <w:sz w:val="20"/>
                <w:szCs w:val="20"/>
                <w:lang w:val="en-US"/>
              </w:rPr>
              <w:t>):</w:t>
            </w:r>
            <w:proofErr w:type="spellStart"/>
            <w:r w:rsidRPr="00C32895">
              <w:rPr>
                <w:rFonts w:ascii="Arial" w:hAnsi="Arial" w:cs="Arial"/>
                <w:sz w:val="20"/>
                <w:szCs w:val="20"/>
                <w:lang w:val="en-US"/>
              </w:rPr>
              <w:t>ti,ab,kw</w:t>
            </w:r>
            <w:proofErr w:type="spellEnd"/>
            <w:r w:rsidRPr="00C32895">
              <w:rPr>
                <w:rFonts w:ascii="Arial" w:hAnsi="Arial" w:cs="Arial"/>
                <w:sz w:val="20"/>
                <w:szCs w:val="20"/>
                <w:lang w:val="en-US"/>
              </w:rPr>
              <w:t xml:space="preserve"> OR (</w:t>
            </w:r>
            <w:proofErr w:type="spellStart"/>
            <w:r w:rsidRPr="00C32895">
              <w:rPr>
                <w:rFonts w:ascii="Arial" w:hAnsi="Arial" w:cs="Arial"/>
                <w:sz w:val="20"/>
                <w:szCs w:val="20"/>
                <w:lang w:val="en-US"/>
              </w:rPr>
              <w:t>brexucabtagene</w:t>
            </w:r>
            <w:proofErr w:type="spellEnd"/>
            <w:r w:rsidRPr="00C32895">
              <w:rPr>
                <w:rFonts w:ascii="Arial" w:hAnsi="Arial" w:cs="Arial"/>
                <w:sz w:val="20"/>
                <w:szCs w:val="20"/>
                <w:lang w:val="en-US"/>
              </w:rPr>
              <w:t>):</w:t>
            </w:r>
            <w:proofErr w:type="spellStart"/>
            <w:r w:rsidRPr="00C32895">
              <w:rPr>
                <w:rFonts w:ascii="Arial" w:hAnsi="Arial" w:cs="Arial"/>
                <w:sz w:val="20"/>
                <w:szCs w:val="20"/>
                <w:lang w:val="en-US"/>
              </w:rPr>
              <w:t>ti,ab,kw</w:t>
            </w:r>
            <w:proofErr w:type="spellEnd"/>
            <w:r w:rsidRPr="00C32895">
              <w:rPr>
                <w:rFonts w:ascii="Arial" w:hAnsi="Arial" w:cs="Arial"/>
                <w:sz w:val="20"/>
                <w:szCs w:val="20"/>
                <w:lang w:val="en-US"/>
              </w:rPr>
              <w:t xml:space="preserve"> OR (</w:t>
            </w:r>
            <w:proofErr w:type="spellStart"/>
            <w:r w:rsidRPr="00C32895">
              <w:rPr>
                <w:rFonts w:ascii="Arial" w:hAnsi="Arial" w:cs="Arial"/>
                <w:sz w:val="20"/>
                <w:szCs w:val="20"/>
                <w:lang w:val="en-US"/>
              </w:rPr>
              <w:t>ciltacabtagene</w:t>
            </w:r>
            <w:proofErr w:type="spellEnd"/>
            <w:r w:rsidRPr="00C32895">
              <w:rPr>
                <w:rFonts w:ascii="Arial" w:hAnsi="Arial" w:cs="Arial"/>
                <w:sz w:val="20"/>
                <w:szCs w:val="20"/>
                <w:lang w:val="en-US"/>
              </w:rPr>
              <w:t>):</w:t>
            </w:r>
            <w:proofErr w:type="spellStart"/>
            <w:r w:rsidRPr="00C32895">
              <w:rPr>
                <w:rFonts w:ascii="Arial" w:hAnsi="Arial" w:cs="Arial"/>
                <w:sz w:val="20"/>
                <w:szCs w:val="20"/>
                <w:lang w:val="en-US"/>
              </w:rPr>
              <w:t>ti,ab,kw</w:t>
            </w:r>
            <w:proofErr w:type="spellEnd"/>
            <w:r w:rsidRPr="00C32895">
              <w:rPr>
                <w:rFonts w:ascii="Arial" w:hAnsi="Arial" w:cs="Arial"/>
                <w:sz w:val="20"/>
                <w:szCs w:val="20"/>
                <w:lang w:val="en-US"/>
              </w:rPr>
              <w:t>) in Trials</w:t>
            </w:r>
          </w:p>
        </w:tc>
      </w:tr>
      <w:tr w:rsidR="002C1883" w:rsidRPr="00C32895" w14:paraId="4F55EAF1" w14:textId="77777777" w:rsidTr="003A27EC">
        <w:tc>
          <w:tcPr>
            <w:tcW w:w="1483" w:type="dxa"/>
          </w:tcPr>
          <w:p w14:paraId="1133F8CF" w14:textId="77777777" w:rsidR="002C1883" w:rsidRPr="00A270D8" w:rsidRDefault="002C1883" w:rsidP="00A43183">
            <w:pPr>
              <w:rPr>
                <w:rFonts w:ascii="Arial" w:hAnsi="Arial" w:cs="Arial"/>
                <w:b/>
                <w:bCs/>
                <w:sz w:val="20"/>
                <w:szCs w:val="20"/>
                <w:lang w:val="en-US"/>
              </w:rPr>
            </w:pPr>
          </w:p>
        </w:tc>
        <w:tc>
          <w:tcPr>
            <w:tcW w:w="2113" w:type="dxa"/>
          </w:tcPr>
          <w:p w14:paraId="11DCDC11"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Study records:</w:t>
            </w:r>
          </w:p>
          <w:p w14:paraId="60F33ADC" w14:textId="77777777" w:rsidR="002C1883" w:rsidRPr="00A270D8" w:rsidRDefault="002C1883" w:rsidP="00A43183">
            <w:pPr>
              <w:pStyle w:val="Listenabsatz"/>
              <w:numPr>
                <w:ilvl w:val="0"/>
                <w:numId w:val="1"/>
              </w:numPr>
              <w:ind w:left="538"/>
              <w:rPr>
                <w:rFonts w:ascii="Arial" w:hAnsi="Arial" w:cs="Arial"/>
                <w:sz w:val="20"/>
                <w:szCs w:val="20"/>
                <w:lang w:val="en-US"/>
              </w:rPr>
            </w:pPr>
            <w:r w:rsidRPr="00A270D8">
              <w:rPr>
                <w:rFonts w:ascii="Arial" w:hAnsi="Arial" w:cs="Arial"/>
                <w:sz w:val="20"/>
                <w:szCs w:val="20"/>
                <w:lang w:val="en-US"/>
              </w:rPr>
              <w:t>Data management</w:t>
            </w:r>
          </w:p>
          <w:p w14:paraId="6E25FD16" w14:textId="77777777" w:rsidR="002C1883" w:rsidRPr="00A270D8" w:rsidRDefault="002C1883" w:rsidP="00A43183">
            <w:pPr>
              <w:pStyle w:val="Listenabsatz"/>
              <w:numPr>
                <w:ilvl w:val="0"/>
                <w:numId w:val="1"/>
              </w:numPr>
              <w:ind w:left="538"/>
              <w:rPr>
                <w:rFonts w:ascii="Arial" w:hAnsi="Arial" w:cs="Arial"/>
                <w:sz w:val="20"/>
                <w:szCs w:val="20"/>
                <w:lang w:val="en-US"/>
              </w:rPr>
            </w:pPr>
            <w:r w:rsidRPr="00A270D8">
              <w:rPr>
                <w:rFonts w:ascii="Arial" w:hAnsi="Arial" w:cs="Arial"/>
                <w:sz w:val="20"/>
                <w:szCs w:val="20"/>
                <w:lang w:val="en-US"/>
              </w:rPr>
              <w:t>Selection process</w:t>
            </w:r>
          </w:p>
          <w:p w14:paraId="426B15CD" w14:textId="77777777" w:rsidR="002C1883" w:rsidRPr="00A270D8" w:rsidRDefault="002C1883" w:rsidP="00A43183">
            <w:pPr>
              <w:pStyle w:val="Listenabsatz"/>
              <w:numPr>
                <w:ilvl w:val="0"/>
                <w:numId w:val="1"/>
              </w:numPr>
              <w:ind w:left="538"/>
              <w:rPr>
                <w:rFonts w:ascii="Arial" w:hAnsi="Arial" w:cs="Arial"/>
                <w:sz w:val="20"/>
                <w:szCs w:val="20"/>
                <w:lang w:val="en-US"/>
              </w:rPr>
            </w:pPr>
            <w:r w:rsidRPr="00A270D8">
              <w:rPr>
                <w:rFonts w:ascii="Arial" w:hAnsi="Arial" w:cs="Arial"/>
                <w:sz w:val="20"/>
                <w:szCs w:val="20"/>
                <w:lang w:val="en-US"/>
              </w:rPr>
              <w:t>Data collection process</w:t>
            </w:r>
          </w:p>
        </w:tc>
        <w:tc>
          <w:tcPr>
            <w:tcW w:w="5466" w:type="dxa"/>
          </w:tcPr>
          <w:p w14:paraId="21302707" w14:textId="0F7CD35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From all studies fulfilling eligibility criteria, two authors (</w:t>
            </w:r>
            <w:r w:rsidR="00C32895">
              <w:rPr>
                <w:rFonts w:ascii="Arial" w:hAnsi="Arial" w:cs="Arial"/>
                <w:sz w:val="20"/>
                <w:szCs w:val="20"/>
                <w:lang w:val="en-US"/>
              </w:rPr>
              <w:t>DMCDS and TT</w:t>
            </w:r>
            <w:r w:rsidRPr="00A270D8">
              <w:rPr>
                <w:rFonts w:ascii="Arial" w:hAnsi="Arial" w:cs="Arial"/>
                <w:sz w:val="20"/>
                <w:szCs w:val="20"/>
                <w:lang w:val="en-US"/>
              </w:rPr>
              <w:t>) will separately extract the data and countercheck each other. Discrepancies will be solved by consultation with senior authors (</w:t>
            </w:r>
            <w:r w:rsidR="00C32895">
              <w:rPr>
                <w:rFonts w:ascii="Arial" w:hAnsi="Arial" w:cs="Arial"/>
                <w:sz w:val="20"/>
                <w:szCs w:val="20"/>
                <w:lang w:val="en-US"/>
              </w:rPr>
              <w:t>KR</w:t>
            </w:r>
            <w:r w:rsidRPr="00A270D8">
              <w:rPr>
                <w:rFonts w:ascii="Arial" w:hAnsi="Arial" w:cs="Arial"/>
                <w:sz w:val="20"/>
                <w:szCs w:val="20"/>
                <w:lang w:val="en-US"/>
              </w:rPr>
              <w:t>). Search records will be saved and managed using EndNote.</w:t>
            </w:r>
          </w:p>
        </w:tc>
      </w:tr>
      <w:tr w:rsidR="002C1883" w:rsidRPr="00E67C14" w14:paraId="4B875969" w14:textId="77777777" w:rsidTr="003A27EC">
        <w:tc>
          <w:tcPr>
            <w:tcW w:w="1483" w:type="dxa"/>
          </w:tcPr>
          <w:p w14:paraId="2E23109E" w14:textId="77777777" w:rsidR="002C1883" w:rsidRPr="00A270D8" w:rsidRDefault="002C1883" w:rsidP="00A43183">
            <w:pPr>
              <w:rPr>
                <w:rFonts w:ascii="Arial" w:hAnsi="Arial" w:cs="Arial"/>
                <w:b/>
                <w:bCs/>
                <w:sz w:val="20"/>
                <w:szCs w:val="20"/>
                <w:lang w:val="en-US"/>
              </w:rPr>
            </w:pPr>
          </w:p>
        </w:tc>
        <w:tc>
          <w:tcPr>
            <w:tcW w:w="2113" w:type="dxa"/>
          </w:tcPr>
          <w:p w14:paraId="12415AE9"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Data items</w:t>
            </w:r>
          </w:p>
        </w:tc>
        <w:tc>
          <w:tcPr>
            <w:tcW w:w="5466" w:type="dxa"/>
          </w:tcPr>
          <w:p w14:paraId="6592BDC9" w14:textId="1654D7D6" w:rsidR="005573DA" w:rsidRDefault="005573DA" w:rsidP="00A43183">
            <w:pPr>
              <w:rPr>
                <w:rFonts w:ascii="Arial" w:hAnsi="Arial" w:cs="Arial"/>
                <w:sz w:val="20"/>
                <w:szCs w:val="20"/>
                <w:lang w:val="en-US"/>
              </w:rPr>
            </w:pPr>
            <w:r>
              <w:rPr>
                <w:rFonts w:ascii="Arial" w:hAnsi="Arial" w:cs="Arial"/>
                <w:sz w:val="20"/>
                <w:szCs w:val="20"/>
                <w:lang w:val="en-US"/>
              </w:rPr>
              <w:t xml:space="preserve">Data items will </w:t>
            </w:r>
            <w:r w:rsidRPr="005573DA">
              <w:rPr>
                <w:rFonts w:ascii="Arial" w:hAnsi="Arial" w:cs="Arial"/>
                <w:sz w:val="20"/>
                <w:szCs w:val="20"/>
                <w:lang w:val="en-US"/>
              </w:rPr>
              <w:t>include date of publication, number of patients, entities, CAR-T product</w:t>
            </w:r>
            <w:r>
              <w:rPr>
                <w:rFonts w:ascii="Arial" w:hAnsi="Arial" w:cs="Arial"/>
                <w:sz w:val="20"/>
                <w:szCs w:val="20"/>
                <w:lang w:val="en-US"/>
              </w:rPr>
              <w:t xml:space="preserve"> specifications,</w:t>
            </w:r>
            <w:r w:rsidRPr="005573DA">
              <w:rPr>
                <w:rFonts w:ascii="Arial" w:hAnsi="Arial" w:cs="Arial"/>
                <w:sz w:val="20"/>
                <w:szCs w:val="20"/>
                <w:lang w:val="en-US"/>
              </w:rPr>
              <w:t xml:space="preserve"> follow-up time, number </w:t>
            </w:r>
            <w:r>
              <w:rPr>
                <w:rFonts w:ascii="Arial" w:hAnsi="Arial" w:cs="Arial"/>
                <w:sz w:val="20"/>
                <w:szCs w:val="20"/>
                <w:lang w:val="en-US"/>
              </w:rPr>
              <w:t>and causes o</w:t>
            </w:r>
            <w:r w:rsidRPr="005573DA">
              <w:rPr>
                <w:rFonts w:ascii="Arial" w:hAnsi="Arial" w:cs="Arial"/>
                <w:sz w:val="20"/>
                <w:szCs w:val="20"/>
                <w:lang w:val="en-US"/>
              </w:rPr>
              <w:t>f</w:t>
            </w:r>
            <w:r>
              <w:rPr>
                <w:rFonts w:ascii="Arial" w:hAnsi="Arial" w:cs="Arial"/>
                <w:sz w:val="20"/>
                <w:szCs w:val="20"/>
                <w:lang w:val="en-US"/>
              </w:rPr>
              <w:t xml:space="preserve"> death</w:t>
            </w:r>
            <w:r w:rsidRPr="005573DA">
              <w:rPr>
                <w:rFonts w:ascii="Arial" w:hAnsi="Arial" w:cs="Arial"/>
                <w:sz w:val="20"/>
                <w:szCs w:val="20"/>
                <w:lang w:val="en-US"/>
              </w:rPr>
              <w:t xml:space="preserve">, and NRM rates if reported. If more than one CAR-T product was used in a </w:t>
            </w:r>
            <w:r w:rsidRPr="005573DA">
              <w:rPr>
                <w:rFonts w:ascii="Arial" w:hAnsi="Arial" w:cs="Arial"/>
                <w:sz w:val="20"/>
                <w:szCs w:val="20"/>
                <w:lang w:val="en-US"/>
              </w:rPr>
              <w:lastRenderedPageBreak/>
              <w:t xml:space="preserve">single study, the reported data </w:t>
            </w:r>
            <w:r>
              <w:rPr>
                <w:rFonts w:ascii="Arial" w:hAnsi="Arial" w:cs="Arial"/>
                <w:sz w:val="20"/>
                <w:szCs w:val="20"/>
                <w:lang w:val="en-US"/>
              </w:rPr>
              <w:t>will be</w:t>
            </w:r>
            <w:r w:rsidRPr="005573DA">
              <w:rPr>
                <w:rFonts w:ascii="Arial" w:hAnsi="Arial" w:cs="Arial"/>
                <w:sz w:val="20"/>
                <w:szCs w:val="20"/>
                <w:lang w:val="en-US"/>
              </w:rPr>
              <w:t xml:space="preserve"> assigned to separate cohorts and evaluated accordingly.</w:t>
            </w:r>
          </w:p>
          <w:p w14:paraId="782D4EFB" w14:textId="77777777" w:rsidR="005573DA" w:rsidRDefault="005573DA" w:rsidP="00A43183">
            <w:pPr>
              <w:rPr>
                <w:rFonts w:ascii="Arial" w:hAnsi="Arial" w:cs="Arial"/>
                <w:sz w:val="20"/>
                <w:szCs w:val="20"/>
                <w:lang w:val="en-US"/>
              </w:rPr>
            </w:pPr>
          </w:p>
          <w:p w14:paraId="70496A7E" w14:textId="71ACFEE4" w:rsidR="002C1883" w:rsidRPr="00A270D8" w:rsidRDefault="005573DA" w:rsidP="00A43183">
            <w:pPr>
              <w:rPr>
                <w:rFonts w:ascii="Arial" w:hAnsi="Arial" w:cs="Arial"/>
                <w:sz w:val="20"/>
                <w:szCs w:val="20"/>
                <w:lang w:val="en-US"/>
              </w:rPr>
            </w:pPr>
            <w:r>
              <w:rPr>
                <w:rFonts w:ascii="Arial" w:hAnsi="Arial" w:cs="Arial"/>
                <w:sz w:val="20"/>
                <w:szCs w:val="20"/>
                <w:lang w:val="en-US"/>
              </w:rPr>
              <w:t>In addition, we will classify and create subgroups for causes of death:</w:t>
            </w:r>
            <w:r w:rsidRPr="005573DA">
              <w:rPr>
                <w:rFonts w:ascii="Arial" w:hAnsi="Arial" w:cs="Arial"/>
                <w:sz w:val="20"/>
                <w:szCs w:val="20"/>
                <w:lang w:val="en-US"/>
              </w:rPr>
              <w:t xml:space="preserve"> infection, malignancy, CRS, ICANS/neurotoxicity, cardiovascular/respiratory, hemorrhage, HLH, organ failure not otherwise specified (NOS), others, or unknown.</w:t>
            </w:r>
          </w:p>
        </w:tc>
      </w:tr>
      <w:tr w:rsidR="002C1883" w:rsidRPr="005573DA" w14:paraId="5D6A5D14" w14:textId="77777777" w:rsidTr="003A27EC">
        <w:tc>
          <w:tcPr>
            <w:tcW w:w="1483" w:type="dxa"/>
          </w:tcPr>
          <w:p w14:paraId="227DF1E1" w14:textId="77777777" w:rsidR="002C1883" w:rsidRPr="00A270D8" w:rsidRDefault="002C1883" w:rsidP="00A43183">
            <w:pPr>
              <w:rPr>
                <w:rFonts w:ascii="Arial" w:hAnsi="Arial" w:cs="Arial"/>
                <w:b/>
                <w:bCs/>
                <w:sz w:val="20"/>
                <w:szCs w:val="20"/>
                <w:lang w:val="en-US"/>
              </w:rPr>
            </w:pPr>
          </w:p>
        </w:tc>
        <w:tc>
          <w:tcPr>
            <w:tcW w:w="2113" w:type="dxa"/>
          </w:tcPr>
          <w:p w14:paraId="54B50B52"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Outcomes and prioritization</w:t>
            </w:r>
          </w:p>
        </w:tc>
        <w:tc>
          <w:tcPr>
            <w:tcW w:w="5466" w:type="dxa"/>
          </w:tcPr>
          <w:p w14:paraId="36F992F8" w14:textId="37F7935E" w:rsidR="005573DA" w:rsidRPr="00A270D8" w:rsidRDefault="002C1883" w:rsidP="00A43183">
            <w:pPr>
              <w:rPr>
                <w:rFonts w:ascii="Arial" w:hAnsi="Arial" w:cs="Arial"/>
                <w:sz w:val="20"/>
                <w:szCs w:val="20"/>
                <w:lang w:val="en-US"/>
              </w:rPr>
            </w:pPr>
            <w:r w:rsidRPr="00A270D8">
              <w:rPr>
                <w:rFonts w:ascii="Arial" w:hAnsi="Arial" w:cs="Arial"/>
                <w:sz w:val="20"/>
                <w:szCs w:val="20"/>
                <w:lang w:val="en-US"/>
              </w:rPr>
              <w:t xml:space="preserve">For the planned </w:t>
            </w:r>
            <w:r w:rsidR="005573DA">
              <w:rPr>
                <w:rFonts w:ascii="Arial" w:hAnsi="Arial" w:cs="Arial"/>
                <w:sz w:val="20"/>
                <w:szCs w:val="20"/>
                <w:lang w:val="en-US"/>
              </w:rPr>
              <w:t>analysis of NRM proportions, NRM cumulative incidence rates with will be extracted if reported. In case of missing NRM reports, we will calculate NRM point estimates based on the extracted cohort sizes and numbers of deaths, and calculate 95% CI using the Wilson method.</w:t>
            </w:r>
          </w:p>
          <w:p w14:paraId="7C879BB1" w14:textId="77777777" w:rsidR="002C1883" w:rsidRPr="00A270D8" w:rsidRDefault="002C1883" w:rsidP="00A43183">
            <w:pPr>
              <w:rPr>
                <w:rFonts w:ascii="Arial" w:hAnsi="Arial" w:cs="Arial"/>
                <w:sz w:val="20"/>
                <w:szCs w:val="20"/>
                <w:lang w:val="en-US"/>
              </w:rPr>
            </w:pPr>
          </w:p>
          <w:p w14:paraId="796CC910"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There is no prioritization.</w:t>
            </w:r>
          </w:p>
        </w:tc>
      </w:tr>
      <w:tr w:rsidR="002C1883" w:rsidRPr="00E67C14" w14:paraId="2A341E89" w14:textId="77777777" w:rsidTr="003A27EC">
        <w:tc>
          <w:tcPr>
            <w:tcW w:w="1483" w:type="dxa"/>
          </w:tcPr>
          <w:p w14:paraId="5481A241" w14:textId="77777777" w:rsidR="002C1883" w:rsidRPr="00A270D8" w:rsidRDefault="002C1883" w:rsidP="00A43183">
            <w:pPr>
              <w:rPr>
                <w:rFonts w:ascii="Arial" w:hAnsi="Arial" w:cs="Arial"/>
                <w:b/>
                <w:bCs/>
                <w:sz w:val="20"/>
                <w:szCs w:val="20"/>
                <w:lang w:val="en-US"/>
              </w:rPr>
            </w:pPr>
          </w:p>
        </w:tc>
        <w:tc>
          <w:tcPr>
            <w:tcW w:w="2113" w:type="dxa"/>
          </w:tcPr>
          <w:p w14:paraId="0C3A773A"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Risk of bias in individual studies</w:t>
            </w:r>
          </w:p>
        </w:tc>
        <w:tc>
          <w:tcPr>
            <w:tcW w:w="5466" w:type="dxa"/>
          </w:tcPr>
          <w:p w14:paraId="39FC96DB" w14:textId="6005E0D7" w:rsidR="002C1883" w:rsidRPr="00A270D8" w:rsidRDefault="005573DA" w:rsidP="00A43183">
            <w:pPr>
              <w:rPr>
                <w:rFonts w:ascii="Arial" w:hAnsi="Arial" w:cs="Arial"/>
                <w:sz w:val="20"/>
                <w:szCs w:val="20"/>
                <w:lang w:val="en-US"/>
              </w:rPr>
            </w:pPr>
            <w:r>
              <w:rPr>
                <w:rFonts w:ascii="Arial" w:hAnsi="Arial" w:cs="Arial"/>
                <w:sz w:val="20"/>
                <w:szCs w:val="20"/>
                <w:lang w:val="en-US"/>
              </w:rPr>
              <w:t>Study b</w:t>
            </w:r>
            <w:r w:rsidR="002C1883" w:rsidRPr="00A270D8">
              <w:rPr>
                <w:rFonts w:ascii="Arial" w:hAnsi="Arial" w:cs="Arial"/>
                <w:sz w:val="20"/>
                <w:szCs w:val="20"/>
                <w:lang w:val="en-US"/>
              </w:rPr>
              <w:t xml:space="preserve">ias of individual studies will be assessed by using the </w:t>
            </w:r>
            <w:r w:rsidRPr="005573DA">
              <w:rPr>
                <w:rFonts w:ascii="Arial" w:hAnsi="Arial" w:cs="Arial"/>
                <w:sz w:val="20"/>
                <w:szCs w:val="20"/>
                <w:lang w:val="en-US"/>
              </w:rPr>
              <w:t>Joanna Brigg’s Institute critical appraisal tool</w:t>
            </w:r>
            <w:r>
              <w:rPr>
                <w:rFonts w:ascii="Arial" w:hAnsi="Arial" w:cs="Arial"/>
                <w:sz w:val="20"/>
                <w:szCs w:val="20"/>
                <w:lang w:val="en-US"/>
              </w:rPr>
              <w:t>.</w:t>
            </w:r>
          </w:p>
        </w:tc>
      </w:tr>
      <w:tr w:rsidR="002C1883" w:rsidRPr="00E67C14" w14:paraId="3FD0DC8D" w14:textId="77777777" w:rsidTr="003A27EC">
        <w:tc>
          <w:tcPr>
            <w:tcW w:w="1483" w:type="dxa"/>
          </w:tcPr>
          <w:p w14:paraId="2C84327B" w14:textId="77777777" w:rsidR="002C1883" w:rsidRPr="00A270D8" w:rsidRDefault="002C1883" w:rsidP="00A43183">
            <w:pPr>
              <w:rPr>
                <w:rFonts w:ascii="Arial" w:hAnsi="Arial" w:cs="Arial"/>
                <w:b/>
                <w:bCs/>
                <w:sz w:val="20"/>
                <w:szCs w:val="20"/>
                <w:lang w:val="en-US"/>
              </w:rPr>
            </w:pPr>
          </w:p>
        </w:tc>
        <w:tc>
          <w:tcPr>
            <w:tcW w:w="2113" w:type="dxa"/>
          </w:tcPr>
          <w:p w14:paraId="669161D0"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Data synthesis</w:t>
            </w:r>
          </w:p>
        </w:tc>
        <w:tc>
          <w:tcPr>
            <w:tcW w:w="5466" w:type="dxa"/>
          </w:tcPr>
          <w:p w14:paraId="72624D30" w14:textId="05F8834B"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 xml:space="preserve">Studies reporting </w:t>
            </w:r>
            <w:r w:rsidR="005B551E">
              <w:rPr>
                <w:rFonts w:ascii="Arial" w:hAnsi="Arial" w:cs="Arial"/>
                <w:sz w:val="20"/>
                <w:szCs w:val="20"/>
                <w:lang w:val="en-US"/>
              </w:rPr>
              <w:t xml:space="preserve">on the same disease entities, CAR-T products, treatment settings and lines of therapy will be synthesized based on reported and calculated NRM rates as well as number and causes of death and analyzed in subgroups. </w:t>
            </w:r>
            <w:r w:rsidRPr="00A270D8">
              <w:rPr>
                <w:rFonts w:ascii="Arial" w:hAnsi="Arial" w:cs="Arial"/>
                <w:sz w:val="20"/>
                <w:szCs w:val="20"/>
                <w:lang w:val="en-US"/>
              </w:rPr>
              <w:t xml:space="preserve"> </w:t>
            </w:r>
          </w:p>
          <w:p w14:paraId="40382878" w14:textId="77777777" w:rsidR="002C1883" w:rsidRPr="00A270D8" w:rsidRDefault="002C1883" w:rsidP="00A43183">
            <w:pPr>
              <w:rPr>
                <w:rFonts w:ascii="Arial" w:hAnsi="Arial" w:cs="Arial"/>
                <w:sz w:val="20"/>
                <w:szCs w:val="20"/>
                <w:lang w:val="en-US"/>
              </w:rPr>
            </w:pPr>
          </w:p>
          <w:p w14:paraId="45754B26" w14:textId="2A5434BF" w:rsidR="002C1883" w:rsidRPr="00A270D8" w:rsidRDefault="005B551E" w:rsidP="00A43183">
            <w:pPr>
              <w:rPr>
                <w:rFonts w:ascii="Arial" w:hAnsi="Arial" w:cs="Arial"/>
                <w:sz w:val="20"/>
                <w:szCs w:val="20"/>
                <w:lang w:val="en-US"/>
              </w:rPr>
            </w:pPr>
            <w:r>
              <w:rPr>
                <w:rFonts w:ascii="Arial" w:hAnsi="Arial" w:cs="Arial"/>
                <w:sz w:val="20"/>
                <w:szCs w:val="20"/>
                <w:lang w:val="en-US"/>
              </w:rPr>
              <w:t>Common</w:t>
            </w:r>
            <w:r w:rsidR="002C1883" w:rsidRPr="00A270D8">
              <w:rPr>
                <w:rFonts w:ascii="Arial" w:hAnsi="Arial" w:cs="Arial"/>
                <w:sz w:val="20"/>
                <w:szCs w:val="20"/>
                <w:lang w:val="en-US"/>
              </w:rPr>
              <w:t xml:space="preserve"> effect models will be used to summarize measures and forest plots will be generated for illustration. Heterogeneity will be assessed by the Q statistic and quantified using I².</w:t>
            </w:r>
          </w:p>
        </w:tc>
      </w:tr>
      <w:tr w:rsidR="002C1883" w:rsidRPr="00E67C14" w14:paraId="0A9B33AC" w14:textId="77777777" w:rsidTr="003A27EC">
        <w:tc>
          <w:tcPr>
            <w:tcW w:w="1483" w:type="dxa"/>
          </w:tcPr>
          <w:p w14:paraId="4AA9EEB4" w14:textId="77777777" w:rsidR="002C1883" w:rsidRPr="00A270D8" w:rsidRDefault="002C1883" w:rsidP="00A43183">
            <w:pPr>
              <w:rPr>
                <w:rFonts w:ascii="Arial" w:hAnsi="Arial" w:cs="Arial"/>
                <w:b/>
                <w:bCs/>
                <w:sz w:val="20"/>
                <w:szCs w:val="20"/>
                <w:lang w:val="en-US"/>
              </w:rPr>
            </w:pPr>
          </w:p>
        </w:tc>
        <w:tc>
          <w:tcPr>
            <w:tcW w:w="2113" w:type="dxa"/>
          </w:tcPr>
          <w:p w14:paraId="7437554A" w14:textId="77777777" w:rsidR="002C1883" w:rsidRPr="00A270D8" w:rsidRDefault="002C1883" w:rsidP="00A43183">
            <w:pPr>
              <w:rPr>
                <w:rFonts w:ascii="Arial" w:hAnsi="Arial" w:cs="Arial"/>
                <w:sz w:val="20"/>
                <w:szCs w:val="20"/>
                <w:lang w:val="en-US"/>
              </w:rPr>
            </w:pPr>
            <w:r w:rsidRPr="00A270D8">
              <w:rPr>
                <w:rFonts w:ascii="Arial" w:hAnsi="Arial" w:cs="Arial"/>
                <w:sz w:val="20"/>
                <w:szCs w:val="20"/>
                <w:lang w:val="en-US"/>
              </w:rPr>
              <w:t>Meta-bias(es)</w:t>
            </w:r>
          </w:p>
        </w:tc>
        <w:tc>
          <w:tcPr>
            <w:tcW w:w="5466" w:type="dxa"/>
          </w:tcPr>
          <w:p w14:paraId="09CFF94A" w14:textId="541AB6F7" w:rsidR="002C1883" w:rsidRPr="00A270D8" w:rsidRDefault="00C679DF" w:rsidP="00A43183">
            <w:pPr>
              <w:rPr>
                <w:rFonts w:ascii="Arial" w:hAnsi="Arial" w:cs="Arial"/>
                <w:sz w:val="20"/>
                <w:szCs w:val="20"/>
                <w:lang w:val="en-US"/>
              </w:rPr>
            </w:pPr>
            <w:r>
              <w:rPr>
                <w:rFonts w:ascii="Arial" w:hAnsi="Arial" w:cs="Arial"/>
                <w:sz w:val="20"/>
                <w:szCs w:val="20"/>
                <w:lang w:val="en-US"/>
              </w:rPr>
              <w:t>Funnel plots will be created to test for publication bias including subgroup analyses.</w:t>
            </w:r>
          </w:p>
        </w:tc>
      </w:tr>
      <w:tr w:rsidR="00886A84" w:rsidRPr="00E67C14" w14:paraId="4DB49159" w14:textId="77777777" w:rsidTr="003A27EC">
        <w:tc>
          <w:tcPr>
            <w:tcW w:w="1483" w:type="dxa"/>
          </w:tcPr>
          <w:p w14:paraId="130D9886" w14:textId="77777777" w:rsidR="00886A84" w:rsidRPr="00A270D8" w:rsidRDefault="00886A84" w:rsidP="00A43183">
            <w:pPr>
              <w:rPr>
                <w:rFonts w:ascii="Arial" w:hAnsi="Arial" w:cs="Arial"/>
                <w:b/>
                <w:bCs/>
                <w:sz w:val="20"/>
                <w:szCs w:val="20"/>
                <w:lang w:val="en-US"/>
              </w:rPr>
            </w:pPr>
          </w:p>
        </w:tc>
        <w:tc>
          <w:tcPr>
            <w:tcW w:w="2113" w:type="dxa"/>
          </w:tcPr>
          <w:p w14:paraId="0BA107A7" w14:textId="2E18F13F" w:rsidR="00886A84" w:rsidRPr="00A270D8" w:rsidRDefault="00886A84" w:rsidP="00A43183">
            <w:pPr>
              <w:rPr>
                <w:rFonts w:ascii="Arial" w:hAnsi="Arial" w:cs="Arial"/>
                <w:sz w:val="20"/>
                <w:szCs w:val="20"/>
                <w:lang w:val="en-US"/>
              </w:rPr>
            </w:pPr>
            <w:r>
              <w:rPr>
                <w:rFonts w:ascii="Arial" w:hAnsi="Arial" w:cs="Arial"/>
                <w:sz w:val="20"/>
                <w:szCs w:val="20"/>
                <w:lang w:val="en-US"/>
              </w:rPr>
              <w:t>Sensitivity Analyses</w:t>
            </w:r>
          </w:p>
        </w:tc>
        <w:tc>
          <w:tcPr>
            <w:tcW w:w="5466" w:type="dxa"/>
          </w:tcPr>
          <w:p w14:paraId="76B4DD03" w14:textId="77777777" w:rsidR="00C679DF" w:rsidRDefault="00C679DF" w:rsidP="00A43183">
            <w:pPr>
              <w:rPr>
                <w:rFonts w:ascii="Arial" w:hAnsi="Arial" w:cs="Arial"/>
                <w:sz w:val="20"/>
                <w:szCs w:val="20"/>
                <w:lang w:val="en-US"/>
              </w:rPr>
            </w:pPr>
            <w:r>
              <w:rPr>
                <w:rFonts w:ascii="Arial" w:hAnsi="Arial" w:cs="Arial"/>
                <w:sz w:val="20"/>
                <w:szCs w:val="20"/>
                <w:lang w:val="en-US"/>
              </w:rPr>
              <w:t>Following sensitivity analyses will be performed:</w:t>
            </w:r>
          </w:p>
          <w:p w14:paraId="0A2442CE" w14:textId="77777777" w:rsidR="00C679DF" w:rsidRDefault="00C679DF" w:rsidP="00C679DF">
            <w:pPr>
              <w:pStyle w:val="Listenabsatz"/>
              <w:numPr>
                <w:ilvl w:val="0"/>
                <w:numId w:val="1"/>
              </w:numPr>
              <w:rPr>
                <w:rFonts w:ascii="Arial" w:hAnsi="Arial" w:cs="Arial"/>
                <w:sz w:val="20"/>
                <w:szCs w:val="20"/>
                <w:lang w:val="en-US"/>
              </w:rPr>
            </w:pPr>
            <w:r>
              <w:rPr>
                <w:rFonts w:ascii="Arial" w:hAnsi="Arial" w:cs="Arial"/>
                <w:sz w:val="20"/>
                <w:szCs w:val="20"/>
                <w:lang w:val="en-US"/>
              </w:rPr>
              <w:t>Comparison of fixed effect models and random effect models</w:t>
            </w:r>
          </w:p>
          <w:p w14:paraId="3BAF4345" w14:textId="2163DBFE" w:rsidR="00886A84" w:rsidRPr="00C679DF" w:rsidRDefault="00C679DF" w:rsidP="00C679DF">
            <w:pPr>
              <w:pStyle w:val="Listenabsatz"/>
              <w:numPr>
                <w:ilvl w:val="0"/>
                <w:numId w:val="1"/>
              </w:numPr>
              <w:rPr>
                <w:rFonts w:ascii="Arial" w:hAnsi="Arial" w:cs="Arial"/>
                <w:sz w:val="20"/>
                <w:szCs w:val="20"/>
                <w:lang w:val="en-US"/>
              </w:rPr>
            </w:pPr>
            <w:r>
              <w:rPr>
                <w:rFonts w:ascii="Arial" w:hAnsi="Arial" w:cs="Arial"/>
                <w:sz w:val="20"/>
                <w:szCs w:val="20"/>
                <w:lang w:val="en-US"/>
              </w:rPr>
              <w:t>Comparison of inclusion of all studies vs study size filter for RWS with cut-off at 80 patients</w:t>
            </w:r>
          </w:p>
        </w:tc>
      </w:tr>
      <w:tr w:rsidR="00E67C14" w:rsidRPr="00E67C14" w14:paraId="4A22B533" w14:textId="77777777" w:rsidTr="003A27EC">
        <w:tc>
          <w:tcPr>
            <w:tcW w:w="1483" w:type="dxa"/>
          </w:tcPr>
          <w:p w14:paraId="21A6D3D6" w14:textId="77777777" w:rsidR="00E67C14" w:rsidRPr="00A270D8" w:rsidRDefault="00E67C14" w:rsidP="00A43183">
            <w:pPr>
              <w:rPr>
                <w:rFonts w:ascii="Arial" w:hAnsi="Arial" w:cs="Arial"/>
                <w:b/>
                <w:bCs/>
                <w:sz w:val="20"/>
                <w:szCs w:val="20"/>
                <w:lang w:val="en-US"/>
              </w:rPr>
            </w:pPr>
          </w:p>
        </w:tc>
        <w:tc>
          <w:tcPr>
            <w:tcW w:w="2113" w:type="dxa"/>
          </w:tcPr>
          <w:p w14:paraId="181984A6" w14:textId="1CED93D9" w:rsidR="00E67C14" w:rsidRDefault="00E67C14" w:rsidP="00A43183">
            <w:pPr>
              <w:rPr>
                <w:rFonts w:ascii="Arial" w:hAnsi="Arial" w:cs="Arial"/>
                <w:sz w:val="20"/>
                <w:szCs w:val="20"/>
                <w:lang w:val="en-US"/>
              </w:rPr>
            </w:pPr>
            <w:r>
              <w:rPr>
                <w:rFonts w:ascii="Arial" w:hAnsi="Arial" w:cs="Arial"/>
                <w:sz w:val="20"/>
                <w:szCs w:val="20"/>
                <w:lang w:val="en-US"/>
              </w:rPr>
              <w:t>C</w:t>
            </w:r>
            <w:r w:rsidRPr="00E67C14">
              <w:rPr>
                <w:rFonts w:ascii="Arial" w:hAnsi="Arial" w:cs="Arial"/>
                <w:sz w:val="20"/>
                <w:szCs w:val="20"/>
                <w:lang w:val="en-US"/>
              </w:rPr>
              <w:t>ertainty of a body of evidence</w:t>
            </w:r>
            <w:r>
              <w:rPr>
                <w:rFonts w:ascii="Arial" w:hAnsi="Arial" w:cs="Arial"/>
                <w:sz w:val="20"/>
                <w:szCs w:val="20"/>
                <w:lang w:val="en-US"/>
              </w:rPr>
              <w:t xml:space="preserve"> assessment</w:t>
            </w:r>
          </w:p>
        </w:tc>
        <w:tc>
          <w:tcPr>
            <w:tcW w:w="5466" w:type="dxa"/>
          </w:tcPr>
          <w:p w14:paraId="260287DB" w14:textId="6A8A80CD" w:rsidR="00E67C14" w:rsidRDefault="00E67C14" w:rsidP="00A43183">
            <w:pPr>
              <w:rPr>
                <w:rFonts w:ascii="Arial" w:hAnsi="Arial" w:cs="Arial"/>
                <w:sz w:val="20"/>
                <w:szCs w:val="20"/>
                <w:lang w:val="en-US"/>
              </w:rPr>
            </w:pPr>
            <w:r>
              <w:rPr>
                <w:rFonts w:ascii="Arial" w:hAnsi="Arial" w:cs="Arial"/>
                <w:sz w:val="20"/>
                <w:szCs w:val="20"/>
                <w:lang w:val="en-US"/>
              </w:rPr>
              <w:t>This meta-analysis will not focus on the comparison between different interventions. Due to missing control arms, the GRADE approach for evaluating the body of evidence is of limited use.</w:t>
            </w:r>
          </w:p>
        </w:tc>
      </w:tr>
    </w:tbl>
    <w:p w14:paraId="6E1AD1A9" w14:textId="77777777" w:rsidR="002C1883" w:rsidRPr="00A270D8" w:rsidRDefault="002C1883" w:rsidP="002C1883">
      <w:pPr>
        <w:rPr>
          <w:rFonts w:ascii="Arial" w:hAnsi="Arial" w:cs="Arial"/>
          <w:sz w:val="20"/>
          <w:szCs w:val="20"/>
          <w:lang w:val="en-US"/>
        </w:rPr>
      </w:pPr>
    </w:p>
    <w:p w14:paraId="5253CE48" w14:textId="77777777" w:rsidR="002C1883" w:rsidRPr="00A270D8" w:rsidRDefault="002C1883" w:rsidP="002C1883">
      <w:pPr>
        <w:rPr>
          <w:rFonts w:ascii="Arial" w:hAnsi="Arial" w:cs="Arial"/>
          <w:b/>
          <w:bCs/>
          <w:sz w:val="20"/>
          <w:szCs w:val="20"/>
          <w:lang w:val="en-US"/>
        </w:rPr>
      </w:pPr>
      <w:r w:rsidRPr="00A270D8">
        <w:rPr>
          <w:rFonts w:ascii="Arial" w:hAnsi="Arial" w:cs="Arial"/>
          <w:b/>
          <w:bCs/>
          <w:sz w:val="20"/>
          <w:szCs w:val="20"/>
          <w:lang w:val="en-US"/>
        </w:rPr>
        <w:t>References</w:t>
      </w:r>
    </w:p>
    <w:p w14:paraId="02CFFE26"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1.</w:t>
      </w:r>
      <w:r w:rsidRPr="008009DF">
        <w:rPr>
          <w:rFonts w:ascii="Arial" w:hAnsi="Arial" w:cs="Arial"/>
          <w:sz w:val="20"/>
          <w:szCs w:val="20"/>
          <w:lang w:val="en-US"/>
        </w:rPr>
        <w:tab/>
        <w:t xml:space="preserve">Locke FL, Miklos DB, Jacobson CA, et al. </w:t>
      </w:r>
      <w:proofErr w:type="spellStart"/>
      <w:r w:rsidRPr="008009DF">
        <w:rPr>
          <w:rFonts w:ascii="Arial" w:hAnsi="Arial" w:cs="Arial"/>
          <w:sz w:val="20"/>
          <w:szCs w:val="20"/>
          <w:lang w:val="en-US"/>
        </w:rPr>
        <w:t>Axicabtagene</w:t>
      </w:r>
      <w:proofErr w:type="spellEnd"/>
      <w:r w:rsidRPr="008009DF">
        <w:rPr>
          <w:rFonts w:ascii="Arial" w:hAnsi="Arial" w:cs="Arial"/>
          <w:sz w:val="20"/>
          <w:szCs w:val="20"/>
          <w:lang w:val="en-US"/>
        </w:rPr>
        <w:t xml:space="preserve"> </w:t>
      </w:r>
      <w:proofErr w:type="spellStart"/>
      <w:r w:rsidRPr="008009DF">
        <w:rPr>
          <w:rFonts w:ascii="Arial" w:hAnsi="Arial" w:cs="Arial"/>
          <w:sz w:val="20"/>
          <w:szCs w:val="20"/>
          <w:lang w:val="en-US"/>
        </w:rPr>
        <w:t>Ciloleucel</w:t>
      </w:r>
      <w:proofErr w:type="spellEnd"/>
      <w:r w:rsidRPr="008009DF">
        <w:rPr>
          <w:rFonts w:ascii="Arial" w:hAnsi="Arial" w:cs="Arial"/>
          <w:sz w:val="20"/>
          <w:szCs w:val="20"/>
          <w:lang w:val="en-US"/>
        </w:rPr>
        <w:t xml:space="preserve"> as Second-Line Therapy for Large B-Cell Lymphoma. N Engl J Med </w:t>
      </w:r>
      <w:proofErr w:type="gramStart"/>
      <w:r w:rsidRPr="008009DF">
        <w:rPr>
          <w:rFonts w:ascii="Arial" w:hAnsi="Arial" w:cs="Arial"/>
          <w:sz w:val="20"/>
          <w:szCs w:val="20"/>
          <w:lang w:val="en-US"/>
        </w:rPr>
        <w:t>2022;386:640</w:t>
      </w:r>
      <w:proofErr w:type="gramEnd"/>
      <w:r w:rsidRPr="008009DF">
        <w:rPr>
          <w:rFonts w:ascii="Arial" w:hAnsi="Arial" w:cs="Arial"/>
          <w:sz w:val="20"/>
          <w:szCs w:val="20"/>
          <w:lang w:val="en-US"/>
        </w:rPr>
        <w:t>-654.</w:t>
      </w:r>
    </w:p>
    <w:p w14:paraId="0055A6CA"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2.</w:t>
      </w:r>
      <w:r w:rsidRPr="008009DF">
        <w:rPr>
          <w:rFonts w:ascii="Arial" w:hAnsi="Arial" w:cs="Arial"/>
          <w:sz w:val="20"/>
          <w:szCs w:val="20"/>
          <w:lang w:val="en-US"/>
        </w:rPr>
        <w:tab/>
      </w:r>
      <w:proofErr w:type="spellStart"/>
      <w:r w:rsidRPr="008009DF">
        <w:rPr>
          <w:rFonts w:ascii="Arial" w:hAnsi="Arial" w:cs="Arial"/>
          <w:sz w:val="20"/>
          <w:szCs w:val="20"/>
          <w:lang w:val="en-US"/>
        </w:rPr>
        <w:t>Schett</w:t>
      </w:r>
      <w:proofErr w:type="spellEnd"/>
      <w:r w:rsidRPr="008009DF">
        <w:rPr>
          <w:rFonts w:ascii="Arial" w:hAnsi="Arial" w:cs="Arial"/>
          <w:sz w:val="20"/>
          <w:szCs w:val="20"/>
          <w:lang w:val="en-US"/>
        </w:rPr>
        <w:t xml:space="preserve"> G, Mackensen A, </w:t>
      </w:r>
      <w:proofErr w:type="spellStart"/>
      <w:r w:rsidRPr="008009DF">
        <w:rPr>
          <w:rFonts w:ascii="Arial" w:hAnsi="Arial" w:cs="Arial"/>
          <w:sz w:val="20"/>
          <w:szCs w:val="20"/>
          <w:lang w:val="en-US"/>
        </w:rPr>
        <w:t>Mougiakakos</w:t>
      </w:r>
      <w:proofErr w:type="spellEnd"/>
      <w:r w:rsidRPr="008009DF">
        <w:rPr>
          <w:rFonts w:ascii="Arial" w:hAnsi="Arial" w:cs="Arial"/>
          <w:sz w:val="20"/>
          <w:szCs w:val="20"/>
          <w:lang w:val="en-US"/>
        </w:rPr>
        <w:t xml:space="preserve"> D. CAR T-cell therapy in autoimmune diseases. Lancet 2023.</w:t>
      </w:r>
    </w:p>
    <w:p w14:paraId="70EC4296"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3.</w:t>
      </w:r>
      <w:r w:rsidRPr="008009DF">
        <w:rPr>
          <w:rFonts w:ascii="Arial" w:hAnsi="Arial" w:cs="Arial"/>
          <w:sz w:val="20"/>
          <w:szCs w:val="20"/>
          <w:lang w:val="en-US"/>
        </w:rPr>
        <w:tab/>
        <w:t xml:space="preserve">Shah BD, Ghobadi A, Oluwole OO, et al. KTE-X19 for relapsed or refractory adult B-cell acute lymphoblastic </w:t>
      </w:r>
      <w:proofErr w:type="spellStart"/>
      <w:r w:rsidRPr="008009DF">
        <w:rPr>
          <w:rFonts w:ascii="Arial" w:hAnsi="Arial" w:cs="Arial"/>
          <w:sz w:val="20"/>
          <w:szCs w:val="20"/>
          <w:lang w:val="en-US"/>
        </w:rPr>
        <w:t>leukaemia</w:t>
      </w:r>
      <w:proofErr w:type="spellEnd"/>
      <w:r w:rsidRPr="008009DF">
        <w:rPr>
          <w:rFonts w:ascii="Arial" w:hAnsi="Arial" w:cs="Arial"/>
          <w:sz w:val="20"/>
          <w:szCs w:val="20"/>
          <w:lang w:val="en-US"/>
        </w:rPr>
        <w:t xml:space="preserve">: phase 2 results of the single-arm, open-label, </w:t>
      </w:r>
      <w:proofErr w:type="spellStart"/>
      <w:r w:rsidRPr="008009DF">
        <w:rPr>
          <w:rFonts w:ascii="Arial" w:hAnsi="Arial" w:cs="Arial"/>
          <w:sz w:val="20"/>
          <w:szCs w:val="20"/>
          <w:lang w:val="en-US"/>
        </w:rPr>
        <w:t>multicentre</w:t>
      </w:r>
      <w:proofErr w:type="spellEnd"/>
      <w:r w:rsidRPr="008009DF">
        <w:rPr>
          <w:rFonts w:ascii="Arial" w:hAnsi="Arial" w:cs="Arial"/>
          <w:sz w:val="20"/>
          <w:szCs w:val="20"/>
          <w:lang w:val="en-US"/>
        </w:rPr>
        <w:t xml:space="preserve"> ZUMA-3 study. Lancet </w:t>
      </w:r>
      <w:proofErr w:type="gramStart"/>
      <w:r w:rsidRPr="008009DF">
        <w:rPr>
          <w:rFonts w:ascii="Arial" w:hAnsi="Arial" w:cs="Arial"/>
          <w:sz w:val="20"/>
          <w:szCs w:val="20"/>
          <w:lang w:val="en-US"/>
        </w:rPr>
        <w:t>2021;398:491</w:t>
      </w:r>
      <w:proofErr w:type="gramEnd"/>
      <w:r w:rsidRPr="008009DF">
        <w:rPr>
          <w:rFonts w:ascii="Arial" w:hAnsi="Arial" w:cs="Arial"/>
          <w:sz w:val="20"/>
          <w:szCs w:val="20"/>
          <w:lang w:val="en-US"/>
        </w:rPr>
        <w:t>-502.</w:t>
      </w:r>
    </w:p>
    <w:p w14:paraId="32C375F7"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4.</w:t>
      </w:r>
      <w:r w:rsidRPr="008009DF">
        <w:rPr>
          <w:rFonts w:ascii="Arial" w:hAnsi="Arial" w:cs="Arial"/>
          <w:sz w:val="20"/>
          <w:szCs w:val="20"/>
          <w:lang w:val="en-US"/>
        </w:rPr>
        <w:tab/>
        <w:t xml:space="preserve">Locke FL, Ghobadi A, Jacobson CA, et al. Long-term safety and activity of </w:t>
      </w:r>
      <w:proofErr w:type="spellStart"/>
      <w:r w:rsidRPr="008009DF">
        <w:rPr>
          <w:rFonts w:ascii="Arial" w:hAnsi="Arial" w:cs="Arial"/>
          <w:sz w:val="20"/>
          <w:szCs w:val="20"/>
          <w:lang w:val="en-US"/>
        </w:rPr>
        <w:t>axicabtagene</w:t>
      </w:r>
      <w:proofErr w:type="spellEnd"/>
      <w:r w:rsidRPr="008009DF">
        <w:rPr>
          <w:rFonts w:ascii="Arial" w:hAnsi="Arial" w:cs="Arial"/>
          <w:sz w:val="20"/>
          <w:szCs w:val="20"/>
          <w:lang w:val="en-US"/>
        </w:rPr>
        <w:t xml:space="preserve"> </w:t>
      </w:r>
      <w:proofErr w:type="spellStart"/>
      <w:r w:rsidRPr="008009DF">
        <w:rPr>
          <w:rFonts w:ascii="Arial" w:hAnsi="Arial" w:cs="Arial"/>
          <w:sz w:val="20"/>
          <w:szCs w:val="20"/>
          <w:lang w:val="en-US"/>
        </w:rPr>
        <w:t>ciloleucel</w:t>
      </w:r>
      <w:proofErr w:type="spellEnd"/>
      <w:r w:rsidRPr="008009DF">
        <w:rPr>
          <w:rFonts w:ascii="Arial" w:hAnsi="Arial" w:cs="Arial"/>
          <w:sz w:val="20"/>
          <w:szCs w:val="20"/>
          <w:lang w:val="en-US"/>
        </w:rPr>
        <w:t xml:space="preserve"> in refractory large B-cell lymphoma (ZUMA-1): a single-arm, </w:t>
      </w:r>
      <w:proofErr w:type="spellStart"/>
      <w:r w:rsidRPr="008009DF">
        <w:rPr>
          <w:rFonts w:ascii="Arial" w:hAnsi="Arial" w:cs="Arial"/>
          <w:sz w:val="20"/>
          <w:szCs w:val="20"/>
          <w:lang w:val="en-US"/>
        </w:rPr>
        <w:t>multicentre</w:t>
      </w:r>
      <w:proofErr w:type="spellEnd"/>
      <w:r w:rsidRPr="008009DF">
        <w:rPr>
          <w:rFonts w:ascii="Arial" w:hAnsi="Arial" w:cs="Arial"/>
          <w:sz w:val="20"/>
          <w:szCs w:val="20"/>
          <w:lang w:val="en-US"/>
        </w:rPr>
        <w:t xml:space="preserve">, phase 1-2 trial. Lancet Oncol </w:t>
      </w:r>
      <w:proofErr w:type="gramStart"/>
      <w:r w:rsidRPr="008009DF">
        <w:rPr>
          <w:rFonts w:ascii="Arial" w:hAnsi="Arial" w:cs="Arial"/>
          <w:sz w:val="20"/>
          <w:szCs w:val="20"/>
          <w:lang w:val="en-US"/>
        </w:rPr>
        <w:t>2019;20:31</w:t>
      </w:r>
      <w:proofErr w:type="gramEnd"/>
      <w:r w:rsidRPr="008009DF">
        <w:rPr>
          <w:rFonts w:ascii="Arial" w:hAnsi="Arial" w:cs="Arial"/>
          <w:sz w:val="20"/>
          <w:szCs w:val="20"/>
          <w:lang w:val="en-US"/>
        </w:rPr>
        <w:t>-42.</w:t>
      </w:r>
    </w:p>
    <w:p w14:paraId="0F914998"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5.</w:t>
      </w:r>
      <w:r w:rsidRPr="008009DF">
        <w:rPr>
          <w:rFonts w:ascii="Arial" w:hAnsi="Arial" w:cs="Arial"/>
          <w:sz w:val="20"/>
          <w:szCs w:val="20"/>
          <w:lang w:val="en-US"/>
        </w:rPr>
        <w:tab/>
        <w:t xml:space="preserve">Schuster SJ, Bishop MR, Tam CS, et al. </w:t>
      </w:r>
      <w:proofErr w:type="spellStart"/>
      <w:r w:rsidRPr="008009DF">
        <w:rPr>
          <w:rFonts w:ascii="Arial" w:hAnsi="Arial" w:cs="Arial"/>
          <w:sz w:val="20"/>
          <w:szCs w:val="20"/>
          <w:lang w:val="en-US"/>
        </w:rPr>
        <w:t>Tisagenlecleucel</w:t>
      </w:r>
      <w:proofErr w:type="spellEnd"/>
      <w:r w:rsidRPr="008009DF">
        <w:rPr>
          <w:rFonts w:ascii="Arial" w:hAnsi="Arial" w:cs="Arial"/>
          <w:sz w:val="20"/>
          <w:szCs w:val="20"/>
          <w:lang w:val="en-US"/>
        </w:rPr>
        <w:t xml:space="preserve"> in Adult Relapsed or Refractory Diffuse Large B-Cell Lymphoma. N Engl J Med </w:t>
      </w:r>
      <w:proofErr w:type="gramStart"/>
      <w:r w:rsidRPr="008009DF">
        <w:rPr>
          <w:rFonts w:ascii="Arial" w:hAnsi="Arial" w:cs="Arial"/>
          <w:sz w:val="20"/>
          <w:szCs w:val="20"/>
          <w:lang w:val="en-US"/>
        </w:rPr>
        <w:t>2019;380:45</w:t>
      </w:r>
      <w:proofErr w:type="gramEnd"/>
      <w:r w:rsidRPr="008009DF">
        <w:rPr>
          <w:rFonts w:ascii="Arial" w:hAnsi="Arial" w:cs="Arial"/>
          <w:sz w:val="20"/>
          <w:szCs w:val="20"/>
          <w:lang w:val="en-US"/>
        </w:rPr>
        <w:t>-56.</w:t>
      </w:r>
    </w:p>
    <w:p w14:paraId="53C0FCEC"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6.</w:t>
      </w:r>
      <w:r w:rsidRPr="008009DF">
        <w:rPr>
          <w:rFonts w:ascii="Arial" w:hAnsi="Arial" w:cs="Arial"/>
          <w:sz w:val="20"/>
          <w:szCs w:val="20"/>
          <w:lang w:val="en-US"/>
        </w:rPr>
        <w:tab/>
        <w:t xml:space="preserve">Wang M, Munoz J, Goy A, et al. KTE-X19 CAR T-Cell Therapy in Relapsed or Refractory Mantle-Cell Lymphoma. N Engl J Med </w:t>
      </w:r>
      <w:proofErr w:type="gramStart"/>
      <w:r w:rsidRPr="008009DF">
        <w:rPr>
          <w:rFonts w:ascii="Arial" w:hAnsi="Arial" w:cs="Arial"/>
          <w:sz w:val="20"/>
          <w:szCs w:val="20"/>
          <w:lang w:val="en-US"/>
        </w:rPr>
        <w:t>2020;382:1331</w:t>
      </w:r>
      <w:proofErr w:type="gramEnd"/>
      <w:r w:rsidRPr="008009DF">
        <w:rPr>
          <w:rFonts w:ascii="Arial" w:hAnsi="Arial" w:cs="Arial"/>
          <w:sz w:val="20"/>
          <w:szCs w:val="20"/>
          <w:lang w:val="en-US"/>
        </w:rPr>
        <w:t>-1342.</w:t>
      </w:r>
    </w:p>
    <w:p w14:paraId="2DB3C61F"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lastRenderedPageBreak/>
        <w:t>7.</w:t>
      </w:r>
      <w:r w:rsidRPr="008009DF">
        <w:rPr>
          <w:rFonts w:ascii="Arial" w:hAnsi="Arial" w:cs="Arial"/>
          <w:sz w:val="20"/>
          <w:szCs w:val="20"/>
          <w:lang w:val="en-US"/>
        </w:rPr>
        <w:tab/>
        <w:t xml:space="preserve">Iacoboni G, Rejeski K, Villacampa G, et al. Real-world evidence of </w:t>
      </w:r>
      <w:proofErr w:type="spellStart"/>
      <w:r w:rsidRPr="008009DF">
        <w:rPr>
          <w:rFonts w:ascii="Arial" w:hAnsi="Arial" w:cs="Arial"/>
          <w:sz w:val="20"/>
          <w:szCs w:val="20"/>
          <w:lang w:val="en-US"/>
        </w:rPr>
        <w:t>brexucabtagene</w:t>
      </w:r>
      <w:proofErr w:type="spellEnd"/>
      <w:r w:rsidRPr="008009DF">
        <w:rPr>
          <w:rFonts w:ascii="Arial" w:hAnsi="Arial" w:cs="Arial"/>
          <w:sz w:val="20"/>
          <w:szCs w:val="20"/>
          <w:lang w:val="en-US"/>
        </w:rPr>
        <w:t xml:space="preserve"> </w:t>
      </w:r>
      <w:proofErr w:type="spellStart"/>
      <w:r w:rsidRPr="008009DF">
        <w:rPr>
          <w:rFonts w:ascii="Arial" w:hAnsi="Arial" w:cs="Arial"/>
          <w:sz w:val="20"/>
          <w:szCs w:val="20"/>
          <w:lang w:val="en-US"/>
        </w:rPr>
        <w:t>autoleucel</w:t>
      </w:r>
      <w:proofErr w:type="spellEnd"/>
      <w:r w:rsidRPr="008009DF">
        <w:rPr>
          <w:rFonts w:ascii="Arial" w:hAnsi="Arial" w:cs="Arial"/>
          <w:sz w:val="20"/>
          <w:szCs w:val="20"/>
          <w:lang w:val="en-US"/>
        </w:rPr>
        <w:t xml:space="preserve"> for the treatment of relapsed or refractory mantle cell lymphoma. Blood Adv 2022.</w:t>
      </w:r>
    </w:p>
    <w:p w14:paraId="64C46BAD" w14:textId="77777777" w:rsidR="00154C13" w:rsidRPr="008009DF" w:rsidRDefault="00154C13" w:rsidP="00154C13">
      <w:pPr>
        <w:rPr>
          <w:rFonts w:ascii="Arial" w:hAnsi="Arial" w:cs="Arial"/>
          <w:sz w:val="20"/>
          <w:szCs w:val="20"/>
        </w:rPr>
      </w:pPr>
      <w:r w:rsidRPr="008009DF">
        <w:rPr>
          <w:rFonts w:ascii="Arial" w:hAnsi="Arial" w:cs="Arial"/>
          <w:sz w:val="20"/>
          <w:szCs w:val="20"/>
          <w:lang w:val="en-US"/>
        </w:rPr>
        <w:t>8.</w:t>
      </w:r>
      <w:r w:rsidRPr="008009DF">
        <w:rPr>
          <w:rFonts w:ascii="Arial" w:hAnsi="Arial" w:cs="Arial"/>
          <w:sz w:val="20"/>
          <w:szCs w:val="20"/>
          <w:lang w:val="en-US"/>
        </w:rPr>
        <w:tab/>
        <w:t>Shimabukuro-</w:t>
      </w:r>
      <w:proofErr w:type="spellStart"/>
      <w:r w:rsidRPr="008009DF">
        <w:rPr>
          <w:rFonts w:ascii="Arial" w:hAnsi="Arial" w:cs="Arial"/>
          <w:sz w:val="20"/>
          <w:szCs w:val="20"/>
          <w:lang w:val="en-US"/>
        </w:rPr>
        <w:t>Vornhagen</w:t>
      </w:r>
      <w:proofErr w:type="spellEnd"/>
      <w:r w:rsidRPr="008009DF">
        <w:rPr>
          <w:rFonts w:ascii="Arial" w:hAnsi="Arial" w:cs="Arial"/>
          <w:sz w:val="20"/>
          <w:szCs w:val="20"/>
          <w:lang w:val="en-US"/>
        </w:rPr>
        <w:t xml:space="preserve"> A, Godel P, Subklewe M, et al. Cytokine release syndrome. </w:t>
      </w:r>
      <w:r w:rsidRPr="008009DF">
        <w:rPr>
          <w:rFonts w:ascii="Arial" w:hAnsi="Arial" w:cs="Arial"/>
          <w:sz w:val="20"/>
          <w:szCs w:val="20"/>
        </w:rPr>
        <w:t xml:space="preserve">J </w:t>
      </w:r>
      <w:proofErr w:type="spellStart"/>
      <w:r w:rsidRPr="008009DF">
        <w:rPr>
          <w:rFonts w:ascii="Arial" w:hAnsi="Arial" w:cs="Arial"/>
          <w:sz w:val="20"/>
          <w:szCs w:val="20"/>
        </w:rPr>
        <w:t>Immunother</w:t>
      </w:r>
      <w:proofErr w:type="spellEnd"/>
      <w:r w:rsidRPr="008009DF">
        <w:rPr>
          <w:rFonts w:ascii="Arial" w:hAnsi="Arial" w:cs="Arial"/>
          <w:sz w:val="20"/>
          <w:szCs w:val="20"/>
        </w:rPr>
        <w:t xml:space="preserve"> Cancer </w:t>
      </w:r>
      <w:proofErr w:type="gramStart"/>
      <w:r w:rsidRPr="008009DF">
        <w:rPr>
          <w:rFonts w:ascii="Arial" w:hAnsi="Arial" w:cs="Arial"/>
          <w:sz w:val="20"/>
          <w:szCs w:val="20"/>
        </w:rPr>
        <w:t>2018;6:56</w:t>
      </w:r>
      <w:proofErr w:type="gramEnd"/>
      <w:r w:rsidRPr="008009DF">
        <w:rPr>
          <w:rFonts w:ascii="Arial" w:hAnsi="Arial" w:cs="Arial"/>
          <w:sz w:val="20"/>
          <w:szCs w:val="20"/>
        </w:rPr>
        <w:t>.</w:t>
      </w:r>
    </w:p>
    <w:p w14:paraId="5E63B293" w14:textId="77777777" w:rsidR="00154C13" w:rsidRPr="008009DF" w:rsidRDefault="00154C13" w:rsidP="00154C13">
      <w:pPr>
        <w:rPr>
          <w:rFonts w:ascii="Arial" w:hAnsi="Arial" w:cs="Arial"/>
          <w:sz w:val="20"/>
          <w:szCs w:val="20"/>
          <w:lang w:val="en-US"/>
        </w:rPr>
      </w:pPr>
      <w:r w:rsidRPr="008009DF">
        <w:rPr>
          <w:rFonts w:ascii="Arial" w:hAnsi="Arial" w:cs="Arial"/>
          <w:sz w:val="20"/>
          <w:szCs w:val="20"/>
        </w:rPr>
        <w:t>9.</w:t>
      </w:r>
      <w:r w:rsidRPr="008009DF">
        <w:rPr>
          <w:rFonts w:ascii="Arial" w:hAnsi="Arial" w:cs="Arial"/>
          <w:sz w:val="20"/>
          <w:szCs w:val="20"/>
        </w:rPr>
        <w:tab/>
      </w:r>
      <w:proofErr w:type="spellStart"/>
      <w:r w:rsidRPr="008009DF">
        <w:rPr>
          <w:rFonts w:ascii="Arial" w:hAnsi="Arial" w:cs="Arial"/>
          <w:sz w:val="20"/>
          <w:szCs w:val="20"/>
        </w:rPr>
        <w:t>Karschnia</w:t>
      </w:r>
      <w:proofErr w:type="spellEnd"/>
      <w:r w:rsidRPr="008009DF">
        <w:rPr>
          <w:rFonts w:ascii="Arial" w:hAnsi="Arial" w:cs="Arial"/>
          <w:sz w:val="20"/>
          <w:szCs w:val="20"/>
        </w:rPr>
        <w:t xml:space="preserve"> P, Jordan JT, Forst DA, et al. </w:t>
      </w:r>
      <w:r w:rsidRPr="008009DF">
        <w:rPr>
          <w:rFonts w:ascii="Arial" w:hAnsi="Arial" w:cs="Arial"/>
          <w:sz w:val="20"/>
          <w:szCs w:val="20"/>
          <w:lang w:val="en-US"/>
        </w:rPr>
        <w:t xml:space="preserve">Clinical presentation, management, and biomarkers of neurotoxicity after adoptive immunotherapy with CAR T cells. Blood </w:t>
      </w:r>
      <w:proofErr w:type="gramStart"/>
      <w:r w:rsidRPr="008009DF">
        <w:rPr>
          <w:rFonts w:ascii="Arial" w:hAnsi="Arial" w:cs="Arial"/>
          <w:sz w:val="20"/>
          <w:szCs w:val="20"/>
          <w:lang w:val="en-US"/>
        </w:rPr>
        <w:t>2019;133:2212</w:t>
      </w:r>
      <w:proofErr w:type="gramEnd"/>
      <w:r w:rsidRPr="008009DF">
        <w:rPr>
          <w:rFonts w:ascii="Arial" w:hAnsi="Arial" w:cs="Arial"/>
          <w:sz w:val="20"/>
          <w:szCs w:val="20"/>
          <w:lang w:val="en-US"/>
        </w:rPr>
        <w:t>-2221.</w:t>
      </w:r>
    </w:p>
    <w:p w14:paraId="31C68C5E" w14:textId="77777777" w:rsidR="00154C13" w:rsidRPr="008009DF" w:rsidRDefault="00154C13" w:rsidP="00154C13">
      <w:pPr>
        <w:rPr>
          <w:rFonts w:ascii="Arial" w:hAnsi="Arial" w:cs="Arial"/>
          <w:sz w:val="20"/>
          <w:szCs w:val="20"/>
          <w:lang w:val="en-US"/>
        </w:rPr>
      </w:pPr>
      <w:r w:rsidRPr="008009DF">
        <w:rPr>
          <w:rFonts w:ascii="Arial" w:hAnsi="Arial" w:cs="Arial"/>
          <w:sz w:val="20"/>
          <w:szCs w:val="20"/>
        </w:rPr>
        <w:t>10.</w:t>
      </w:r>
      <w:r w:rsidRPr="008009DF">
        <w:rPr>
          <w:rFonts w:ascii="Arial" w:hAnsi="Arial" w:cs="Arial"/>
          <w:sz w:val="20"/>
          <w:szCs w:val="20"/>
        </w:rPr>
        <w:tab/>
      </w:r>
      <w:proofErr w:type="spellStart"/>
      <w:r w:rsidRPr="008009DF">
        <w:rPr>
          <w:rFonts w:ascii="Arial" w:hAnsi="Arial" w:cs="Arial"/>
          <w:sz w:val="20"/>
          <w:szCs w:val="20"/>
        </w:rPr>
        <w:t>Karschnia</w:t>
      </w:r>
      <w:proofErr w:type="spellEnd"/>
      <w:r w:rsidRPr="008009DF">
        <w:rPr>
          <w:rFonts w:ascii="Arial" w:hAnsi="Arial" w:cs="Arial"/>
          <w:sz w:val="20"/>
          <w:szCs w:val="20"/>
        </w:rPr>
        <w:t xml:space="preserve"> P, Miller KC, Yee AJ, et al. </w:t>
      </w:r>
      <w:r w:rsidRPr="008009DF">
        <w:rPr>
          <w:rFonts w:ascii="Arial" w:hAnsi="Arial" w:cs="Arial"/>
          <w:sz w:val="20"/>
          <w:szCs w:val="20"/>
          <w:lang w:val="en-US"/>
        </w:rPr>
        <w:t>Neurologic toxicities following adoptive immunotherapy with BCMA-directed CAR T-cells. Blood 2023.</w:t>
      </w:r>
    </w:p>
    <w:p w14:paraId="2903B942"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11.</w:t>
      </w:r>
      <w:r w:rsidRPr="008009DF">
        <w:rPr>
          <w:rFonts w:ascii="Arial" w:hAnsi="Arial" w:cs="Arial"/>
          <w:sz w:val="20"/>
          <w:szCs w:val="20"/>
          <w:lang w:val="en-US"/>
        </w:rPr>
        <w:tab/>
      </w:r>
      <w:proofErr w:type="spellStart"/>
      <w:r w:rsidRPr="008009DF">
        <w:rPr>
          <w:rFonts w:ascii="Arial" w:hAnsi="Arial" w:cs="Arial"/>
          <w:sz w:val="20"/>
          <w:szCs w:val="20"/>
          <w:lang w:val="en-US"/>
        </w:rPr>
        <w:t>Wudhikarn</w:t>
      </w:r>
      <w:proofErr w:type="spellEnd"/>
      <w:r w:rsidRPr="008009DF">
        <w:rPr>
          <w:rFonts w:ascii="Arial" w:hAnsi="Arial" w:cs="Arial"/>
          <w:sz w:val="20"/>
          <w:szCs w:val="20"/>
          <w:lang w:val="en-US"/>
        </w:rPr>
        <w:t xml:space="preserve"> K, Pennisi M, Garcia-Recio M, et al. DLBCL patients treated with CD19 CAR T cells experience a high burden of organ toxicities but low </w:t>
      </w:r>
      <w:proofErr w:type="spellStart"/>
      <w:r w:rsidRPr="008009DF">
        <w:rPr>
          <w:rFonts w:ascii="Arial" w:hAnsi="Arial" w:cs="Arial"/>
          <w:sz w:val="20"/>
          <w:szCs w:val="20"/>
          <w:lang w:val="en-US"/>
        </w:rPr>
        <w:t>nonrelapse</w:t>
      </w:r>
      <w:proofErr w:type="spellEnd"/>
      <w:r w:rsidRPr="008009DF">
        <w:rPr>
          <w:rFonts w:ascii="Arial" w:hAnsi="Arial" w:cs="Arial"/>
          <w:sz w:val="20"/>
          <w:szCs w:val="20"/>
          <w:lang w:val="en-US"/>
        </w:rPr>
        <w:t xml:space="preserve"> mortality. Blood Adv </w:t>
      </w:r>
      <w:proofErr w:type="gramStart"/>
      <w:r w:rsidRPr="008009DF">
        <w:rPr>
          <w:rFonts w:ascii="Arial" w:hAnsi="Arial" w:cs="Arial"/>
          <w:sz w:val="20"/>
          <w:szCs w:val="20"/>
          <w:lang w:val="en-US"/>
        </w:rPr>
        <w:t>2020;4:3024</w:t>
      </w:r>
      <w:proofErr w:type="gramEnd"/>
      <w:r w:rsidRPr="008009DF">
        <w:rPr>
          <w:rFonts w:ascii="Arial" w:hAnsi="Arial" w:cs="Arial"/>
          <w:sz w:val="20"/>
          <w:szCs w:val="20"/>
          <w:lang w:val="en-US"/>
        </w:rPr>
        <w:t>-3033.</w:t>
      </w:r>
    </w:p>
    <w:p w14:paraId="0EE6DAEB"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12.</w:t>
      </w:r>
      <w:r w:rsidRPr="008009DF">
        <w:rPr>
          <w:rFonts w:ascii="Arial" w:hAnsi="Arial" w:cs="Arial"/>
          <w:sz w:val="20"/>
          <w:szCs w:val="20"/>
          <w:lang w:val="en-US"/>
        </w:rPr>
        <w:tab/>
      </w:r>
      <w:proofErr w:type="spellStart"/>
      <w:r w:rsidRPr="008009DF">
        <w:rPr>
          <w:rFonts w:ascii="Arial" w:hAnsi="Arial" w:cs="Arial"/>
          <w:sz w:val="20"/>
          <w:szCs w:val="20"/>
          <w:lang w:val="en-US"/>
        </w:rPr>
        <w:t>Rejeski</w:t>
      </w:r>
      <w:proofErr w:type="spellEnd"/>
      <w:r w:rsidRPr="008009DF">
        <w:rPr>
          <w:rFonts w:ascii="Arial" w:hAnsi="Arial" w:cs="Arial"/>
          <w:sz w:val="20"/>
          <w:szCs w:val="20"/>
          <w:lang w:val="en-US"/>
        </w:rPr>
        <w:t xml:space="preserve"> K, Perez </w:t>
      </w:r>
      <w:proofErr w:type="spellStart"/>
      <w:r w:rsidRPr="008009DF">
        <w:rPr>
          <w:rFonts w:ascii="Arial" w:hAnsi="Arial" w:cs="Arial"/>
          <w:sz w:val="20"/>
          <w:szCs w:val="20"/>
          <w:lang w:val="en-US"/>
        </w:rPr>
        <w:t>Perez</w:t>
      </w:r>
      <w:proofErr w:type="spellEnd"/>
      <w:r w:rsidRPr="008009DF">
        <w:rPr>
          <w:rFonts w:ascii="Arial" w:hAnsi="Arial" w:cs="Arial"/>
          <w:sz w:val="20"/>
          <w:szCs w:val="20"/>
          <w:lang w:val="en-US"/>
        </w:rPr>
        <w:t xml:space="preserve"> A, </w:t>
      </w:r>
      <w:proofErr w:type="spellStart"/>
      <w:r w:rsidRPr="008009DF">
        <w:rPr>
          <w:rFonts w:ascii="Arial" w:hAnsi="Arial" w:cs="Arial"/>
          <w:sz w:val="20"/>
          <w:szCs w:val="20"/>
          <w:lang w:val="en-US"/>
        </w:rPr>
        <w:t>Sesques</w:t>
      </w:r>
      <w:proofErr w:type="spellEnd"/>
      <w:r w:rsidRPr="008009DF">
        <w:rPr>
          <w:rFonts w:ascii="Arial" w:hAnsi="Arial" w:cs="Arial"/>
          <w:sz w:val="20"/>
          <w:szCs w:val="20"/>
          <w:lang w:val="en-US"/>
        </w:rPr>
        <w:t xml:space="preserve"> P, et al. CAR-HEMATOTOX: A model for CAR T-cell related hematological toxicity in relapsed/refractory large B-cell lymphoma. Blood 2021.</w:t>
      </w:r>
    </w:p>
    <w:p w14:paraId="496916DA"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13.</w:t>
      </w:r>
      <w:r w:rsidRPr="008009DF">
        <w:rPr>
          <w:rFonts w:ascii="Arial" w:hAnsi="Arial" w:cs="Arial"/>
          <w:sz w:val="20"/>
          <w:szCs w:val="20"/>
          <w:lang w:val="en-US"/>
        </w:rPr>
        <w:tab/>
        <w:t xml:space="preserve">Rejeski K, Hansen DK, Bansal R, et al. The CAR-HEMATOTOX score as a prognostic model of toxicity and response in patients receiving BCMA-directed CAR-T for relapsed/refractory multiple myeloma. J </w:t>
      </w:r>
      <w:proofErr w:type="spellStart"/>
      <w:r w:rsidRPr="008009DF">
        <w:rPr>
          <w:rFonts w:ascii="Arial" w:hAnsi="Arial" w:cs="Arial"/>
          <w:sz w:val="20"/>
          <w:szCs w:val="20"/>
          <w:lang w:val="en-US"/>
        </w:rPr>
        <w:t>Hematol</w:t>
      </w:r>
      <w:proofErr w:type="spellEnd"/>
      <w:r w:rsidRPr="008009DF">
        <w:rPr>
          <w:rFonts w:ascii="Arial" w:hAnsi="Arial" w:cs="Arial"/>
          <w:sz w:val="20"/>
          <w:szCs w:val="20"/>
          <w:lang w:val="en-US"/>
        </w:rPr>
        <w:t xml:space="preserve"> Oncol </w:t>
      </w:r>
      <w:proofErr w:type="gramStart"/>
      <w:r w:rsidRPr="008009DF">
        <w:rPr>
          <w:rFonts w:ascii="Arial" w:hAnsi="Arial" w:cs="Arial"/>
          <w:sz w:val="20"/>
          <w:szCs w:val="20"/>
          <w:lang w:val="en-US"/>
        </w:rPr>
        <w:t>2023;16:88</w:t>
      </w:r>
      <w:proofErr w:type="gramEnd"/>
      <w:r w:rsidRPr="008009DF">
        <w:rPr>
          <w:rFonts w:ascii="Arial" w:hAnsi="Arial" w:cs="Arial"/>
          <w:sz w:val="20"/>
          <w:szCs w:val="20"/>
          <w:lang w:val="en-US"/>
        </w:rPr>
        <w:t>.</w:t>
      </w:r>
    </w:p>
    <w:p w14:paraId="5F9E8CD9"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14.</w:t>
      </w:r>
      <w:r w:rsidRPr="008009DF">
        <w:rPr>
          <w:rFonts w:ascii="Arial" w:hAnsi="Arial" w:cs="Arial"/>
          <w:sz w:val="20"/>
          <w:szCs w:val="20"/>
          <w:lang w:val="en-US"/>
        </w:rPr>
        <w:tab/>
        <w:t xml:space="preserve">Rejeski K, Wang Y, </w:t>
      </w:r>
      <w:proofErr w:type="spellStart"/>
      <w:r w:rsidRPr="008009DF">
        <w:rPr>
          <w:rFonts w:ascii="Arial" w:hAnsi="Arial" w:cs="Arial"/>
          <w:sz w:val="20"/>
          <w:szCs w:val="20"/>
          <w:lang w:val="en-US"/>
        </w:rPr>
        <w:t>Albanyan</w:t>
      </w:r>
      <w:proofErr w:type="spellEnd"/>
      <w:r w:rsidRPr="008009DF">
        <w:rPr>
          <w:rFonts w:ascii="Arial" w:hAnsi="Arial" w:cs="Arial"/>
          <w:sz w:val="20"/>
          <w:szCs w:val="20"/>
          <w:lang w:val="en-US"/>
        </w:rPr>
        <w:t xml:space="preserve"> O, et al. The CAR-HEMATOTOX score identifies patients at high risk for hematological toxicity, infectious complications, and poor treatment outcomes following </w:t>
      </w:r>
      <w:proofErr w:type="spellStart"/>
      <w:r w:rsidRPr="008009DF">
        <w:rPr>
          <w:rFonts w:ascii="Arial" w:hAnsi="Arial" w:cs="Arial"/>
          <w:sz w:val="20"/>
          <w:szCs w:val="20"/>
          <w:lang w:val="en-US"/>
        </w:rPr>
        <w:t>brexucabtagene</w:t>
      </w:r>
      <w:proofErr w:type="spellEnd"/>
      <w:r w:rsidRPr="008009DF">
        <w:rPr>
          <w:rFonts w:ascii="Arial" w:hAnsi="Arial" w:cs="Arial"/>
          <w:sz w:val="20"/>
          <w:szCs w:val="20"/>
          <w:lang w:val="en-US"/>
        </w:rPr>
        <w:t xml:space="preserve"> </w:t>
      </w:r>
      <w:proofErr w:type="spellStart"/>
      <w:r w:rsidRPr="008009DF">
        <w:rPr>
          <w:rFonts w:ascii="Arial" w:hAnsi="Arial" w:cs="Arial"/>
          <w:sz w:val="20"/>
          <w:szCs w:val="20"/>
          <w:lang w:val="en-US"/>
        </w:rPr>
        <w:t>autoleucel</w:t>
      </w:r>
      <w:proofErr w:type="spellEnd"/>
      <w:r w:rsidRPr="008009DF">
        <w:rPr>
          <w:rFonts w:ascii="Arial" w:hAnsi="Arial" w:cs="Arial"/>
          <w:sz w:val="20"/>
          <w:szCs w:val="20"/>
          <w:lang w:val="en-US"/>
        </w:rPr>
        <w:t xml:space="preserve"> for relapsed or refractory MCL. Am J </w:t>
      </w:r>
      <w:proofErr w:type="spellStart"/>
      <w:r w:rsidRPr="008009DF">
        <w:rPr>
          <w:rFonts w:ascii="Arial" w:hAnsi="Arial" w:cs="Arial"/>
          <w:sz w:val="20"/>
          <w:szCs w:val="20"/>
          <w:lang w:val="en-US"/>
        </w:rPr>
        <w:t>Hematol</w:t>
      </w:r>
      <w:proofErr w:type="spellEnd"/>
      <w:r w:rsidRPr="008009DF">
        <w:rPr>
          <w:rFonts w:ascii="Arial" w:hAnsi="Arial" w:cs="Arial"/>
          <w:sz w:val="20"/>
          <w:szCs w:val="20"/>
          <w:lang w:val="en-US"/>
        </w:rPr>
        <w:t xml:space="preserve"> 2023.</w:t>
      </w:r>
    </w:p>
    <w:p w14:paraId="608E50FF"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15.</w:t>
      </w:r>
      <w:r w:rsidRPr="008009DF">
        <w:rPr>
          <w:rFonts w:ascii="Arial" w:hAnsi="Arial" w:cs="Arial"/>
          <w:sz w:val="20"/>
          <w:szCs w:val="20"/>
          <w:lang w:val="en-US"/>
        </w:rPr>
        <w:tab/>
        <w:t xml:space="preserve">Jain T, Knezevic A, Pennisi M, et al. Hematopoietic recovery in patients receiving chimeric antigen receptor T-cell therapy for hematologic malignancies. Blood Adv </w:t>
      </w:r>
      <w:proofErr w:type="gramStart"/>
      <w:r w:rsidRPr="008009DF">
        <w:rPr>
          <w:rFonts w:ascii="Arial" w:hAnsi="Arial" w:cs="Arial"/>
          <w:sz w:val="20"/>
          <w:szCs w:val="20"/>
          <w:lang w:val="en-US"/>
        </w:rPr>
        <w:t>2020;4:3776</w:t>
      </w:r>
      <w:proofErr w:type="gramEnd"/>
      <w:r w:rsidRPr="008009DF">
        <w:rPr>
          <w:rFonts w:ascii="Arial" w:hAnsi="Arial" w:cs="Arial"/>
          <w:sz w:val="20"/>
          <w:szCs w:val="20"/>
          <w:lang w:val="en-US"/>
        </w:rPr>
        <w:t>-3787.</w:t>
      </w:r>
    </w:p>
    <w:p w14:paraId="4EC6439E"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16.</w:t>
      </w:r>
      <w:r w:rsidRPr="008009DF">
        <w:rPr>
          <w:rFonts w:ascii="Arial" w:hAnsi="Arial" w:cs="Arial"/>
          <w:sz w:val="20"/>
          <w:szCs w:val="20"/>
          <w:lang w:val="en-US"/>
        </w:rPr>
        <w:tab/>
        <w:t xml:space="preserve">Jain T, Olson TS, Locke FL. How I Treat </w:t>
      </w:r>
      <w:proofErr w:type="spellStart"/>
      <w:r w:rsidRPr="008009DF">
        <w:rPr>
          <w:rFonts w:ascii="Arial" w:hAnsi="Arial" w:cs="Arial"/>
          <w:sz w:val="20"/>
          <w:szCs w:val="20"/>
          <w:lang w:val="en-US"/>
        </w:rPr>
        <w:t>Cytopenias</w:t>
      </w:r>
      <w:proofErr w:type="spellEnd"/>
      <w:r w:rsidRPr="008009DF">
        <w:rPr>
          <w:rFonts w:ascii="Arial" w:hAnsi="Arial" w:cs="Arial"/>
          <w:sz w:val="20"/>
          <w:szCs w:val="20"/>
          <w:lang w:val="en-US"/>
        </w:rPr>
        <w:t xml:space="preserve"> after CAR T-cell Therapy. Blood 2023.</w:t>
      </w:r>
    </w:p>
    <w:p w14:paraId="271CDD57"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17.</w:t>
      </w:r>
      <w:r w:rsidRPr="008009DF">
        <w:rPr>
          <w:rFonts w:ascii="Arial" w:hAnsi="Arial" w:cs="Arial"/>
          <w:sz w:val="20"/>
          <w:szCs w:val="20"/>
          <w:lang w:val="en-US"/>
        </w:rPr>
        <w:tab/>
        <w:t xml:space="preserve">Hill JA, Li D, Hay KA, et al. Infectious complications of CD19-targeted chimeric antigen receptor-modified T-cell immunotherapy. Blood </w:t>
      </w:r>
      <w:proofErr w:type="gramStart"/>
      <w:r w:rsidRPr="008009DF">
        <w:rPr>
          <w:rFonts w:ascii="Arial" w:hAnsi="Arial" w:cs="Arial"/>
          <w:sz w:val="20"/>
          <w:szCs w:val="20"/>
          <w:lang w:val="en-US"/>
        </w:rPr>
        <w:t>2018;131:121</w:t>
      </w:r>
      <w:proofErr w:type="gramEnd"/>
      <w:r w:rsidRPr="008009DF">
        <w:rPr>
          <w:rFonts w:ascii="Arial" w:hAnsi="Arial" w:cs="Arial"/>
          <w:sz w:val="20"/>
          <w:szCs w:val="20"/>
          <w:lang w:val="en-US"/>
        </w:rPr>
        <w:t>-130.</w:t>
      </w:r>
    </w:p>
    <w:p w14:paraId="19641D63"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18.</w:t>
      </w:r>
      <w:r w:rsidRPr="008009DF">
        <w:rPr>
          <w:rFonts w:ascii="Arial" w:hAnsi="Arial" w:cs="Arial"/>
          <w:sz w:val="20"/>
          <w:szCs w:val="20"/>
          <w:lang w:val="en-US"/>
        </w:rPr>
        <w:tab/>
        <w:t xml:space="preserve">Rejeski K, Kunz WG, </w:t>
      </w:r>
      <w:proofErr w:type="spellStart"/>
      <w:r w:rsidRPr="008009DF">
        <w:rPr>
          <w:rFonts w:ascii="Arial" w:hAnsi="Arial" w:cs="Arial"/>
          <w:sz w:val="20"/>
          <w:szCs w:val="20"/>
          <w:lang w:val="en-US"/>
        </w:rPr>
        <w:t>Rudelius</w:t>
      </w:r>
      <w:proofErr w:type="spellEnd"/>
      <w:r w:rsidRPr="008009DF">
        <w:rPr>
          <w:rFonts w:ascii="Arial" w:hAnsi="Arial" w:cs="Arial"/>
          <w:sz w:val="20"/>
          <w:szCs w:val="20"/>
          <w:lang w:val="en-US"/>
        </w:rPr>
        <w:t xml:space="preserve"> M, et al. Severe Candida glabrata pancolitis and fatal Aspergillus fumigatus pulmonary infection in the setting of bone marrow aplasia after CD19-directed CAR T-cell therapy - a case report. BMC Infect Dis </w:t>
      </w:r>
      <w:proofErr w:type="gramStart"/>
      <w:r w:rsidRPr="008009DF">
        <w:rPr>
          <w:rFonts w:ascii="Arial" w:hAnsi="Arial" w:cs="Arial"/>
          <w:sz w:val="20"/>
          <w:szCs w:val="20"/>
          <w:lang w:val="en-US"/>
        </w:rPr>
        <w:t>2021;21:121</w:t>
      </w:r>
      <w:proofErr w:type="gramEnd"/>
      <w:r w:rsidRPr="008009DF">
        <w:rPr>
          <w:rFonts w:ascii="Arial" w:hAnsi="Arial" w:cs="Arial"/>
          <w:sz w:val="20"/>
          <w:szCs w:val="20"/>
          <w:lang w:val="en-US"/>
        </w:rPr>
        <w:t>.</w:t>
      </w:r>
    </w:p>
    <w:p w14:paraId="30C81D15"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19.</w:t>
      </w:r>
      <w:r w:rsidRPr="008009DF">
        <w:rPr>
          <w:rFonts w:ascii="Arial" w:hAnsi="Arial" w:cs="Arial"/>
          <w:sz w:val="20"/>
          <w:szCs w:val="20"/>
          <w:lang w:val="en-US"/>
        </w:rPr>
        <w:tab/>
        <w:t xml:space="preserve">Rejeski K, Perez A, Iacoboni G, et al. The CAR-HEMATOTOX risk-stratifies patients for severe infections and disease progression after CD19 CAR-T in R/R LBCL. J </w:t>
      </w:r>
      <w:proofErr w:type="spellStart"/>
      <w:r w:rsidRPr="008009DF">
        <w:rPr>
          <w:rFonts w:ascii="Arial" w:hAnsi="Arial" w:cs="Arial"/>
          <w:sz w:val="20"/>
          <w:szCs w:val="20"/>
          <w:lang w:val="en-US"/>
        </w:rPr>
        <w:t>Immunother</w:t>
      </w:r>
      <w:proofErr w:type="spellEnd"/>
      <w:r w:rsidRPr="008009DF">
        <w:rPr>
          <w:rFonts w:ascii="Arial" w:hAnsi="Arial" w:cs="Arial"/>
          <w:sz w:val="20"/>
          <w:szCs w:val="20"/>
          <w:lang w:val="en-US"/>
        </w:rPr>
        <w:t xml:space="preserve"> Cancer 2022;10.</w:t>
      </w:r>
    </w:p>
    <w:p w14:paraId="0810785D"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20.</w:t>
      </w:r>
      <w:r w:rsidRPr="008009DF">
        <w:rPr>
          <w:rFonts w:ascii="Arial" w:hAnsi="Arial" w:cs="Arial"/>
          <w:sz w:val="20"/>
          <w:szCs w:val="20"/>
          <w:lang w:val="en-US"/>
        </w:rPr>
        <w:tab/>
      </w:r>
      <w:proofErr w:type="spellStart"/>
      <w:r w:rsidRPr="008009DF">
        <w:rPr>
          <w:rFonts w:ascii="Arial" w:hAnsi="Arial" w:cs="Arial"/>
          <w:sz w:val="20"/>
          <w:szCs w:val="20"/>
          <w:lang w:val="en-US"/>
        </w:rPr>
        <w:t>Nastoupil</w:t>
      </w:r>
      <w:proofErr w:type="spellEnd"/>
      <w:r w:rsidRPr="008009DF">
        <w:rPr>
          <w:rFonts w:ascii="Arial" w:hAnsi="Arial" w:cs="Arial"/>
          <w:sz w:val="20"/>
          <w:szCs w:val="20"/>
          <w:lang w:val="en-US"/>
        </w:rPr>
        <w:t xml:space="preserve"> LJ, Jain MD, Feng L, et al. Standard-of-Care </w:t>
      </w:r>
      <w:proofErr w:type="spellStart"/>
      <w:r w:rsidRPr="008009DF">
        <w:rPr>
          <w:rFonts w:ascii="Arial" w:hAnsi="Arial" w:cs="Arial"/>
          <w:sz w:val="20"/>
          <w:szCs w:val="20"/>
          <w:lang w:val="en-US"/>
        </w:rPr>
        <w:t>Axicabtagene</w:t>
      </w:r>
      <w:proofErr w:type="spellEnd"/>
      <w:r w:rsidRPr="008009DF">
        <w:rPr>
          <w:rFonts w:ascii="Arial" w:hAnsi="Arial" w:cs="Arial"/>
          <w:sz w:val="20"/>
          <w:szCs w:val="20"/>
          <w:lang w:val="en-US"/>
        </w:rPr>
        <w:t xml:space="preserve"> </w:t>
      </w:r>
      <w:proofErr w:type="spellStart"/>
      <w:r w:rsidRPr="008009DF">
        <w:rPr>
          <w:rFonts w:ascii="Arial" w:hAnsi="Arial" w:cs="Arial"/>
          <w:sz w:val="20"/>
          <w:szCs w:val="20"/>
          <w:lang w:val="en-US"/>
        </w:rPr>
        <w:t>Ciloleucel</w:t>
      </w:r>
      <w:proofErr w:type="spellEnd"/>
      <w:r w:rsidRPr="008009DF">
        <w:rPr>
          <w:rFonts w:ascii="Arial" w:hAnsi="Arial" w:cs="Arial"/>
          <w:sz w:val="20"/>
          <w:szCs w:val="20"/>
          <w:lang w:val="en-US"/>
        </w:rPr>
        <w:t xml:space="preserve"> for Relapsed or Refractory Large B-Cell Lymphoma: Results </w:t>
      </w:r>
      <w:proofErr w:type="gramStart"/>
      <w:r w:rsidRPr="008009DF">
        <w:rPr>
          <w:rFonts w:ascii="Arial" w:hAnsi="Arial" w:cs="Arial"/>
          <w:sz w:val="20"/>
          <w:szCs w:val="20"/>
          <w:lang w:val="en-US"/>
        </w:rPr>
        <w:t>From</w:t>
      </w:r>
      <w:proofErr w:type="gramEnd"/>
      <w:r w:rsidRPr="008009DF">
        <w:rPr>
          <w:rFonts w:ascii="Arial" w:hAnsi="Arial" w:cs="Arial"/>
          <w:sz w:val="20"/>
          <w:szCs w:val="20"/>
          <w:lang w:val="en-US"/>
        </w:rPr>
        <w:t xml:space="preserve"> the US Lymphoma CAR T Consortium. J Clin Oncol </w:t>
      </w:r>
      <w:proofErr w:type="gramStart"/>
      <w:r w:rsidRPr="008009DF">
        <w:rPr>
          <w:rFonts w:ascii="Arial" w:hAnsi="Arial" w:cs="Arial"/>
          <w:sz w:val="20"/>
          <w:szCs w:val="20"/>
          <w:lang w:val="en-US"/>
        </w:rPr>
        <w:t>2020;38:3119</w:t>
      </w:r>
      <w:proofErr w:type="gramEnd"/>
      <w:r w:rsidRPr="008009DF">
        <w:rPr>
          <w:rFonts w:ascii="Arial" w:hAnsi="Arial" w:cs="Arial"/>
          <w:sz w:val="20"/>
          <w:szCs w:val="20"/>
          <w:lang w:val="en-US"/>
        </w:rPr>
        <w:t>-3128.</w:t>
      </w:r>
    </w:p>
    <w:p w14:paraId="7AE63111" w14:textId="77777777" w:rsidR="00154C13" w:rsidRPr="008009DF" w:rsidRDefault="00154C13" w:rsidP="00154C13">
      <w:pPr>
        <w:rPr>
          <w:rFonts w:ascii="Arial" w:hAnsi="Arial" w:cs="Arial"/>
          <w:sz w:val="20"/>
          <w:szCs w:val="20"/>
          <w:lang w:val="en-US"/>
        </w:rPr>
      </w:pPr>
      <w:r w:rsidRPr="008009DF">
        <w:rPr>
          <w:rFonts w:ascii="Arial" w:hAnsi="Arial" w:cs="Arial"/>
          <w:sz w:val="20"/>
          <w:szCs w:val="20"/>
        </w:rPr>
        <w:t>21.</w:t>
      </w:r>
      <w:r w:rsidRPr="008009DF">
        <w:rPr>
          <w:rFonts w:ascii="Arial" w:hAnsi="Arial" w:cs="Arial"/>
          <w:sz w:val="20"/>
          <w:szCs w:val="20"/>
        </w:rPr>
        <w:tab/>
        <w:t xml:space="preserve">Bethge WA, </w:t>
      </w:r>
      <w:proofErr w:type="spellStart"/>
      <w:r w:rsidRPr="008009DF">
        <w:rPr>
          <w:rFonts w:ascii="Arial" w:hAnsi="Arial" w:cs="Arial"/>
          <w:sz w:val="20"/>
          <w:szCs w:val="20"/>
        </w:rPr>
        <w:t>Martus</w:t>
      </w:r>
      <w:proofErr w:type="spellEnd"/>
      <w:r w:rsidRPr="008009DF">
        <w:rPr>
          <w:rFonts w:ascii="Arial" w:hAnsi="Arial" w:cs="Arial"/>
          <w:sz w:val="20"/>
          <w:szCs w:val="20"/>
        </w:rPr>
        <w:t xml:space="preserve"> P, Schmitt M, et al. </w:t>
      </w:r>
      <w:r w:rsidRPr="008009DF">
        <w:rPr>
          <w:rFonts w:ascii="Arial" w:hAnsi="Arial" w:cs="Arial"/>
          <w:sz w:val="20"/>
          <w:szCs w:val="20"/>
          <w:lang w:val="en-US"/>
        </w:rPr>
        <w:t>GLA/DRST real-world outcome analysis of CAR-T cell therapies for large B-cell lymphoma in Germany. Blood 2022.</w:t>
      </w:r>
    </w:p>
    <w:p w14:paraId="6BF55C99"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22.</w:t>
      </w:r>
      <w:r w:rsidRPr="008009DF">
        <w:rPr>
          <w:rFonts w:ascii="Arial" w:hAnsi="Arial" w:cs="Arial"/>
          <w:sz w:val="20"/>
          <w:szCs w:val="20"/>
          <w:lang w:val="en-US"/>
        </w:rPr>
        <w:tab/>
        <w:t xml:space="preserve">Kampouri E, Little JS, Rejeski K, Manuel O, Hammond SP, Hill JA. Infections after chimeric antigen receptor (CAR)-T-cell therapy for hematologic malignancies. Transpl Infect Dis </w:t>
      </w:r>
      <w:proofErr w:type="gramStart"/>
      <w:r w:rsidRPr="008009DF">
        <w:rPr>
          <w:rFonts w:ascii="Arial" w:hAnsi="Arial" w:cs="Arial"/>
          <w:sz w:val="20"/>
          <w:szCs w:val="20"/>
          <w:lang w:val="en-US"/>
        </w:rPr>
        <w:t>2023:e</w:t>
      </w:r>
      <w:proofErr w:type="gramEnd"/>
      <w:r w:rsidRPr="008009DF">
        <w:rPr>
          <w:rFonts w:ascii="Arial" w:hAnsi="Arial" w:cs="Arial"/>
          <w:sz w:val="20"/>
          <w:szCs w:val="20"/>
          <w:lang w:val="en-US"/>
        </w:rPr>
        <w:t>14157.</w:t>
      </w:r>
    </w:p>
    <w:p w14:paraId="3EEE4A80"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23.</w:t>
      </w:r>
      <w:r w:rsidRPr="008009DF">
        <w:rPr>
          <w:rFonts w:ascii="Arial" w:hAnsi="Arial" w:cs="Arial"/>
          <w:sz w:val="20"/>
          <w:szCs w:val="20"/>
          <w:lang w:val="en-US"/>
        </w:rPr>
        <w:tab/>
        <w:t>Gudiol C, Lewis RE, Strati P, Kontoyiannis DP. Chimeric antigen receptor T-cell therapy for the treatment of lymphoid malignancies: is there an excess risk for infection? Lancet Haematol 2021;</w:t>
      </w:r>
      <w:proofErr w:type="gramStart"/>
      <w:r w:rsidRPr="008009DF">
        <w:rPr>
          <w:rFonts w:ascii="Arial" w:hAnsi="Arial" w:cs="Arial"/>
          <w:sz w:val="20"/>
          <w:szCs w:val="20"/>
          <w:lang w:val="en-US"/>
        </w:rPr>
        <w:t>8:e</w:t>
      </w:r>
      <w:proofErr w:type="gramEnd"/>
      <w:r w:rsidRPr="008009DF">
        <w:rPr>
          <w:rFonts w:ascii="Arial" w:hAnsi="Arial" w:cs="Arial"/>
          <w:sz w:val="20"/>
          <w:szCs w:val="20"/>
          <w:lang w:val="en-US"/>
        </w:rPr>
        <w:t>216-e228.</w:t>
      </w:r>
    </w:p>
    <w:p w14:paraId="56ACE026" w14:textId="77777777" w:rsidR="00154C13" w:rsidRPr="00886A84" w:rsidRDefault="00154C13" w:rsidP="00154C13">
      <w:pPr>
        <w:rPr>
          <w:rFonts w:ascii="Arial" w:hAnsi="Arial" w:cs="Arial"/>
          <w:sz w:val="20"/>
          <w:szCs w:val="20"/>
        </w:rPr>
      </w:pPr>
      <w:r w:rsidRPr="008009DF">
        <w:rPr>
          <w:rFonts w:ascii="Arial" w:hAnsi="Arial" w:cs="Arial"/>
          <w:sz w:val="20"/>
          <w:szCs w:val="20"/>
          <w:lang w:val="en-US"/>
        </w:rPr>
        <w:t>24.</w:t>
      </w:r>
      <w:r w:rsidRPr="008009DF">
        <w:rPr>
          <w:rFonts w:ascii="Arial" w:hAnsi="Arial" w:cs="Arial"/>
          <w:sz w:val="20"/>
          <w:szCs w:val="20"/>
          <w:lang w:val="en-US"/>
        </w:rPr>
        <w:tab/>
        <w:t xml:space="preserve">Major A, Collins J, Craney C, et al. Management of hemophagocytic lymphohistiocytosis (HLH) associated with chimeric antigen receptor T-cell (CAR-T) therapy using anti-cytokine therapy: an illustrative case and review of the literature. </w:t>
      </w:r>
      <w:r w:rsidRPr="00886A84">
        <w:rPr>
          <w:rFonts w:ascii="Arial" w:hAnsi="Arial" w:cs="Arial"/>
          <w:sz w:val="20"/>
          <w:szCs w:val="20"/>
        </w:rPr>
        <w:t xml:space="preserve">Leuk </w:t>
      </w:r>
      <w:proofErr w:type="spellStart"/>
      <w:r w:rsidRPr="00886A84">
        <w:rPr>
          <w:rFonts w:ascii="Arial" w:hAnsi="Arial" w:cs="Arial"/>
          <w:sz w:val="20"/>
          <w:szCs w:val="20"/>
        </w:rPr>
        <w:t>Lymphoma</w:t>
      </w:r>
      <w:proofErr w:type="spellEnd"/>
      <w:r w:rsidRPr="00886A84">
        <w:rPr>
          <w:rFonts w:ascii="Arial" w:hAnsi="Arial" w:cs="Arial"/>
          <w:sz w:val="20"/>
          <w:szCs w:val="20"/>
        </w:rPr>
        <w:t xml:space="preserve"> </w:t>
      </w:r>
      <w:proofErr w:type="gramStart"/>
      <w:r w:rsidRPr="00886A84">
        <w:rPr>
          <w:rFonts w:ascii="Arial" w:hAnsi="Arial" w:cs="Arial"/>
          <w:sz w:val="20"/>
          <w:szCs w:val="20"/>
        </w:rPr>
        <w:t>2021;62:1765</w:t>
      </w:r>
      <w:proofErr w:type="gramEnd"/>
      <w:r w:rsidRPr="00886A84">
        <w:rPr>
          <w:rFonts w:ascii="Arial" w:hAnsi="Arial" w:cs="Arial"/>
          <w:sz w:val="20"/>
          <w:szCs w:val="20"/>
        </w:rPr>
        <w:t>-1769.</w:t>
      </w:r>
    </w:p>
    <w:p w14:paraId="411FEEDE" w14:textId="77777777" w:rsidR="00154C13" w:rsidRPr="008009DF" w:rsidRDefault="00154C13" w:rsidP="00154C13">
      <w:pPr>
        <w:rPr>
          <w:rFonts w:ascii="Arial" w:hAnsi="Arial" w:cs="Arial"/>
          <w:sz w:val="20"/>
          <w:szCs w:val="20"/>
          <w:lang w:val="en-US"/>
        </w:rPr>
      </w:pPr>
      <w:r w:rsidRPr="008009DF">
        <w:rPr>
          <w:rFonts w:ascii="Arial" w:hAnsi="Arial" w:cs="Arial"/>
          <w:sz w:val="20"/>
          <w:szCs w:val="20"/>
        </w:rPr>
        <w:t>25.</w:t>
      </w:r>
      <w:r w:rsidRPr="008009DF">
        <w:rPr>
          <w:rFonts w:ascii="Arial" w:hAnsi="Arial" w:cs="Arial"/>
          <w:sz w:val="20"/>
          <w:szCs w:val="20"/>
        </w:rPr>
        <w:tab/>
        <w:t xml:space="preserve">Lichtenstein DA, </w:t>
      </w:r>
      <w:proofErr w:type="spellStart"/>
      <w:r w:rsidRPr="008009DF">
        <w:rPr>
          <w:rFonts w:ascii="Arial" w:hAnsi="Arial" w:cs="Arial"/>
          <w:sz w:val="20"/>
          <w:szCs w:val="20"/>
        </w:rPr>
        <w:t>Schischlik</w:t>
      </w:r>
      <w:proofErr w:type="spellEnd"/>
      <w:r w:rsidRPr="008009DF">
        <w:rPr>
          <w:rFonts w:ascii="Arial" w:hAnsi="Arial" w:cs="Arial"/>
          <w:sz w:val="20"/>
          <w:szCs w:val="20"/>
        </w:rPr>
        <w:t xml:space="preserve"> F, Shao L, et al. </w:t>
      </w:r>
      <w:r w:rsidRPr="008009DF">
        <w:rPr>
          <w:rFonts w:ascii="Arial" w:hAnsi="Arial" w:cs="Arial"/>
          <w:sz w:val="20"/>
          <w:szCs w:val="20"/>
          <w:lang w:val="en-US"/>
        </w:rPr>
        <w:t xml:space="preserve">Characterization of HLH-like manifestations as a CRS variant in patients receiving CD22 CAR T cells. Blood </w:t>
      </w:r>
      <w:proofErr w:type="gramStart"/>
      <w:r w:rsidRPr="008009DF">
        <w:rPr>
          <w:rFonts w:ascii="Arial" w:hAnsi="Arial" w:cs="Arial"/>
          <w:sz w:val="20"/>
          <w:szCs w:val="20"/>
          <w:lang w:val="en-US"/>
        </w:rPr>
        <w:t>2021;138:2469</w:t>
      </w:r>
      <w:proofErr w:type="gramEnd"/>
      <w:r w:rsidRPr="008009DF">
        <w:rPr>
          <w:rFonts w:ascii="Arial" w:hAnsi="Arial" w:cs="Arial"/>
          <w:sz w:val="20"/>
          <w:szCs w:val="20"/>
          <w:lang w:val="en-US"/>
        </w:rPr>
        <w:t>-2484.</w:t>
      </w:r>
    </w:p>
    <w:p w14:paraId="011B850E"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lastRenderedPageBreak/>
        <w:t>26.</w:t>
      </w:r>
      <w:r w:rsidRPr="008009DF">
        <w:rPr>
          <w:rFonts w:ascii="Arial" w:hAnsi="Arial" w:cs="Arial"/>
          <w:sz w:val="20"/>
          <w:szCs w:val="20"/>
          <w:lang w:val="en-US"/>
        </w:rPr>
        <w:tab/>
        <w:t>Hines MR, Knight TE, McNerney KO, et al. Immune Effector Cell associated Hemophagocytic Lymphohistiocytosis-like Syndrome (IEC-HS). Transplant Cell Ther 2023.</w:t>
      </w:r>
    </w:p>
    <w:p w14:paraId="17CC2BBA"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27.</w:t>
      </w:r>
      <w:r w:rsidRPr="008009DF">
        <w:rPr>
          <w:rFonts w:ascii="Arial" w:hAnsi="Arial" w:cs="Arial"/>
          <w:sz w:val="20"/>
          <w:szCs w:val="20"/>
          <w:lang w:val="en-US"/>
        </w:rPr>
        <w:tab/>
        <w:t xml:space="preserve">Cordeiro A, Bezerra ED, Hirayama AV, et al. Late Events after Treatment with CD19-Targeted Chimeric Antigen Receptor Modified T Cells. Biol Blood Marrow Transplant </w:t>
      </w:r>
      <w:proofErr w:type="gramStart"/>
      <w:r w:rsidRPr="008009DF">
        <w:rPr>
          <w:rFonts w:ascii="Arial" w:hAnsi="Arial" w:cs="Arial"/>
          <w:sz w:val="20"/>
          <w:szCs w:val="20"/>
          <w:lang w:val="en-US"/>
        </w:rPr>
        <w:t>2020;26:26</w:t>
      </w:r>
      <w:proofErr w:type="gramEnd"/>
      <w:r w:rsidRPr="008009DF">
        <w:rPr>
          <w:rFonts w:ascii="Arial" w:hAnsi="Arial" w:cs="Arial"/>
          <w:sz w:val="20"/>
          <w:szCs w:val="20"/>
          <w:lang w:val="en-US"/>
        </w:rPr>
        <w:t>-33.</w:t>
      </w:r>
    </w:p>
    <w:p w14:paraId="0EB6368C"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28.</w:t>
      </w:r>
      <w:r w:rsidRPr="008009DF">
        <w:rPr>
          <w:rFonts w:ascii="Arial" w:hAnsi="Arial" w:cs="Arial"/>
          <w:sz w:val="20"/>
          <w:szCs w:val="20"/>
          <w:lang w:val="en-US"/>
        </w:rPr>
        <w:tab/>
        <w:t xml:space="preserve">Zhao A, Zhao M, Qian W, Liang A, Li P, Liu H. Secondary myeloid neoplasms after CD19 CAR T therapy in patients with refractory/relapsed B-cell lymphoma: Case series and review of literature. Front Immunol </w:t>
      </w:r>
      <w:proofErr w:type="gramStart"/>
      <w:r w:rsidRPr="008009DF">
        <w:rPr>
          <w:rFonts w:ascii="Arial" w:hAnsi="Arial" w:cs="Arial"/>
          <w:sz w:val="20"/>
          <w:szCs w:val="20"/>
          <w:lang w:val="en-US"/>
        </w:rPr>
        <w:t>2022;13:1063986</w:t>
      </w:r>
      <w:proofErr w:type="gramEnd"/>
      <w:r w:rsidRPr="008009DF">
        <w:rPr>
          <w:rFonts w:ascii="Arial" w:hAnsi="Arial" w:cs="Arial"/>
          <w:sz w:val="20"/>
          <w:szCs w:val="20"/>
          <w:lang w:val="en-US"/>
        </w:rPr>
        <w:t>.</w:t>
      </w:r>
    </w:p>
    <w:p w14:paraId="7F574BC5"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29.</w:t>
      </w:r>
      <w:r w:rsidRPr="008009DF">
        <w:rPr>
          <w:rFonts w:ascii="Arial" w:hAnsi="Arial" w:cs="Arial"/>
          <w:sz w:val="20"/>
          <w:szCs w:val="20"/>
          <w:lang w:val="en-US"/>
        </w:rPr>
        <w:tab/>
        <w:t xml:space="preserve">Chakraborty R, Hill BT, Majeed A, Majhail NS. Late Effects after Chimeric Antigen Receptor T </w:t>
      </w:r>
      <w:proofErr w:type="gramStart"/>
      <w:r w:rsidRPr="008009DF">
        <w:rPr>
          <w:rFonts w:ascii="Arial" w:hAnsi="Arial" w:cs="Arial"/>
          <w:sz w:val="20"/>
          <w:szCs w:val="20"/>
          <w:lang w:val="en-US"/>
        </w:rPr>
        <w:t>cell</w:t>
      </w:r>
      <w:proofErr w:type="gramEnd"/>
      <w:r w:rsidRPr="008009DF">
        <w:rPr>
          <w:rFonts w:ascii="Arial" w:hAnsi="Arial" w:cs="Arial"/>
          <w:sz w:val="20"/>
          <w:szCs w:val="20"/>
          <w:lang w:val="en-US"/>
        </w:rPr>
        <w:t xml:space="preserve"> Therapy for Lymphoid Malignancies. Transplant Cell Ther </w:t>
      </w:r>
      <w:proofErr w:type="gramStart"/>
      <w:r w:rsidRPr="008009DF">
        <w:rPr>
          <w:rFonts w:ascii="Arial" w:hAnsi="Arial" w:cs="Arial"/>
          <w:sz w:val="20"/>
          <w:szCs w:val="20"/>
          <w:lang w:val="en-US"/>
        </w:rPr>
        <w:t>2021;27:222</w:t>
      </w:r>
      <w:proofErr w:type="gramEnd"/>
      <w:r w:rsidRPr="008009DF">
        <w:rPr>
          <w:rFonts w:ascii="Arial" w:hAnsi="Arial" w:cs="Arial"/>
          <w:sz w:val="20"/>
          <w:szCs w:val="20"/>
          <w:lang w:val="en-US"/>
        </w:rPr>
        <w:t>-229.</w:t>
      </w:r>
    </w:p>
    <w:p w14:paraId="5302C1E2"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30.</w:t>
      </w:r>
      <w:r w:rsidRPr="008009DF">
        <w:rPr>
          <w:rFonts w:ascii="Arial" w:hAnsi="Arial" w:cs="Arial"/>
          <w:sz w:val="20"/>
          <w:szCs w:val="20"/>
          <w:lang w:val="en-US"/>
        </w:rPr>
        <w:tab/>
        <w:t xml:space="preserve">Strati P, Ahmed S, Furqan F, et al. Prognostic impact of corticosteroids on efficacy of chimeric antigen receptor T-cell therapy in large B-cell lymphoma. Blood </w:t>
      </w:r>
      <w:proofErr w:type="gramStart"/>
      <w:r w:rsidRPr="008009DF">
        <w:rPr>
          <w:rFonts w:ascii="Arial" w:hAnsi="Arial" w:cs="Arial"/>
          <w:sz w:val="20"/>
          <w:szCs w:val="20"/>
          <w:lang w:val="en-US"/>
        </w:rPr>
        <w:t>2021;137:3272</w:t>
      </w:r>
      <w:proofErr w:type="gramEnd"/>
      <w:r w:rsidRPr="008009DF">
        <w:rPr>
          <w:rFonts w:ascii="Arial" w:hAnsi="Arial" w:cs="Arial"/>
          <w:sz w:val="20"/>
          <w:szCs w:val="20"/>
          <w:lang w:val="en-US"/>
        </w:rPr>
        <w:t>-3276.</w:t>
      </w:r>
    </w:p>
    <w:p w14:paraId="2BD4E055"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31.</w:t>
      </w:r>
      <w:r w:rsidRPr="008009DF">
        <w:rPr>
          <w:rFonts w:ascii="Arial" w:hAnsi="Arial" w:cs="Arial"/>
          <w:sz w:val="20"/>
          <w:szCs w:val="20"/>
          <w:lang w:val="en-US"/>
        </w:rPr>
        <w:tab/>
        <w:t xml:space="preserve">Smith M, Dai A, Ghilardi G, et al. Gut microbiome correlates of response and toxicity following anti-CD19 CAR T cell therapy. Nat Med </w:t>
      </w:r>
      <w:proofErr w:type="gramStart"/>
      <w:r w:rsidRPr="008009DF">
        <w:rPr>
          <w:rFonts w:ascii="Arial" w:hAnsi="Arial" w:cs="Arial"/>
          <w:sz w:val="20"/>
          <w:szCs w:val="20"/>
          <w:lang w:val="en-US"/>
        </w:rPr>
        <w:t>2022;28:713</w:t>
      </w:r>
      <w:proofErr w:type="gramEnd"/>
      <w:r w:rsidRPr="008009DF">
        <w:rPr>
          <w:rFonts w:ascii="Arial" w:hAnsi="Arial" w:cs="Arial"/>
          <w:sz w:val="20"/>
          <w:szCs w:val="20"/>
          <w:lang w:val="en-US"/>
        </w:rPr>
        <w:t>-723.</w:t>
      </w:r>
    </w:p>
    <w:p w14:paraId="20AEDF91"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32.</w:t>
      </w:r>
      <w:r w:rsidRPr="008009DF">
        <w:rPr>
          <w:rFonts w:ascii="Arial" w:hAnsi="Arial" w:cs="Arial"/>
          <w:sz w:val="20"/>
          <w:szCs w:val="20"/>
          <w:lang w:val="en-US"/>
        </w:rPr>
        <w:tab/>
        <w:t>Rejeski K, Perez A, Iacoboni G, et al. Severe hematotoxicity after CD19 CAR-T therapy is associated with suppressive immune dysregulation and limited CAR-T expansion. Sci Adv 2023;</w:t>
      </w:r>
      <w:proofErr w:type="gramStart"/>
      <w:r w:rsidRPr="008009DF">
        <w:rPr>
          <w:rFonts w:ascii="Arial" w:hAnsi="Arial" w:cs="Arial"/>
          <w:sz w:val="20"/>
          <w:szCs w:val="20"/>
          <w:lang w:val="en-US"/>
        </w:rPr>
        <w:t>9:eadg</w:t>
      </w:r>
      <w:proofErr w:type="gramEnd"/>
      <w:r w:rsidRPr="008009DF">
        <w:rPr>
          <w:rFonts w:ascii="Arial" w:hAnsi="Arial" w:cs="Arial"/>
          <w:sz w:val="20"/>
          <w:szCs w:val="20"/>
          <w:lang w:val="en-US"/>
        </w:rPr>
        <w:t>3919.</w:t>
      </w:r>
    </w:p>
    <w:p w14:paraId="6FC38A7A"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33.</w:t>
      </w:r>
      <w:r w:rsidRPr="008009DF">
        <w:rPr>
          <w:rFonts w:ascii="Arial" w:hAnsi="Arial" w:cs="Arial"/>
          <w:sz w:val="20"/>
          <w:szCs w:val="20"/>
          <w:lang w:val="en-US"/>
        </w:rPr>
        <w:tab/>
        <w:t xml:space="preserve">Jacobs MT, Jain MD, Gao F, et al. Severity of Cytokine Release Syndrome Influences Outcome After Axicabtagene Ciloleucel for Large B cell Lymphoma: Results from the US Lymphoma CAR-T Consortium. Clin Lymphoma Myeloma Leuk </w:t>
      </w:r>
      <w:proofErr w:type="gramStart"/>
      <w:r w:rsidRPr="008009DF">
        <w:rPr>
          <w:rFonts w:ascii="Arial" w:hAnsi="Arial" w:cs="Arial"/>
          <w:sz w:val="20"/>
          <w:szCs w:val="20"/>
          <w:lang w:val="en-US"/>
        </w:rPr>
        <w:t>2022;22:753</w:t>
      </w:r>
      <w:proofErr w:type="gramEnd"/>
      <w:r w:rsidRPr="008009DF">
        <w:rPr>
          <w:rFonts w:ascii="Arial" w:hAnsi="Arial" w:cs="Arial"/>
          <w:sz w:val="20"/>
          <w:szCs w:val="20"/>
          <w:lang w:val="en-US"/>
        </w:rPr>
        <w:t>-759.</w:t>
      </w:r>
    </w:p>
    <w:p w14:paraId="3BA44B21" w14:textId="77777777" w:rsidR="00154C13" w:rsidRPr="008009DF" w:rsidRDefault="00154C13" w:rsidP="00154C13">
      <w:pPr>
        <w:rPr>
          <w:rFonts w:ascii="Arial" w:hAnsi="Arial" w:cs="Arial"/>
          <w:sz w:val="20"/>
          <w:szCs w:val="20"/>
          <w:lang w:val="en-US"/>
        </w:rPr>
      </w:pPr>
      <w:r w:rsidRPr="008009DF">
        <w:rPr>
          <w:rFonts w:ascii="Arial" w:hAnsi="Arial" w:cs="Arial"/>
          <w:sz w:val="20"/>
          <w:szCs w:val="20"/>
        </w:rPr>
        <w:t>34.</w:t>
      </w:r>
      <w:r w:rsidRPr="008009DF">
        <w:rPr>
          <w:rFonts w:ascii="Arial" w:hAnsi="Arial" w:cs="Arial"/>
          <w:sz w:val="20"/>
          <w:szCs w:val="20"/>
        </w:rPr>
        <w:tab/>
        <w:t xml:space="preserve">Brammer JE, Braunstein Z, </w:t>
      </w:r>
      <w:proofErr w:type="spellStart"/>
      <w:r w:rsidRPr="008009DF">
        <w:rPr>
          <w:rFonts w:ascii="Arial" w:hAnsi="Arial" w:cs="Arial"/>
          <w:sz w:val="20"/>
          <w:szCs w:val="20"/>
        </w:rPr>
        <w:t>Katapadi</w:t>
      </w:r>
      <w:proofErr w:type="spellEnd"/>
      <w:r w:rsidRPr="008009DF">
        <w:rPr>
          <w:rFonts w:ascii="Arial" w:hAnsi="Arial" w:cs="Arial"/>
          <w:sz w:val="20"/>
          <w:szCs w:val="20"/>
        </w:rPr>
        <w:t xml:space="preserve"> A, et al. </w:t>
      </w:r>
      <w:r w:rsidRPr="008009DF">
        <w:rPr>
          <w:rFonts w:ascii="Arial" w:hAnsi="Arial" w:cs="Arial"/>
          <w:sz w:val="20"/>
          <w:szCs w:val="20"/>
          <w:lang w:val="en-US"/>
        </w:rPr>
        <w:t>Early toxicity and clinical outcomes after chimeric antigen receptor T-cell (CAR-T) therapy for lymphoma. J Immunother Cancer 2021;9.</w:t>
      </w:r>
    </w:p>
    <w:p w14:paraId="28E2FE8A" w14:textId="77777777" w:rsidR="00154C13" w:rsidRPr="008009DF" w:rsidRDefault="00154C13" w:rsidP="00154C13">
      <w:pPr>
        <w:rPr>
          <w:rFonts w:ascii="Arial" w:hAnsi="Arial" w:cs="Arial"/>
          <w:sz w:val="20"/>
          <w:szCs w:val="20"/>
          <w:lang w:val="en-US"/>
        </w:rPr>
      </w:pPr>
      <w:r w:rsidRPr="008009DF">
        <w:rPr>
          <w:rFonts w:ascii="Arial" w:hAnsi="Arial" w:cs="Arial"/>
          <w:sz w:val="20"/>
          <w:szCs w:val="20"/>
          <w:lang w:val="en-US"/>
        </w:rPr>
        <w:t>35.</w:t>
      </w:r>
      <w:r w:rsidRPr="008009DF">
        <w:rPr>
          <w:rFonts w:ascii="Arial" w:hAnsi="Arial" w:cs="Arial"/>
          <w:sz w:val="20"/>
          <w:szCs w:val="20"/>
          <w:lang w:val="en-US"/>
        </w:rPr>
        <w:tab/>
        <w:t xml:space="preserve">McDonald GB, Sandmaier BM, Mielcarek M, et al. Survival, Nonrelapse Mortality, and Relapse-Related Mortality After Allogeneic Hematopoietic Cell Transplantation: Comparing 2003-2007 Versus 2013-2017 Cohorts. Ann Intern Med </w:t>
      </w:r>
      <w:proofErr w:type="gramStart"/>
      <w:r w:rsidRPr="008009DF">
        <w:rPr>
          <w:rFonts w:ascii="Arial" w:hAnsi="Arial" w:cs="Arial"/>
          <w:sz w:val="20"/>
          <w:szCs w:val="20"/>
          <w:lang w:val="en-US"/>
        </w:rPr>
        <w:t>2020;172:229</w:t>
      </w:r>
      <w:proofErr w:type="gramEnd"/>
      <w:r w:rsidRPr="008009DF">
        <w:rPr>
          <w:rFonts w:ascii="Arial" w:hAnsi="Arial" w:cs="Arial"/>
          <w:sz w:val="20"/>
          <w:szCs w:val="20"/>
          <w:lang w:val="en-US"/>
        </w:rPr>
        <w:t>-239.</w:t>
      </w:r>
    </w:p>
    <w:p w14:paraId="1EC8410C" w14:textId="274BCDE6" w:rsidR="00BD5418" w:rsidRPr="008009DF" w:rsidRDefault="00154C13" w:rsidP="00154C13">
      <w:pPr>
        <w:rPr>
          <w:rFonts w:ascii="Arial" w:hAnsi="Arial" w:cs="Arial"/>
          <w:sz w:val="20"/>
          <w:szCs w:val="20"/>
        </w:rPr>
      </w:pPr>
      <w:r w:rsidRPr="008009DF">
        <w:rPr>
          <w:rFonts w:ascii="Arial" w:hAnsi="Arial" w:cs="Arial"/>
          <w:sz w:val="20"/>
          <w:szCs w:val="20"/>
          <w:lang w:val="en-US"/>
        </w:rPr>
        <w:t>36.</w:t>
      </w:r>
      <w:r w:rsidRPr="008009DF">
        <w:rPr>
          <w:rFonts w:ascii="Arial" w:hAnsi="Arial" w:cs="Arial"/>
          <w:sz w:val="20"/>
          <w:szCs w:val="20"/>
          <w:lang w:val="en-US"/>
        </w:rPr>
        <w:tab/>
        <w:t xml:space="preserve">Lemoine J, Bachy E, Cartron G, et al. Non-Relapse Mortality after CAR T-Cell therapy for Large B-Cell Lymphoma: A LYSA Study from the DESCAR-T Registry. </w:t>
      </w:r>
      <w:r w:rsidRPr="008009DF">
        <w:rPr>
          <w:rFonts w:ascii="Arial" w:hAnsi="Arial" w:cs="Arial"/>
          <w:sz w:val="20"/>
          <w:szCs w:val="20"/>
        </w:rPr>
        <w:t xml:space="preserve">Blood </w:t>
      </w:r>
      <w:proofErr w:type="spellStart"/>
      <w:r w:rsidRPr="008009DF">
        <w:rPr>
          <w:rFonts w:ascii="Arial" w:hAnsi="Arial" w:cs="Arial"/>
          <w:sz w:val="20"/>
          <w:szCs w:val="20"/>
        </w:rPr>
        <w:t>Adv</w:t>
      </w:r>
      <w:proofErr w:type="spellEnd"/>
      <w:r w:rsidRPr="008009DF">
        <w:rPr>
          <w:rFonts w:ascii="Arial" w:hAnsi="Arial" w:cs="Arial"/>
          <w:sz w:val="20"/>
          <w:szCs w:val="20"/>
        </w:rPr>
        <w:t xml:space="preserve"> 2023.</w:t>
      </w:r>
    </w:p>
    <w:sectPr w:rsidR="00BD5418" w:rsidRPr="008009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3003D5"/>
    <w:multiLevelType w:val="hybridMultilevel"/>
    <w:tmpl w:val="837A5304"/>
    <w:lvl w:ilvl="0" w:tplc="55422054">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F585C8B"/>
    <w:multiLevelType w:val="hybridMultilevel"/>
    <w:tmpl w:val="AF8885F2"/>
    <w:lvl w:ilvl="0" w:tplc="E8EEB3FE">
      <w:numFmt w:val="bullet"/>
      <w:lvlText w:val="-"/>
      <w:lvlJc w:val="left"/>
      <w:pPr>
        <w:ind w:left="720" w:hanging="360"/>
      </w:pPr>
      <w:rPr>
        <w:rFonts w:ascii="Calibri" w:eastAsiaTheme="minorEastAsia"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29607100">
    <w:abstractNumId w:val="1"/>
  </w:num>
  <w:num w:numId="2" w16cid:durableId="1846312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83"/>
    <w:rsid w:val="00154C13"/>
    <w:rsid w:val="002C1883"/>
    <w:rsid w:val="003A27EC"/>
    <w:rsid w:val="005573DA"/>
    <w:rsid w:val="005B551E"/>
    <w:rsid w:val="00752CE3"/>
    <w:rsid w:val="008009DF"/>
    <w:rsid w:val="00886A84"/>
    <w:rsid w:val="00BD5418"/>
    <w:rsid w:val="00C32895"/>
    <w:rsid w:val="00C679DF"/>
    <w:rsid w:val="00C83CB0"/>
    <w:rsid w:val="00E67C1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A345"/>
  <w15:chartTrackingRefBased/>
  <w15:docId w15:val="{4D60CD36-A70A-426E-8787-C2A57032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de-DE"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1883"/>
    <w:rPr>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C18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C1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2258</Words>
  <Characters>14231</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Santos</dc:creator>
  <cp:keywords/>
  <dc:description/>
  <cp:lastModifiedBy>David Santos</cp:lastModifiedBy>
  <cp:revision>2</cp:revision>
  <dcterms:created xsi:type="dcterms:W3CDTF">2024-01-12T01:32:00Z</dcterms:created>
  <dcterms:modified xsi:type="dcterms:W3CDTF">2024-01-12T01:32:00Z</dcterms:modified>
</cp:coreProperties>
</file>