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854A" w14:textId="12F7B64E" w:rsidR="0068404A" w:rsidRPr="00637874" w:rsidRDefault="0068404A" w:rsidP="0068404A">
      <w:pPr>
        <w:rPr>
          <w:rFonts w:ascii="Arial" w:hAnsi="Arial" w:cs="Arial"/>
          <w:sz w:val="20"/>
          <w:szCs w:val="20"/>
          <w:lang w:val="en-US"/>
        </w:rPr>
      </w:pPr>
      <w:r w:rsidRPr="009E66EA">
        <w:rPr>
          <w:rFonts w:ascii="Arial" w:hAnsi="Arial" w:cs="Arial"/>
          <w:b/>
          <w:bCs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bCs/>
          <w:sz w:val="20"/>
          <w:szCs w:val="20"/>
          <w:lang w:val="en-US"/>
        </w:rPr>
        <w:t>S1</w:t>
      </w:r>
      <w:r w:rsidRPr="009E66EA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Pr="00637874">
        <w:rPr>
          <w:rFonts w:ascii="Arial" w:hAnsi="Arial" w:cs="Arial"/>
          <w:sz w:val="20"/>
          <w:szCs w:val="20"/>
          <w:lang w:val="en-US"/>
        </w:rPr>
        <w:t>Joanna-Brigg’s Institute assessment of study bias.</w:t>
      </w:r>
    </w:p>
    <w:tbl>
      <w:tblPr>
        <w:tblW w:w="136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851"/>
        <w:gridCol w:w="1388"/>
        <w:gridCol w:w="1447"/>
        <w:gridCol w:w="1417"/>
        <w:gridCol w:w="1418"/>
        <w:gridCol w:w="1274"/>
        <w:gridCol w:w="1561"/>
        <w:gridCol w:w="1276"/>
        <w:gridCol w:w="1330"/>
      </w:tblGrid>
      <w:tr w:rsidR="0068404A" w:rsidRPr="00404E1A" w14:paraId="4DF8AF7D" w14:textId="77777777" w:rsidTr="00FC6D44">
        <w:trPr>
          <w:trHeight w:val="680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5265A87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4E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Author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6B9D12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04E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3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A75A5EF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Criterion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1: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Inclusion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criteria</w:t>
            </w:r>
            <w:proofErr w:type="spellEnd"/>
          </w:p>
        </w:tc>
        <w:tc>
          <w:tcPr>
            <w:tcW w:w="14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E6BBF54" w14:textId="77777777" w:rsidR="0068404A" w:rsidRPr="00027B6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7B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Criterion 2: measurement of m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ortality/ causes of death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697DCDF" w14:textId="77777777" w:rsidR="0068404A" w:rsidRPr="00027B6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7B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Criterion 3: identification of mortality/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7B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causes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of death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012B4E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Criterion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4: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Consecutive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Inclusion</w:t>
            </w:r>
            <w:proofErr w:type="spellEnd"/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E73671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Criterion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5: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Complete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Inclusion</w:t>
            </w:r>
            <w:proofErr w:type="spellEnd"/>
          </w:p>
        </w:tc>
        <w:tc>
          <w:tcPr>
            <w:tcW w:w="15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F203E20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Criterion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6: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demographics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2FC50DA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Criterion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7: Clinical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information</w:t>
            </w:r>
            <w:proofErr w:type="spellEnd"/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B6A584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Criterion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8: Follow-Up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results</w:t>
            </w:r>
            <w:proofErr w:type="spellEnd"/>
          </w:p>
        </w:tc>
      </w:tr>
      <w:tr w:rsidR="0068404A" w:rsidRPr="00404E1A" w14:paraId="55EB37D3" w14:textId="77777777" w:rsidTr="00FC6D44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7135E3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5A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Fowler</w:t>
            </w: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A2D1963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8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33AF39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D609C0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410841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BE6890A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6244643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A8351C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0A3290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A428B6A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5960C44D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BC97D15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5A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Jacobson</w:t>
            </w: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BD069E4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7B32CF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590704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6EF9CC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871DCAD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232BC353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F0FEE6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6F9CCB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0CDEC60E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41825DF1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57A72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15A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Abramson</w:t>
            </w:r>
            <w:proofErr w:type="spellEnd"/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DB51DB8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421AD9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0CCC2C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01AFE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1CC68EA2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085AA28A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1A38C4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006642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475FCE83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054AAE3D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5AC509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5A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Bishop</w:t>
            </w: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245C5FB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C9149C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288A21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47C538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465B5C8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3CFB9B97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8CB2D8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B5CAC7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7C312AFA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60968171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0AFF8D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15A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Kamdar</w:t>
            </w:r>
            <w:proofErr w:type="spellEnd"/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9FA9033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7AD569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59F1A9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98DC67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B4C2692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13709000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51051F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3E6E26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39147342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61B54725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F0BD6C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15A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Neelapu</w:t>
            </w:r>
            <w:proofErr w:type="spellEnd"/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69F84E5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BA0290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00F8B8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F52A3B4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05F1552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6AC1B80A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BE3BE4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0C4EA7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403238AE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63FB3C3A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7751C7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15A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Neelapu</w:t>
            </w:r>
            <w:proofErr w:type="spellEnd"/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688F205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B98289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DD18EA5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5A37B8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F185759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13DBD271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324FC1C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E8ADD0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3560F747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35B7E826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426A51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5A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Sehgal</w:t>
            </w: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6F578D2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228F07F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79F1AA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CEE691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570175A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583CA6E5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DB78CF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B659F7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65A63E7B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5A1FC613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51D01F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5A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Westin</w:t>
            </w: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CAA18B1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8219A3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1E6C29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285AF4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736186F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01543358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42625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C3F70F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77E9A9B0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2CD50286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B62D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5A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</w:t>
            </w: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99F85B5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D954C9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796694E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0529759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B850C26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0A2FC6FB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F12EFF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A4E618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011C116C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703CF6B8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A18E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5A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C187F84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E0D29E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FCE085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3E4873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D6E4077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49ABE328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364BC6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05C764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70BF26B6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7DF04D6E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F28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5A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</w:t>
            </w: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A52A885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17D10E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BBDEA6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597AF7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9CF4EE4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31124FBB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8976AD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9A981A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7FC9DB55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7D5072DC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67F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15A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Munshi</w:t>
            </w:r>
            <w:proofErr w:type="spellEnd"/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0BCB4C5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26F9FF7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589B9F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571B40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9BD1CB8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6703C111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129DB1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385415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02FEA018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6C0731A7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536055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5A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Rodriguez-Otero</w:t>
            </w: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3A35168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76C2E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209DC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524837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BA94D29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7901D5F0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79534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7D4EDF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6D4786B1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345D6638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08CF86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5A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215A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Miguel</w:t>
            </w: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C0E2B42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9E6C40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ABB4F6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49EF72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373DD74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7F037A56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793538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FB887A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1BAF6FB6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263BC592" w14:textId="77777777" w:rsidTr="00FC6D44">
        <w:trPr>
          <w:trHeight w:val="397"/>
        </w:trPr>
        <w:tc>
          <w:tcPr>
            <w:tcW w:w="170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E2748A8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5A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Wang</w:t>
            </w: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41B5ED3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04E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138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9119FFD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3396D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A2F499E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328081D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1CC38F1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B171D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C69C583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0CAFC3F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6D52E082" w14:textId="77777777" w:rsidTr="00FC6D44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172CD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Bethge et al.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A20BDF4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8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23FECD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F2CB0D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647DA1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3343D0A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27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6168145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56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6A2FB2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B4B4C6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B880C76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7171E9B1" w14:textId="77777777" w:rsidTr="00FC6D44">
        <w:trPr>
          <w:trHeight w:val="397"/>
        </w:trPr>
        <w:tc>
          <w:tcPr>
            <w:tcW w:w="1701" w:type="dxa"/>
            <w:noWrap/>
            <w:vAlign w:val="center"/>
          </w:tcPr>
          <w:p w14:paraId="1F7BCCAC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Dores et al.</w:t>
            </w:r>
          </w:p>
        </w:tc>
        <w:tc>
          <w:tcPr>
            <w:tcW w:w="851" w:type="dxa"/>
            <w:vAlign w:val="center"/>
          </w:tcPr>
          <w:p w14:paraId="6B679642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FC4F85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D8390BD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545A09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E0EC7AA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580E87A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778CD4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627576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6D40FE8A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</w:tr>
      <w:tr w:rsidR="0068404A" w:rsidRPr="00404E1A" w14:paraId="2AC4B036" w14:textId="77777777" w:rsidTr="00FC6D44">
        <w:trPr>
          <w:trHeight w:val="397"/>
        </w:trPr>
        <w:tc>
          <w:tcPr>
            <w:tcW w:w="1701" w:type="dxa"/>
            <w:noWrap/>
            <w:vAlign w:val="center"/>
          </w:tcPr>
          <w:p w14:paraId="3A1F2B5B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Jacobson et al.</w:t>
            </w:r>
          </w:p>
        </w:tc>
        <w:tc>
          <w:tcPr>
            <w:tcW w:w="851" w:type="dxa"/>
            <w:vAlign w:val="center"/>
          </w:tcPr>
          <w:p w14:paraId="58CF05DE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2022B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20FE40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C6A69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F25B7A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8AC48FC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6478DA70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60F44D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88D9E2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1A1B7784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0CB25DEB" w14:textId="77777777" w:rsidTr="00FC6D44">
        <w:trPr>
          <w:trHeight w:val="397"/>
        </w:trPr>
        <w:tc>
          <w:tcPr>
            <w:tcW w:w="1701" w:type="dxa"/>
            <w:noWrap/>
            <w:vAlign w:val="center"/>
          </w:tcPr>
          <w:p w14:paraId="56A8D65E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Kuhnl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vAlign w:val="center"/>
          </w:tcPr>
          <w:p w14:paraId="2634AA51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76BAE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EDACE0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0DEF9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4ADEC2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0F4A05D1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CDCE63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736CED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5E26AC71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53A90C45" w14:textId="77777777" w:rsidTr="00FC6D44">
        <w:trPr>
          <w:trHeight w:val="397"/>
        </w:trPr>
        <w:tc>
          <w:tcPr>
            <w:tcW w:w="1701" w:type="dxa"/>
            <w:noWrap/>
            <w:vAlign w:val="center"/>
          </w:tcPr>
          <w:p w14:paraId="31C9C54E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Kwon et al.</w:t>
            </w:r>
          </w:p>
        </w:tc>
        <w:tc>
          <w:tcPr>
            <w:tcW w:w="851" w:type="dxa"/>
            <w:vAlign w:val="center"/>
          </w:tcPr>
          <w:p w14:paraId="24A31F5F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F757C8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EF4615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6076D6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0BBB619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4C45CC6D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C0484B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A21ECA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51841867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110A3988" w14:textId="77777777" w:rsidTr="00FC6D44">
        <w:trPr>
          <w:trHeight w:val="397"/>
        </w:trPr>
        <w:tc>
          <w:tcPr>
            <w:tcW w:w="1701" w:type="dxa"/>
            <w:noWrap/>
            <w:vAlign w:val="center"/>
          </w:tcPr>
          <w:p w14:paraId="17489FA4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Lemoine et al.</w:t>
            </w:r>
          </w:p>
        </w:tc>
        <w:tc>
          <w:tcPr>
            <w:tcW w:w="851" w:type="dxa"/>
            <w:vAlign w:val="center"/>
          </w:tcPr>
          <w:p w14:paraId="5821119F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ADDFB3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6B8ED3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53025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148E1E66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2B30F185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AE3337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EF8BCA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08D290D0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0EA03638" w14:textId="77777777" w:rsidTr="00FC6D44">
        <w:trPr>
          <w:trHeight w:val="397"/>
        </w:trPr>
        <w:tc>
          <w:tcPr>
            <w:tcW w:w="1701" w:type="dxa"/>
            <w:noWrap/>
            <w:vAlign w:val="center"/>
          </w:tcPr>
          <w:p w14:paraId="504DD233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Logue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vAlign w:val="center"/>
          </w:tcPr>
          <w:p w14:paraId="5485C66B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B19D32F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C78386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0D702A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394D5D8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0FDCB077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6A7569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270F1E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087BC0CD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10ADCAF1" w14:textId="77777777" w:rsidTr="00FC6D44">
        <w:trPr>
          <w:trHeight w:val="397"/>
        </w:trPr>
        <w:tc>
          <w:tcPr>
            <w:tcW w:w="1701" w:type="dxa"/>
            <w:noWrap/>
            <w:vAlign w:val="center"/>
          </w:tcPr>
          <w:p w14:paraId="334CA93C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Nastoupil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vAlign w:val="center"/>
          </w:tcPr>
          <w:p w14:paraId="1F0520B1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C3DB21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BA36A3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CEE727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14869824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0A874FCF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0D6A8E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1BD7F76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2DCF9C59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027AC372" w14:textId="77777777" w:rsidTr="00FC6D44">
        <w:trPr>
          <w:trHeight w:val="397"/>
        </w:trPr>
        <w:tc>
          <w:tcPr>
            <w:tcW w:w="1701" w:type="dxa"/>
            <w:noWrap/>
            <w:vAlign w:val="center"/>
          </w:tcPr>
          <w:p w14:paraId="764F3366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Pinnix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vAlign w:val="center"/>
          </w:tcPr>
          <w:p w14:paraId="5773C491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48D9E7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DC239E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04F6726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134F54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17B32BF2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A99364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88512D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039EE9C4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0844F39E" w14:textId="77777777" w:rsidTr="00FC6D44">
        <w:trPr>
          <w:trHeight w:val="397"/>
        </w:trPr>
        <w:tc>
          <w:tcPr>
            <w:tcW w:w="1701" w:type="dxa"/>
            <w:noWrap/>
            <w:vAlign w:val="center"/>
          </w:tcPr>
          <w:p w14:paraId="3AA8AB94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Rejeski et al.</w:t>
            </w:r>
          </w:p>
        </w:tc>
        <w:tc>
          <w:tcPr>
            <w:tcW w:w="851" w:type="dxa"/>
            <w:vAlign w:val="center"/>
          </w:tcPr>
          <w:p w14:paraId="73CB2B53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4A08D6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41D2FC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347CDD5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4B05EBD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1D2F43F7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4F2343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089496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603910C3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6CADEA33" w14:textId="77777777" w:rsidTr="00FC6D44">
        <w:trPr>
          <w:trHeight w:val="397"/>
        </w:trPr>
        <w:tc>
          <w:tcPr>
            <w:tcW w:w="1701" w:type="dxa"/>
            <w:noWrap/>
            <w:vAlign w:val="center"/>
          </w:tcPr>
          <w:p w14:paraId="5842A1A7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Kwon et al.</w:t>
            </w:r>
          </w:p>
        </w:tc>
        <w:tc>
          <w:tcPr>
            <w:tcW w:w="851" w:type="dxa"/>
            <w:vAlign w:val="center"/>
          </w:tcPr>
          <w:p w14:paraId="0F4078C9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6666D3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838225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24A8F2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7722E26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4261204D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321022A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5CD714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38B40198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4FD261AE" w14:textId="77777777" w:rsidTr="00FC6D44">
        <w:trPr>
          <w:trHeight w:val="397"/>
        </w:trPr>
        <w:tc>
          <w:tcPr>
            <w:tcW w:w="1701" w:type="dxa"/>
            <w:noWrap/>
            <w:vAlign w:val="center"/>
          </w:tcPr>
          <w:p w14:paraId="66FE9964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Riedell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vAlign w:val="center"/>
          </w:tcPr>
          <w:p w14:paraId="504F7CB3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6FC409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EC03B0E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A63AE3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72DF626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7948E7EB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CF61396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5A4D05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2E495F1B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0C34CB03" w14:textId="77777777" w:rsidTr="00FC6D44">
        <w:trPr>
          <w:trHeight w:val="397"/>
        </w:trPr>
        <w:tc>
          <w:tcPr>
            <w:tcW w:w="1701" w:type="dxa"/>
            <w:noWrap/>
            <w:vAlign w:val="center"/>
          </w:tcPr>
          <w:p w14:paraId="54FA2601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Lemoine et al.</w:t>
            </w:r>
          </w:p>
        </w:tc>
        <w:tc>
          <w:tcPr>
            <w:tcW w:w="851" w:type="dxa"/>
            <w:vAlign w:val="center"/>
          </w:tcPr>
          <w:p w14:paraId="1B90CD61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23D3FD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884AE9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AE7063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C1A5218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78CC422D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13A1EC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37B207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56B58178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28401A76" w14:textId="77777777" w:rsidTr="00FC6D44">
        <w:trPr>
          <w:trHeight w:val="397"/>
        </w:trPr>
        <w:tc>
          <w:tcPr>
            <w:tcW w:w="1701" w:type="dxa"/>
            <w:noWrap/>
            <w:vAlign w:val="center"/>
          </w:tcPr>
          <w:p w14:paraId="605CF393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Spanjaart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vAlign w:val="center"/>
          </w:tcPr>
          <w:p w14:paraId="68F94529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DF3247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698955A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A66315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833D7C0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47E8A04A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25A11EC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6E58D0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6851E160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221E1F73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3E43DAA3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Strati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C277AC7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9DFCC9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F7725A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EABD89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F761E9D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318151D1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2C7E2A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F0F6C9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19385B95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21D19A81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78A93AB8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6378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Ferreri et al. &amp; Hansen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F3E8AAD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378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2023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D5ABCA0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0345A7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193F781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48ACF8D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0C493D33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BD936F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3CDF539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7F4554C2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1B6EA301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0120FC71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378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Rejeski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98129A7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6378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2023A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27EB20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73E870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A90B46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2223633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65861E16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3D30D8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87BC29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2D4A6E1A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7A8B4648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7E7022BE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378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Rejeski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EF1DADF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378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2023B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665CA1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FC4821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680A4E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B6036E3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15269987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DC9B93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E490D7A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7396C833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6396CCC1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4C143ECD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378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Wang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FBA280C" w14:textId="77777777" w:rsidR="0068404A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378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2023B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9F2B93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5790B9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57FFBE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8FB03A7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40C7D93C" w14:textId="77777777" w:rsidR="0068404A" w:rsidRPr="00215AB2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E5BC25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6FC01F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372A0F39" w14:textId="77777777" w:rsidR="0068404A" w:rsidRPr="00404E1A" w:rsidRDefault="0068404A" w:rsidP="00FC6D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52DD602A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2B3A059F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Nydegger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BF661C0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10FD68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D665F5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12466A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8242540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1DB5F2CD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306156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313094B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2C584F0D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4E672072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11BF1F2D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Schaefer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C1BB4BF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F1F473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3BE3BA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9C2B78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C3C465A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6F63C788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EA9F45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ED0571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1FF67EB1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596F6B24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65549A14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Casadei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9A7DF8F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38592D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C1E04C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CC6B25A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DB5125D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568E7ABC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3076F5D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48204C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4D0BD176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55D898B3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226E24AA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Thakkar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6814667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76C38B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389B83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B2DFA3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E3A2B08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1891C24D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D7C922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34BE9EE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025A1B5E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53E51E47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7166E3AB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Forero-Forero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3390365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D43FF4E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A5FD00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E79C2C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65F4682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5020D340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5518EB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A99A9A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5A9CFEBA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36CAAE9C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17C77B89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Lamure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ADB0644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8C5431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86AE72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DF32A9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FA78922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3944D46A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95B20A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DBE0B5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734846A2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2D903068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189976F5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Ghafouri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2755824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C32D53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AEB799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C63888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0738BFA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4BCDD61A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29B8CF2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7AF02A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4B5C4357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394C8B50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0F9DCA6B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Wudhikarn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6B2D09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AB74A8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A72853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C2C315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16C2C8AF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4999A310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116D36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9786A4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2114E2C6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028B44F0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48895D8B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Baird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8D68366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7BBB18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C555CA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7930EE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256C864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16528B6F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BBD266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839248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018FBE7C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58E44764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33E04CE8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Grana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EF33B94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417F69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C1AAD3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3C325AA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088A965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75D78232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AAB7B1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55E123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48AABB67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0D79F8EB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4893B386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Iacoboni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55B009B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F332DD8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72BB1F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814D48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87EA5C3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6DAA052D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95794C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5B2C74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3FC541CC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450C3DBB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1B4EFFA1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Logue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0B17611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30B34F4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FB591F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96C411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AEC96CC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3161C2B0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76A4B8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99E4F5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42F17B19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78406586" w14:textId="77777777" w:rsidTr="00FC6D44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01A90C00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Georgi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D3E000A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9467A2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589BA6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581B6E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72102A2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286ED91E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8C2CB0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9B3F24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01D234CE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2376786E" w14:textId="77777777" w:rsidTr="009406D3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</w:tcPr>
          <w:p w14:paraId="5983C9B4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Iovino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FDDF142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7D35E8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8A09AF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A2308D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92D70FB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6F542C44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3319CD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27192EE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14:paraId="1A1E9CEA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68404A" w:rsidRPr="00404E1A" w14:paraId="6C8248FC" w14:textId="77777777" w:rsidTr="009406D3">
        <w:trPr>
          <w:trHeight w:val="397"/>
        </w:trPr>
        <w:tc>
          <w:tcPr>
            <w:tcW w:w="1701" w:type="dxa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2F6C903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Wudhikarn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et al.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08A42A5" w14:textId="77777777" w:rsidR="0068404A" w:rsidRPr="00637874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8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32B8383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44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61350B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3CDBF6" w14:textId="77777777" w:rsidR="0068404A" w:rsidRPr="009B2546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B25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Yes/Yes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4CF349A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27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C21AF51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</w:p>
        </w:tc>
        <w:tc>
          <w:tcPr>
            <w:tcW w:w="156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4F992E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FB46322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3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64BFEFF" w14:textId="77777777" w:rsidR="0068404A" w:rsidRPr="0002390B" w:rsidRDefault="0068404A" w:rsidP="00FC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39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</w:tbl>
    <w:p w14:paraId="1F86107F" w14:textId="7707C841" w:rsidR="0068404A" w:rsidRPr="009E66EA" w:rsidRDefault="0068404A" w:rsidP="0068404A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637874">
        <w:rPr>
          <w:rFonts w:ascii="Arial" w:hAnsi="Arial" w:cs="Arial"/>
          <w:sz w:val="20"/>
          <w:szCs w:val="20"/>
          <w:lang w:val="en-US"/>
        </w:rPr>
        <w:t>Joanna-Brigg’s Institute assessment of study bias</w:t>
      </w:r>
      <w:r>
        <w:rPr>
          <w:rFonts w:ascii="Arial" w:hAnsi="Arial" w:cs="Arial"/>
          <w:sz w:val="20"/>
          <w:szCs w:val="20"/>
          <w:lang w:val="en-US"/>
        </w:rPr>
        <w:t xml:space="preserve"> (Munn et al. </w:t>
      </w:r>
      <w:r w:rsidRPr="00123855">
        <w:rPr>
          <w:rFonts w:ascii="Arial" w:hAnsi="Arial" w:cs="Arial"/>
          <w:sz w:val="20"/>
          <w:szCs w:val="20"/>
          <w:lang w:val="en-US"/>
        </w:rPr>
        <w:t>JBI Evid Synth. 2020 Oct;18(10):2127-2133</w:t>
      </w:r>
      <w:r>
        <w:rPr>
          <w:rFonts w:ascii="Arial" w:hAnsi="Arial" w:cs="Arial"/>
          <w:sz w:val="20"/>
          <w:szCs w:val="20"/>
          <w:lang w:val="en-US"/>
        </w:rPr>
        <w:t>)</w:t>
      </w:r>
      <w:r w:rsidRPr="00637874"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Criterion 9 (presenting sites’/clinics’ demographics) was assessed within criterion 5 (demographics of the participants in the study). Criterion 10 (statistical analysis) was not applicable since the extracted data processed in this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metaanalysis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are not based on statistical tools in the original studies.</w:t>
      </w:r>
    </w:p>
    <w:p w14:paraId="32316CEE" w14:textId="77777777" w:rsidR="0068404A" w:rsidRDefault="0068404A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75DDAF2" w14:textId="009A6BF7" w:rsidR="00C5573F" w:rsidRDefault="00C5573F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F2C8A11" w14:textId="2AB995E1" w:rsidR="0068404A" w:rsidRDefault="0068404A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CB7A6AA" w14:textId="1C819E01" w:rsidR="0068404A" w:rsidRDefault="0068404A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3974276" w14:textId="4CDD8840" w:rsidR="0068404A" w:rsidRDefault="0068404A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9C0E1DA" w14:textId="27A569E6" w:rsidR="0068404A" w:rsidRDefault="0068404A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FDC6025" w14:textId="146118C7" w:rsidR="0068404A" w:rsidRDefault="0068404A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C0039A5" w14:textId="5FB06759" w:rsidR="0068404A" w:rsidRDefault="0068404A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D79BDA4" w14:textId="126CFD2B" w:rsidR="0068404A" w:rsidRDefault="0068404A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28DAF5C" w14:textId="77777777" w:rsidR="0068404A" w:rsidRDefault="0068404A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13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2313"/>
        <w:gridCol w:w="9989"/>
      </w:tblGrid>
      <w:tr w:rsidR="00C5573F" w:rsidRPr="00642E90" w14:paraId="745D6D8F" w14:textId="77777777" w:rsidTr="00C5573F">
        <w:trPr>
          <w:trHeight w:val="278"/>
        </w:trPr>
        <w:tc>
          <w:tcPr>
            <w:tcW w:w="13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DB8F6" w14:textId="5DBA700F" w:rsidR="00C5573F" w:rsidRPr="00C5573F" w:rsidRDefault="00C5573F" w:rsidP="00C55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557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Table 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  <w:r w:rsidRPr="00C557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. </w:t>
            </w: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Causes of death classified as "others".</w:t>
            </w:r>
          </w:p>
        </w:tc>
      </w:tr>
      <w:tr w:rsidR="00C5573F" w:rsidRPr="00C5573F" w14:paraId="0CA1392F" w14:textId="77777777" w:rsidTr="00C5573F">
        <w:trPr>
          <w:trHeight w:val="454"/>
        </w:trPr>
        <w:tc>
          <w:tcPr>
            <w:tcW w:w="879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10FFE" w14:textId="6D530A36" w:rsidR="00C5573F" w:rsidRPr="00C5573F" w:rsidRDefault="00C5573F" w:rsidP="00C55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Case</w:t>
            </w:r>
          </w:p>
        </w:tc>
        <w:tc>
          <w:tcPr>
            <w:tcW w:w="23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F65A8" w14:textId="77777777" w:rsidR="00C5573F" w:rsidRPr="00C5573F" w:rsidRDefault="00C5573F" w:rsidP="00C55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Study </w:t>
            </w:r>
            <w:proofErr w:type="spellStart"/>
            <w:r w:rsidRPr="00C557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cohort</w:t>
            </w:r>
            <w:proofErr w:type="spellEnd"/>
          </w:p>
        </w:tc>
        <w:tc>
          <w:tcPr>
            <w:tcW w:w="9989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BA476" w14:textId="77777777" w:rsidR="00C5573F" w:rsidRPr="00C5573F" w:rsidRDefault="00C5573F" w:rsidP="00C55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557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Cause</w:t>
            </w:r>
            <w:proofErr w:type="spellEnd"/>
            <w:r w:rsidRPr="00C557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557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of</w:t>
            </w:r>
            <w:proofErr w:type="spellEnd"/>
            <w:r w:rsidRPr="00C557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557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death</w:t>
            </w:r>
            <w:proofErr w:type="spellEnd"/>
          </w:p>
        </w:tc>
      </w:tr>
      <w:tr w:rsidR="00C45690" w:rsidRPr="00C5573F" w14:paraId="059591E4" w14:textId="77777777" w:rsidTr="00C5573F">
        <w:trPr>
          <w:trHeight w:val="340"/>
        </w:trPr>
        <w:tc>
          <w:tcPr>
            <w:tcW w:w="879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01B6C5C" w14:textId="1FE18488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3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718C64F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Bishop_2022</w:t>
            </w:r>
          </w:p>
        </w:tc>
        <w:tc>
          <w:tcPr>
            <w:tcW w:w="9989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C7CAA13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Hepatic</w:t>
            </w:r>
            <w:proofErr w:type="spellEnd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failure</w:t>
            </w:r>
            <w:proofErr w:type="spellEnd"/>
          </w:p>
        </w:tc>
      </w:tr>
      <w:tr w:rsidR="00C45690" w:rsidRPr="00C5573F" w14:paraId="2A78526E" w14:textId="77777777" w:rsidTr="00C5573F">
        <w:trPr>
          <w:trHeight w:val="340"/>
        </w:trPr>
        <w:tc>
          <w:tcPr>
            <w:tcW w:w="8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0A9C63" w14:textId="64811750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1E6385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Bishop_2022</w:t>
            </w:r>
          </w:p>
        </w:tc>
        <w:tc>
          <w:tcPr>
            <w:tcW w:w="99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DCD230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Euthanasia</w:t>
            </w:r>
            <w:proofErr w:type="spellEnd"/>
          </w:p>
        </w:tc>
      </w:tr>
      <w:tr w:rsidR="00C45690" w:rsidRPr="00642E90" w14:paraId="2F6186A4" w14:textId="77777777" w:rsidTr="00C5573F">
        <w:trPr>
          <w:trHeight w:val="340"/>
        </w:trPr>
        <w:tc>
          <w:tcPr>
            <w:tcW w:w="8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FF1B61" w14:textId="03749AEA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9CA34C7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Bishop_2022</w:t>
            </w:r>
          </w:p>
        </w:tc>
        <w:tc>
          <w:tcPr>
            <w:tcW w:w="99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D577648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General Disorders and administration site conditions - Death</w:t>
            </w:r>
          </w:p>
        </w:tc>
      </w:tr>
      <w:tr w:rsidR="00C45690" w:rsidRPr="00642E90" w14:paraId="4C9131C2" w14:textId="77777777" w:rsidTr="00C5573F">
        <w:trPr>
          <w:trHeight w:val="340"/>
        </w:trPr>
        <w:tc>
          <w:tcPr>
            <w:tcW w:w="8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771D4A" w14:textId="4277BFBF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3AB8650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Dores_2021</w:t>
            </w:r>
          </w:p>
        </w:tc>
        <w:tc>
          <w:tcPr>
            <w:tcW w:w="99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4C6A27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General Disorders and administration site conditions - Death</w:t>
            </w:r>
          </w:p>
        </w:tc>
      </w:tr>
      <w:tr w:rsidR="00C45690" w:rsidRPr="00642E90" w14:paraId="79363521" w14:textId="77777777" w:rsidTr="00C5573F">
        <w:trPr>
          <w:trHeight w:val="340"/>
        </w:trPr>
        <w:tc>
          <w:tcPr>
            <w:tcW w:w="8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2EC646" w14:textId="3CAB31A5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7973BA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Fowler_2022</w:t>
            </w:r>
          </w:p>
        </w:tc>
        <w:tc>
          <w:tcPr>
            <w:tcW w:w="99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5969A1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General Disorders and administration site conditions - Death</w:t>
            </w:r>
          </w:p>
        </w:tc>
      </w:tr>
      <w:tr w:rsidR="00C45690" w:rsidRPr="00642E90" w14:paraId="41E6222F" w14:textId="77777777" w:rsidTr="00C5573F">
        <w:trPr>
          <w:trHeight w:val="340"/>
        </w:trPr>
        <w:tc>
          <w:tcPr>
            <w:tcW w:w="879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E9F8A49" w14:textId="0E9C59D1" w:rsidR="00C45690" w:rsidRPr="00C45690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988C540" w14:textId="154B86D0" w:rsidR="00C45690" w:rsidRPr="00C45690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Iacoboni_2022</w:t>
            </w:r>
          </w:p>
        </w:tc>
        <w:tc>
          <w:tcPr>
            <w:tcW w:w="9989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2F03DA9A" w14:textId="032F77B2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</w:t>
            </w:r>
            <w:r w:rsidRPr="00C45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linical deterioration in the context of prolonged steroid therapy</w:t>
            </w:r>
          </w:p>
        </w:tc>
      </w:tr>
      <w:tr w:rsidR="00C45690" w:rsidRPr="00C5573F" w14:paraId="47B9E88B" w14:textId="77777777" w:rsidTr="00C5573F">
        <w:trPr>
          <w:trHeight w:val="340"/>
        </w:trPr>
        <w:tc>
          <w:tcPr>
            <w:tcW w:w="8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A1258E" w14:textId="4FB3BA13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42A8815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Jacobson_2022_B</w:t>
            </w:r>
          </w:p>
        </w:tc>
        <w:tc>
          <w:tcPr>
            <w:tcW w:w="99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EB3831D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Light </w:t>
            </w: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chain</w:t>
            </w:r>
            <w:proofErr w:type="spellEnd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disease</w:t>
            </w:r>
            <w:proofErr w:type="spellEnd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45690" w:rsidRPr="00C5573F" w14:paraId="13B19FC8" w14:textId="77777777" w:rsidTr="00C5573F">
        <w:trPr>
          <w:trHeight w:val="340"/>
        </w:trPr>
        <w:tc>
          <w:tcPr>
            <w:tcW w:w="8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1B03D3" w14:textId="4D818CA9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6E7BA3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Jacobson_2022_B</w:t>
            </w:r>
          </w:p>
        </w:tc>
        <w:tc>
          <w:tcPr>
            <w:tcW w:w="99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89E8B8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Persistent </w:t>
            </w: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Pancytopenia</w:t>
            </w:r>
            <w:proofErr w:type="spellEnd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45690" w:rsidRPr="00642E90" w14:paraId="5030829E" w14:textId="77777777" w:rsidTr="00C5573F">
        <w:trPr>
          <w:trHeight w:val="340"/>
        </w:trPr>
        <w:tc>
          <w:tcPr>
            <w:tcW w:w="8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4B7355" w14:textId="19192D6A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9435C9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Kamdar_2022</w:t>
            </w:r>
          </w:p>
        </w:tc>
        <w:tc>
          <w:tcPr>
            <w:tcW w:w="99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5E01273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"Failure to thrive after disease progression"</w:t>
            </w:r>
          </w:p>
        </w:tc>
      </w:tr>
      <w:tr w:rsidR="00C45690" w:rsidRPr="00C5573F" w14:paraId="35DF5CA2" w14:textId="77777777" w:rsidTr="00C5573F">
        <w:trPr>
          <w:trHeight w:val="340"/>
        </w:trPr>
        <w:tc>
          <w:tcPr>
            <w:tcW w:w="8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0FD41E" w14:textId="13D4E703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49723E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Kuhnl_2022_B</w:t>
            </w:r>
          </w:p>
        </w:tc>
        <w:tc>
          <w:tcPr>
            <w:tcW w:w="99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B08B5D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Bowel</w:t>
            </w:r>
            <w:proofErr w:type="spellEnd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Perforation</w:t>
            </w:r>
          </w:p>
        </w:tc>
      </w:tr>
      <w:tr w:rsidR="00C45690" w:rsidRPr="00C5573F" w14:paraId="3F9798D8" w14:textId="77777777" w:rsidTr="00C5573F">
        <w:trPr>
          <w:trHeight w:val="340"/>
        </w:trPr>
        <w:tc>
          <w:tcPr>
            <w:tcW w:w="8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4F17144" w14:textId="7BC33F09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D93234E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Kuhnl_2022_B</w:t>
            </w:r>
          </w:p>
        </w:tc>
        <w:tc>
          <w:tcPr>
            <w:tcW w:w="99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BE4CDE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Bowel</w:t>
            </w:r>
            <w:proofErr w:type="spellEnd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Perforation</w:t>
            </w:r>
          </w:p>
        </w:tc>
      </w:tr>
      <w:tr w:rsidR="00C45690" w:rsidRPr="00C5573F" w14:paraId="3D421D25" w14:textId="77777777" w:rsidTr="00C5573F">
        <w:trPr>
          <w:trHeight w:val="340"/>
        </w:trPr>
        <w:tc>
          <w:tcPr>
            <w:tcW w:w="8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CF7926" w14:textId="61B71295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67891C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Lemoine_2023</w:t>
            </w:r>
          </w:p>
        </w:tc>
        <w:tc>
          <w:tcPr>
            <w:tcW w:w="99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03DCFF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Sudden </w:t>
            </w: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death</w:t>
            </w:r>
            <w:proofErr w:type="spellEnd"/>
          </w:p>
        </w:tc>
      </w:tr>
      <w:tr w:rsidR="00C45690" w:rsidRPr="00C5573F" w14:paraId="35F7512F" w14:textId="77777777" w:rsidTr="00C5573F">
        <w:trPr>
          <w:trHeight w:val="340"/>
        </w:trPr>
        <w:tc>
          <w:tcPr>
            <w:tcW w:w="8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64ED9C" w14:textId="03969E41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6FC32FE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Lemoine_2023</w:t>
            </w:r>
          </w:p>
        </w:tc>
        <w:tc>
          <w:tcPr>
            <w:tcW w:w="99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3D1265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Sudden </w:t>
            </w: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death</w:t>
            </w:r>
            <w:proofErr w:type="spellEnd"/>
          </w:p>
        </w:tc>
      </w:tr>
      <w:tr w:rsidR="00C45690" w:rsidRPr="00C5573F" w14:paraId="2C35BCE0" w14:textId="77777777" w:rsidTr="00C5573F">
        <w:trPr>
          <w:trHeight w:val="340"/>
        </w:trPr>
        <w:tc>
          <w:tcPr>
            <w:tcW w:w="8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F23D28" w14:textId="2D277C0E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7211381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Lemoine_2023</w:t>
            </w:r>
          </w:p>
        </w:tc>
        <w:tc>
          <w:tcPr>
            <w:tcW w:w="99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F60BF6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Sudden </w:t>
            </w: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death</w:t>
            </w:r>
            <w:proofErr w:type="spellEnd"/>
          </w:p>
        </w:tc>
      </w:tr>
      <w:tr w:rsidR="00C45690" w:rsidRPr="00C5573F" w14:paraId="7B8842CE" w14:textId="77777777" w:rsidTr="00C5573F">
        <w:trPr>
          <w:trHeight w:val="340"/>
        </w:trPr>
        <w:tc>
          <w:tcPr>
            <w:tcW w:w="8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9BB56B" w14:textId="43509BB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8B8DC3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Lemoine_2023</w:t>
            </w:r>
          </w:p>
        </w:tc>
        <w:tc>
          <w:tcPr>
            <w:tcW w:w="99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8CA14AE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Anasarca</w:t>
            </w:r>
            <w:proofErr w:type="spellEnd"/>
          </w:p>
        </w:tc>
      </w:tr>
      <w:tr w:rsidR="00C45690" w:rsidRPr="00C5573F" w14:paraId="378E61A8" w14:textId="77777777" w:rsidTr="00C5573F">
        <w:trPr>
          <w:trHeight w:val="340"/>
        </w:trPr>
        <w:tc>
          <w:tcPr>
            <w:tcW w:w="8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77D2BF" w14:textId="7216FC25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DCB13E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Martin_2023</w:t>
            </w:r>
          </w:p>
        </w:tc>
        <w:tc>
          <w:tcPr>
            <w:tcW w:w="99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8878C8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Ascites</w:t>
            </w:r>
          </w:p>
        </w:tc>
      </w:tr>
      <w:tr w:rsidR="00C45690" w:rsidRPr="00C5573F" w14:paraId="31B1F3B6" w14:textId="77777777" w:rsidTr="00C5573F">
        <w:trPr>
          <w:trHeight w:val="340"/>
        </w:trPr>
        <w:tc>
          <w:tcPr>
            <w:tcW w:w="8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452B11" w14:textId="3D9F7486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4921E7E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Mi_2022</w:t>
            </w:r>
          </w:p>
        </w:tc>
        <w:tc>
          <w:tcPr>
            <w:tcW w:w="99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A8903A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Hepatic</w:t>
            </w:r>
            <w:proofErr w:type="spellEnd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failure</w:t>
            </w:r>
            <w:proofErr w:type="spellEnd"/>
          </w:p>
        </w:tc>
      </w:tr>
      <w:tr w:rsidR="00C45690" w:rsidRPr="00642E90" w14:paraId="7D323D0E" w14:textId="77777777" w:rsidTr="00C5573F">
        <w:trPr>
          <w:trHeight w:val="340"/>
        </w:trPr>
        <w:tc>
          <w:tcPr>
            <w:tcW w:w="8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DF6383" w14:textId="00F941B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F95CA1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Neelapu_2023</w:t>
            </w:r>
          </w:p>
        </w:tc>
        <w:tc>
          <w:tcPr>
            <w:tcW w:w="99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633D44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Complications of allogeneic transplantation for previous treatment–related MDS not related to axi-cel </w:t>
            </w:r>
          </w:p>
        </w:tc>
      </w:tr>
      <w:tr w:rsidR="00C45690" w:rsidRPr="00C5573F" w14:paraId="7FFE91EE" w14:textId="77777777" w:rsidTr="00C5573F">
        <w:trPr>
          <w:trHeight w:val="340"/>
        </w:trPr>
        <w:tc>
          <w:tcPr>
            <w:tcW w:w="8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5D3CBF" w14:textId="35B68D2D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F02C34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Rejeski_2022_A</w:t>
            </w:r>
          </w:p>
        </w:tc>
        <w:tc>
          <w:tcPr>
            <w:tcW w:w="99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DC7EF0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Accident</w:t>
            </w:r>
            <w:proofErr w:type="spellEnd"/>
          </w:p>
        </w:tc>
      </w:tr>
      <w:tr w:rsidR="00C45690" w:rsidRPr="00C5573F" w14:paraId="34250B1A" w14:textId="77777777" w:rsidTr="00C5573F">
        <w:trPr>
          <w:trHeight w:val="340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64314202" w14:textId="7F862C3A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313" w:type="dxa"/>
            <w:shd w:val="clear" w:color="auto" w:fill="auto"/>
            <w:noWrap/>
            <w:vAlign w:val="bottom"/>
            <w:hideMark/>
          </w:tcPr>
          <w:p w14:paraId="50BE2BF4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Rejeski_2023_B</w:t>
            </w:r>
          </w:p>
        </w:tc>
        <w:tc>
          <w:tcPr>
            <w:tcW w:w="9989" w:type="dxa"/>
            <w:shd w:val="clear" w:color="auto" w:fill="auto"/>
            <w:noWrap/>
            <w:vAlign w:val="bottom"/>
            <w:hideMark/>
          </w:tcPr>
          <w:p w14:paraId="2AA918B1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General </w:t>
            </w: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deconditioning</w:t>
            </w:r>
            <w:proofErr w:type="spellEnd"/>
          </w:p>
        </w:tc>
      </w:tr>
      <w:tr w:rsidR="00C45690" w:rsidRPr="00C5573F" w14:paraId="14811E09" w14:textId="77777777" w:rsidTr="00C5573F">
        <w:trPr>
          <w:trHeight w:val="340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0C27C542" w14:textId="2BBA37B2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313" w:type="dxa"/>
            <w:shd w:val="clear" w:color="auto" w:fill="auto"/>
            <w:noWrap/>
            <w:vAlign w:val="bottom"/>
            <w:hideMark/>
          </w:tcPr>
          <w:p w14:paraId="6CC71C29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Rodriguez-Otero_2023</w:t>
            </w:r>
          </w:p>
        </w:tc>
        <w:tc>
          <w:tcPr>
            <w:tcW w:w="9989" w:type="dxa"/>
            <w:shd w:val="clear" w:color="auto" w:fill="auto"/>
            <w:noWrap/>
            <w:vAlign w:val="bottom"/>
            <w:hideMark/>
          </w:tcPr>
          <w:p w14:paraId="2D905106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Amyotrophic</w:t>
            </w:r>
            <w:proofErr w:type="spellEnd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lateral </w:t>
            </w: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sclerosis</w:t>
            </w:r>
            <w:proofErr w:type="spellEnd"/>
          </w:p>
        </w:tc>
      </w:tr>
      <w:tr w:rsidR="00C45690" w:rsidRPr="00C5573F" w14:paraId="445ED0FB" w14:textId="77777777" w:rsidTr="00C5573F">
        <w:trPr>
          <w:trHeight w:val="340"/>
        </w:trPr>
        <w:tc>
          <w:tcPr>
            <w:tcW w:w="87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6A045B" w14:textId="2F891F8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31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35DCAA" w14:textId="77777777" w:rsidR="00C45690" w:rsidRPr="00C5573F" w:rsidRDefault="00C45690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Westin_2023</w:t>
            </w:r>
          </w:p>
        </w:tc>
        <w:tc>
          <w:tcPr>
            <w:tcW w:w="998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5F5C24" w14:textId="77777777" w:rsidR="00C45690" w:rsidRPr="00C5573F" w:rsidRDefault="00C45690" w:rsidP="00C45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557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Euthanasia</w:t>
            </w:r>
            <w:proofErr w:type="spellEnd"/>
          </w:p>
        </w:tc>
      </w:tr>
    </w:tbl>
    <w:p w14:paraId="24353C69" w14:textId="231121DB" w:rsidR="00C45690" w:rsidRDefault="00C4569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34C96CA" w14:textId="77777777" w:rsidR="00C45690" w:rsidRDefault="00C45690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13C29E9C" w14:textId="77777777" w:rsidR="002158D4" w:rsidRDefault="002158D4" w:rsidP="002158D4">
      <w:pPr>
        <w:rPr>
          <w:rFonts w:ascii="Arial" w:hAnsi="Arial" w:cs="Arial"/>
          <w:b/>
          <w:bCs/>
          <w:sz w:val="20"/>
          <w:szCs w:val="20"/>
          <w:lang w:val="en-US"/>
        </w:rPr>
      </w:pPr>
      <w:bookmarkStart w:id="0" w:name="OLE_LINK1"/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Table S3. </w:t>
      </w:r>
      <w:r>
        <w:rPr>
          <w:rFonts w:ascii="Arial" w:hAnsi="Arial" w:cs="Arial"/>
          <w:sz w:val="20"/>
          <w:szCs w:val="20"/>
          <w:lang w:val="en-US"/>
        </w:rPr>
        <w:t>Distribution of secondary malignancies.</w:t>
      </w:r>
    </w:p>
    <w:tbl>
      <w:tblPr>
        <w:tblW w:w="98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814"/>
        <w:gridCol w:w="1814"/>
        <w:gridCol w:w="1814"/>
        <w:gridCol w:w="1814"/>
      </w:tblGrid>
      <w:tr w:rsidR="002158D4" w:rsidRPr="00642E90" w14:paraId="1387CE69" w14:textId="77777777" w:rsidTr="008068F8">
        <w:trPr>
          <w:trHeight w:val="1120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B6FA9" w14:textId="77777777" w:rsidR="002158D4" w:rsidRPr="009406D3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5076795" w14:textId="77777777" w:rsidR="002158D4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MDS/AML</w:t>
            </w:r>
          </w:p>
          <w:p w14:paraId="681D9A04" w14:textId="77777777" w:rsidR="002158D4" w:rsidRPr="008F542C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(n = 16)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2AA71F4" w14:textId="77777777" w:rsidR="002158D4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Carcinoma</w:t>
            </w:r>
            <w:proofErr w:type="spellEnd"/>
          </w:p>
          <w:p w14:paraId="6FE28A0F" w14:textId="77777777" w:rsidR="002158D4" w:rsidRPr="008F542C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(n = 6)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0D75B48" w14:textId="77777777" w:rsidR="002158D4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Sarcoma</w:t>
            </w:r>
            <w:proofErr w:type="spellEnd"/>
          </w:p>
          <w:p w14:paraId="40D5C07C" w14:textId="77777777" w:rsidR="002158D4" w:rsidRPr="008F542C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(n = 1)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3461B07" w14:textId="77777777" w:rsidR="002158D4" w:rsidRPr="002158D4" w:rsidRDefault="002158D4" w:rsidP="00AD36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158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Prior/secondary malignancy, NOS</w:t>
            </w:r>
            <w:r w:rsidRPr="002158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  <w:t>(n = 15)</w:t>
            </w:r>
          </w:p>
        </w:tc>
      </w:tr>
      <w:tr w:rsidR="002158D4" w:rsidRPr="00C45690" w14:paraId="1CFCE630" w14:textId="77777777" w:rsidTr="008068F8">
        <w:trPr>
          <w:trHeight w:val="397"/>
        </w:trPr>
        <w:tc>
          <w:tcPr>
            <w:tcW w:w="2552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C065714" w14:textId="77777777" w:rsidR="002158D4" w:rsidRPr="009A6091" w:rsidRDefault="002158D4" w:rsidP="00AD3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Entity</w:t>
            </w:r>
          </w:p>
        </w:tc>
        <w:tc>
          <w:tcPr>
            <w:tcW w:w="1814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7A47784C" w14:textId="77777777" w:rsidR="002158D4" w:rsidRPr="009A6091" w:rsidRDefault="002158D4" w:rsidP="00AD36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4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2DEFA3E" w14:textId="77777777" w:rsidR="002158D4" w:rsidRPr="009A6091" w:rsidRDefault="002158D4" w:rsidP="00AD36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14" w:type="dxa"/>
            <w:tcBorders>
              <w:top w:val="single" w:sz="12" w:space="0" w:color="auto"/>
              <w:bottom w:val="nil"/>
            </w:tcBorders>
            <w:vAlign w:val="center"/>
          </w:tcPr>
          <w:p w14:paraId="5F32CF19" w14:textId="77777777" w:rsidR="002158D4" w:rsidRPr="009A6091" w:rsidRDefault="002158D4" w:rsidP="00AD36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14" w:type="dxa"/>
            <w:tcBorders>
              <w:top w:val="single" w:sz="12" w:space="0" w:color="auto"/>
              <w:bottom w:val="nil"/>
            </w:tcBorders>
          </w:tcPr>
          <w:p w14:paraId="3B3FE339" w14:textId="77777777" w:rsidR="002158D4" w:rsidRPr="009A6091" w:rsidRDefault="002158D4" w:rsidP="00AD36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158D4" w:rsidRPr="00C45690" w14:paraId="34B1A2A2" w14:textId="77777777" w:rsidTr="002158D4">
        <w:trPr>
          <w:trHeight w:val="397"/>
        </w:trPr>
        <w:tc>
          <w:tcPr>
            <w:tcW w:w="255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D17892B" w14:textId="77777777" w:rsidR="002158D4" w:rsidRPr="009A6091" w:rsidRDefault="002158D4" w:rsidP="002158D4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LBCL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AF60644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 (56.25)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B5B6221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 (66.7)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0BD0568C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5294E212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 (93.3)</w:t>
            </w:r>
          </w:p>
        </w:tc>
      </w:tr>
      <w:tr w:rsidR="002158D4" w:rsidRPr="00C45690" w14:paraId="5AB28FFE" w14:textId="77777777" w:rsidTr="002158D4">
        <w:trPr>
          <w:trHeight w:val="397"/>
        </w:trPr>
        <w:tc>
          <w:tcPr>
            <w:tcW w:w="255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DB8EF61" w14:textId="77777777" w:rsidR="002158D4" w:rsidRPr="009A6091" w:rsidRDefault="002158D4" w:rsidP="002158D4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AC41D80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0AC995C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68841A70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2EF7277C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 (6.7)</w:t>
            </w:r>
          </w:p>
        </w:tc>
      </w:tr>
      <w:tr w:rsidR="002158D4" w:rsidRPr="00C45690" w14:paraId="04886B07" w14:textId="77777777" w:rsidTr="002158D4">
        <w:trPr>
          <w:trHeight w:val="397"/>
        </w:trPr>
        <w:tc>
          <w:tcPr>
            <w:tcW w:w="255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F4AFC36" w14:textId="77777777" w:rsidR="002158D4" w:rsidRPr="009A6091" w:rsidRDefault="002158D4" w:rsidP="002158D4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MCL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ABA5D89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 (12.5)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AA33A44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12FF3951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 (100)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6446A081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</w:tr>
      <w:tr w:rsidR="002158D4" w:rsidRPr="00C5573F" w14:paraId="0C75306E" w14:textId="77777777" w:rsidTr="002158D4">
        <w:trPr>
          <w:trHeight w:val="397"/>
        </w:trPr>
        <w:tc>
          <w:tcPr>
            <w:tcW w:w="255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07EB02E" w14:textId="77777777" w:rsidR="002158D4" w:rsidRPr="009A6091" w:rsidRDefault="002158D4" w:rsidP="002158D4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MM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73996E0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 (31.25)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75DD1C4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(33.3)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054508A3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4469086E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</w:tr>
      <w:tr w:rsidR="002158D4" w:rsidRPr="00C5573F" w14:paraId="6F38C74C" w14:textId="77777777" w:rsidTr="002158D4">
        <w:trPr>
          <w:trHeight w:val="397"/>
        </w:trPr>
        <w:tc>
          <w:tcPr>
            <w:tcW w:w="255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6CF9A45" w14:textId="77777777" w:rsidR="002158D4" w:rsidRPr="009A6091" w:rsidRDefault="002158D4" w:rsidP="00215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A6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Product</w:t>
            </w:r>
            <w:proofErr w:type="spellEnd"/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55E0648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323E15B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72893ACB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15A17CAD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158D4" w:rsidRPr="00C45690" w14:paraId="653A82E5" w14:textId="77777777" w:rsidTr="002158D4">
        <w:trPr>
          <w:trHeight w:val="397"/>
        </w:trPr>
        <w:tc>
          <w:tcPr>
            <w:tcW w:w="255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0428F44" w14:textId="77777777" w:rsidR="002158D4" w:rsidRPr="009A6091" w:rsidRDefault="002158D4" w:rsidP="002158D4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091">
              <w:rPr>
                <w:rFonts w:ascii="Arial" w:hAnsi="Arial" w:cs="Arial"/>
                <w:color w:val="000000"/>
                <w:sz w:val="20"/>
                <w:szCs w:val="20"/>
              </w:rPr>
              <w:t>Axi-cel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47F09D5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 (18.75)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8A8FA08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(33.3)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658CF3F3" w14:textId="44AA85F4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6B779275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 (93.3)</w:t>
            </w:r>
          </w:p>
        </w:tc>
      </w:tr>
      <w:tr w:rsidR="002158D4" w:rsidRPr="00C5573F" w14:paraId="27AD0B55" w14:textId="77777777" w:rsidTr="002158D4">
        <w:trPr>
          <w:trHeight w:val="397"/>
        </w:trPr>
        <w:tc>
          <w:tcPr>
            <w:tcW w:w="255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0BC76B7" w14:textId="77777777" w:rsidR="002158D4" w:rsidRPr="009A6091" w:rsidRDefault="002158D4" w:rsidP="002158D4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Tisa-cel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923170F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(6.25)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238665A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(16.7)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08BB649D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180F8D51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 (6.7)</w:t>
            </w:r>
          </w:p>
        </w:tc>
      </w:tr>
      <w:tr w:rsidR="002158D4" w:rsidRPr="009406D3" w14:paraId="2BBC3C20" w14:textId="77777777" w:rsidTr="002158D4">
        <w:trPr>
          <w:trHeight w:val="397"/>
        </w:trPr>
        <w:tc>
          <w:tcPr>
            <w:tcW w:w="255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4988A7B" w14:textId="77777777" w:rsidR="002158D4" w:rsidRPr="009406D3" w:rsidRDefault="002158D4" w:rsidP="002158D4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40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Tisa-cel or axi-c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el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B0558EA" w14:textId="77777777" w:rsidR="002158D4" w:rsidRPr="009406D3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 (31.25)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730E6BD" w14:textId="77777777" w:rsidR="002158D4" w:rsidRPr="009406D3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(16.7)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2A10E9C8" w14:textId="77777777" w:rsidR="002158D4" w:rsidRPr="009406D3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65E560B7" w14:textId="77777777" w:rsidR="002158D4" w:rsidRPr="009406D3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</w:tr>
      <w:tr w:rsidR="002158D4" w:rsidRPr="00C5573F" w14:paraId="7985D332" w14:textId="77777777" w:rsidTr="002158D4">
        <w:trPr>
          <w:trHeight w:val="397"/>
        </w:trPr>
        <w:tc>
          <w:tcPr>
            <w:tcW w:w="255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F5B63D3" w14:textId="77777777" w:rsidR="002158D4" w:rsidRPr="009A6091" w:rsidRDefault="002158D4" w:rsidP="002158D4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Liso-cel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0118B71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C1F3635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346F6606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30A9B4B2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</w:tr>
      <w:tr w:rsidR="002158D4" w:rsidRPr="00C5573F" w14:paraId="79E0262C" w14:textId="77777777" w:rsidTr="002158D4">
        <w:trPr>
          <w:trHeight w:val="397"/>
        </w:trPr>
        <w:tc>
          <w:tcPr>
            <w:tcW w:w="255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E0430C2" w14:textId="77777777" w:rsidR="002158D4" w:rsidRPr="009A6091" w:rsidRDefault="002158D4" w:rsidP="002158D4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Brexu-cel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1CF453D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 (12.5)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7A008EF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(16.7)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41836F26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 (100)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6A4BD2BA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</w:tr>
      <w:tr w:rsidR="002158D4" w:rsidRPr="00C5573F" w14:paraId="29E683C7" w14:textId="77777777" w:rsidTr="002158D4">
        <w:trPr>
          <w:trHeight w:val="397"/>
        </w:trPr>
        <w:tc>
          <w:tcPr>
            <w:tcW w:w="255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72568D0" w14:textId="77777777" w:rsidR="002158D4" w:rsidRPr="009A6091" w:rsidRDefault="002158D4" w:rsidP="002158D4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Ide-</w:t>
            </w:r>
            <w:proofErr w:type="spellStart"/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</w:t>
            </w:r>
            <w:proofErr w:type="spellEnd"/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132ACBB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(6.25)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0197279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(16.7)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1B49856B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6E901E47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</w:tr>
      <w:tr w:rsidR="002158D4" w:rsidRPr="00C5573F" w14:paraId="11366555" w14:textId="77777777" w:rsidTr="002158D4">
        <w:trPr>
          <w:trHeight w:val="397"/>
        </w:trPr>
        <w:tc>
          <w:tcPr>
            <w:tcW w:w="255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B5A380C" w14:textId="77777777" w:rsidR="002158D4" w:rsidRPr="009A6091" w:rsidRDefault="002158D4" w:rsidP="002158D4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Cilta-cel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F24D42A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 (25)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2EC24C0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184ABD42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064B48D9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</w:tr>
      <w:tr w:rsidR="002158D4" w:rsidRPr="00C5573F" w14:paraId="3BDBEA4F" w14:textId="77777777" w:rsidTr="002158D4">
        <w:trPr>
          <w:trHeight w:val="397"/>
        </w:trPr>
        <w:tc>
          <w:tcPr>
            <w:tcW w:w="255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EDA1FB4" w14:textId="77777777" w:rsidR="002158D4" w:rsidRPr="009A6091" w:rsidRDefault="002158D4" w:rsidP="00215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Treatment </w:t>
            </w:r>
            <w:proofErr w:type="spellStart"/>
            <w:r w:rsidRPr="009A6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setting</w:t>
            </w:r>
            <w:proofErr w:type="spellEnd"/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0FF3493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990D2BB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63F115EA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32E2A4E0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158D4" w:rsidRPr="00C5573F" w14:paraId="1239DA02" w14:textId="77777777" w:rsidTr="008068F8">
        <w:trPr>
          <w:trHeight w:val="39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B8B6BB" w14:textId="77777777" w:rsidR="002158D4" w:rsidRPr="009A6091" w:rsidRDefault="002158D4" w:rsidP="002158D4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CT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0F472291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 (43.75)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3705C741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 (50)</w:t>
            </w:r>
          </w:p>
        </w:tc>
        <w:tc>
          <w:tcPr>
            <w:tcW w:w="1814" w:type="dxa"/>
            <w:vAlign w:val="center"/>
          </w:tcPr>
          <w:p w14:paraId="73B9D364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 (0)</w:t>
            </w:r>
          </w:p>
        </w:tc>
        <w:tc>
          <w:tcPr>
            <w:tcW w:w="1814" w:type="dxa"/>
            <w:vAlign w:val="center"/>
          </w:tcPr>
          <w:p w14:paraId="3AEF87CF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 (20)</w:t>
            </w:r>
          </w:p>
        </w:tc>
      </w:tr>
      <w:tr w:rsidR="002158D4" w:rsidRPr="00C5573F" w14:paraId="2D7C622B" w14:textId="77777777" w:rsidTr="008068F8">
        <w:trPr>
          <w:trHeight w:val="454"/>
        </w:trPr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6D2EFB" w14:textId="77777777" w:rsidR="002158D4" w:rsidRPr="009A6091" w:rsidRDefault="002158D4" w:rsidP="002158D4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RW</w:t>
            </w:r>
          </w:p>
        </w:tc>
        <w:tc>
          <w:tcPr>
            <w:tcW w:w="181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7B02C21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 (56.25)</w:t>
            </w:r>
          </w:p>
        </w:tc>
        <w:tc>
          <w:tcPr>
            <w:tcW w:w="181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C999268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 (50)</w:t>
            </w:r>
          </w:p>
        </w:tc>
        <w:tc>
          <w:tcPr>
            <w:tcW w:w="1814" w:type="dxa"/>
            <w:tcBorders>
              <w:bottom w:val="single" w:sz="12" w:space="0" w:color="auto"/>
            </w:tcBorders>
            <w:vAlign w:val="center"/>
          </w:tcPr>
          <w:p w14:paraId="7A925DE5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 (100)</w:t>
            </w:r>
          </w:p>
        </w:tc>
        <w:tc>
          <w:tcPr>
            <w:tcW w:w="1814" w:type="dxa"/>
            <w:tcBorders>
              <w:bottom w:val="single" w:sz="12" w:space="0" w:color="auto"/>
            </w:tcBorders>
            <w:vAlign w:val="center"/>
          </w:tcPr>
          <w:p w14:paraId="5C290A48" w14:textId="77777777" w:rsidR="002158D4" w:rsidRPr="009A6091" w:rsidRDefault="002158D4" w:rsidP="00AD3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 (80)</w:t>
            </w:r>
          </w:p>
        </w:tc>
      </w:tr>
    </w:tbl>
    <w:p w14:paraId="2B0256A4" w14:textId="77777777" w:rsidR="002158D4" w:rsidRDefault="002158D4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CC210E5" w14:textId="77777777" w:rsidR="002158D4" w:rsidRDefault="002158D4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7DBC4CEC" w14:textId="549C00C5" w:rsidR="009A6091" w:rsidRDefault="009A6091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Table S</w:t>
      </w:r>
      <w:r w:rsidR="002158D4">
        <w:rPr>
          <w:rFonts w:ascii="Arial" w:hAnsi="Arial" w:cs="Arial"/>
          <w:b/>
          <w:bCs/>
          <w:sz w:val="20"/>
          <w:szCs w:val="20"/>
          <w:lang w:val="en-US"/>
        </w:rPr>
        <w:t>4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Pr="009A6091">
        <w:rPr>
          <w:rFonts w:ascii="Arial" w:hAnsi="Arial" w:cs="Arial"/>
          <w:sz w:val="20"/>
          <w:szCs w:val="20"/>
          <w:lang w:val="en-US"/>
        </w:rPr>
        <w:t>Sensitivity analyses.</w:t>
      </w:r>
    </w:p>
    <w:tbl>
      <w:tblPr>
        <w:tblW w:w="9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551"/>
        <w:gridCol w:w="2551"/>
        <w:gridCol w:w="2551"/>
      </w:tblGrid>
      <w:tr w:rsidR="009A6091" w:rsidRPr="00C5573F" w14:paraId="1DAF1672" w14:textId="718297C7" w:rsidTr="009A6091">
        <w:trPr>
          <w:trHeight w:val="397"/>
        </w:trPr>
        <w:tc>
          <w:tcPr>
            <w:tcW w:w="2268" w:type="dxa"/>
            <w:tcBorders>
              <w:top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8277D" w14:textId="2B0ECE32" w:rsidR="009A6091" w:rsidRPr="009A6091" w:rsidRDefault="009A6091" w:rsidP="003D5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FFB1A4" w14:textId="541C8DEB" w:rsidR="009A6091" w:rsidRPr="008F542C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F542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Reported</w:t>
            </w:r>
            <w:proofErr w:type="spellEnd"/>
            <w:r w:rsidRPr="008F542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F542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results</w:t>
            </w:r>
            <w:proofErr w:type="spellEnd"/>
            <w:r w:rsidRPr="008F542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</w:tcBorders>
            <w:shd w:val="clear" w:color="auto" w:fill="auto"/>
            <w:noWrap/>
            <w:vAlign w:val="center"/>
          </w:tcPr>
          <w:p w14:paraId="024EA225" w14:textId="7B937C8A" w:rsidR="009A6091" w:rsidRPr="008F542C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F542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Sensitivity</w:t>
            </w:r>
            <w:proofErr w:type="spellEnd"/>
            <w:r w:rsidRPr="008F542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F542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analysis</w:t>
            </w:r>
            <w:proofErr w:type="spellEnd"/>
            <w:r w:rsidRPr="008F542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1: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</w:tcBorders>
            <w:vAlign w:val="center"/>
          </w:tcPr>
          <w:p w14:paraId="3B57F758" w14:textId="5863E3A2" w:rsidR="009A6091" w:rsidRPr="008F542C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F542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Sensitivity</w:t>
            </w:r>
            <w:proofErr w:type="spellEnd"/>
            <w:r w:rsidRPr="008F542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F542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analysis</w:t>
            </w:r>
            <w:proofErr w:type="spellEnd"/>
            <w:r w:rsidRPr="008F542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2:</w:t>
            </w:r>
          </w:p>
        </w:tc>
      </w:tr>
      <w:tr w:rsidR="009A6091" w:rsidRPr="00642E90" w14:paraId="4DE36CCF" w14:textId="055F642A" w:rsidTr="009A6091">
        <w:trPr>
          <w:trHeight w:val="397"/>
        </w:trPr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FCE550" w14:textId="26A65536" w:rsidR="009A6091" w:rsidRPr="009A6091" w:rsidRDefault="009A6091" w:rsidP="00C45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0F60CFF" w14:textId="23CF18C3" w:rsidR="00381150" w:rsidRPr="00381150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8F542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Fixed effect model including all studies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A5D71CB" w14:textId="2E37DC54" w:rsidR="009A6091" w:rsidRPr="008F542C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F542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Random effect model including all studies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1FC85463" w14:textId="766F84D8" w:rsidR="009A6091" w:rsidRPr="008F542C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F54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Fixed effect model including RWS &gt; 80 pts</w:t>
            </w:r>
          </w:p>
        </w:tc>
      </w:tr>
      <w:tr w:rsidR="009A6091" w:rsidRPr="00C5573F" w14:paraId="6ACB884E" w14:textId="0168FFE6" w:rsidTr="002158D4">
        <w:trPr>
          <w:trHeight w:val="397"/>
        </w:trPr>
        <w:tc>
          <w:tcPr>
            <w:tcW w:w="226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8D228E7" w14:textId="1CB96649" w:rsidR="009A6091" w:rsidRPr="009A6091" w:rsidRDefault="009A6091" w:rsidP="00215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Overall NRM</w:t>
            </w:r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177E862" w14:textId="25F372AF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7.47 (6.91-8.08)</w:t>
            </w:r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01AAF80" w14:textId="47002313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6.57 (5.63-7.66)</w:t>
            </w:r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13773A8F" w14:textId="6E8DC8EA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7.69 (7.08-8.35)</w:t>
            </w:r>
          </w:p>
        </w:tc>
      </w:tr>
      <w:tr w:rsidR="009A6091" w:rsidRPr="00C45690" w14:paraId="66D87200" w14:textId="5B79C3C3" w:rsidTr="002158D4">
        <w:trPr>
          <w:trHeight w:val="397"/>
        </w:trPr>
        <w:tc>
          <w:tcPr>
            <w:tcW w:w="226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D390B21" w14:textId="4DB71928" w:rsidR="009A6091" w:rsidRPr="009A6091" w:rsidRDefault="009A6091" w:rsidP="00215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Entity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06CAEF5" w14:textId="57D8C1BD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480A8CC" w14:textId="5E4730D6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1C6A47AD" w14:textId="77777777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91" w:rsidRPr="00C45690" w14:paraId="413BDDA4" w14:textId="6C2F7F78" w:rsidTr="002158D4">
        <w:trPr>
          <w:trHeight w:val="397"/>
        </w:trPr>
        <w:tc>
          <w:tcPr>
            <w:tcW w:w="226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89A4650" w14:textId="2B2CA359" w:rsidR="009A6091" w:rsidRPr="009A6091" w:rsidRDefault="009A6091" w:rsidP="002158D4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LBCL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1883C82" w14:textId="63264B20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7.03 (6.41-7.7)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2863214" w14:textId="062B1ED1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5.94 (4.94-7.12)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75AC5F11" w14:textId="2F5FFAFE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7.32 (6.65-8.05)</w:t>
            </w:r>
          </w:p>
        </w:tc>
      </w:tr>
      <w:tr w:rsidR="009A6091" w:rsidRPr="00C45690" w14:paraId="0E4E103F" w14:textId="4F43E64F" w:rsidTr="002158D4">
        <w:trPr>
          <w:trHeight w:val="397"/>
        </w:trPr>
        <w:tc>
          <w:tcPr>
            <w:tcW w:w="226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0B2B525" w14:textId="4C515F66" w:rsidR="009A6091" w:rsidRPr="009A6091" w:rsidRDefault="009A6091" w:rsidP="002158D4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2DC1ABE" w14:textId="14DBC4BA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4.49 (2.5-7.92)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0FABDBE" w14:textId="158F209D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4.44 (2.18-8.85)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45BAF14B" w14:textId="586881D7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4.49 (2.5-7.92)</w:t>
            </w:r>
          </w:p>
        </w:tc>
      </w:tr>
      <w:tr w:rsidR="009A6091" w:rsidRPr="00C45690" w14:paraId="5B59AD7D" w14:textId="133792BE" w:rsidTr="002158D4">
        <w:trPr>
          <w:trHeight w:val="397"/>
        </w:trPr>
        <w:tc>
          <w:tcPr>
            <w:tcW w:w="226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3D1FBC7" w14:textId="031CBE1F" w:rsidR="009A6091" w:rsidRPr="009A6091" w:rsidRDefault="009A6091" w:rsidP="002158D4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MCL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9B4F8A8" w14:textId="0DC9D617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9.95 (7.29-13.43)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EB40611" w14:textId="102CA3CA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9.95 (7.29-13.43)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19282F15" w14:textId="6627D70A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9.96 (6.92-14.14)</w:t>
            </w:r>
          </w:p>
        </w:tc>
      </w:tr>
      <w:tr w:rsidR="009A6091" w:rsidRPr="00C5573F" w14:paraId="726E1B9F" w14:textId="1F81AFC3" w:rsidTr="002158D4">
        <w:trPr>
          <w:trHeight w:val="397"/>
        </w:trPr>
        <w:tc>
          <w:tcPr>
            <w:tcW w:w="226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A61833B" w14:textId="55591517" w:rsidR="009A6091" w:rsidRPr="009A6091" w:rsidRDefault="009A6091" w:rsidP="002158D4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MM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9F43AB6" w14:textId="3A5B5646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9.59 (8.03-11.42)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97D2E83" w14:textId="58ED5CDA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8.76 (5.32-12.01)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455CE416" w14:textId="32E8A4F8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9.97 (8.22-12.04)</w:t>
            </w:r>
          </w:p>
        </w:tc>
      </w:tr>
      <w:tr w:rsidR="009A6091" w:rsidRPr="00C5573F" w14:paraId="7C5F8503" w14:textId="41D0B086" w:rsidTr="002158D4">
        <w:trPr>
          <w:trHeight w:val="397"/>
        </w:trPr>
        <w:tc>
          <w:tcPr>
            <w:tcW w:w="226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526A045" w14:textId="5BEE0643" w:rsidR="009A6091" w:rsidRPr="009A6091" w:rsidRDefault="009A6091" w:rsidP="00215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A6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Product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5DF3422" w14:textId="7CC20589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EDFD79D" w14:textId="599134E4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7AA03F7F" w14:textId="77777777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A6091" w:rsidRPr="00C45690" w14:paraId="29C91376" w14:textId="68E1DE3A" w:rsidTr="002158D4">
        <w:trPr>
          <w:trHeight w:val="397"/>
        </w:trPr>
        <w:tc>
          <w:tcPr>
            <w:tcW w:w="226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77EC244" w14:textId="78CA062B" w:rsidR="009A6091" w:rsidRPr="009A6091" w:rsidRDefault="009A6091" w:rsidP="002158D4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091">
              <w:rPr>
                <w:rFonts w:ascii="Arial" w:hAnsi="Arial" w:cs="Arial"/>
                <w:color w:val="000000"/>
                <w:sz w:val="20"/>
                <w:szCs w:val="20"/>
              </w:rPr>
              <w:t>Axi-cel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4EFA669" w14:textId="1B3F2DD5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8.87 (7.97-9.85)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8CFDFCB" w14:textId="739769E4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7.75 (6.38-9.38)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4F2CEFBF" w14:textId="104D1CCC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9.12 (8.19-10.15)</w:t>
            </w:r>
          </w:p>
        </w:tc>
      </w:tr>
      <w:tr w:rsidR="009A6091" w:rsidRPr="00C5573F" w14:paraId="4C28729E" w14:textId="63E1081A" w:rsidTr="002158D4">
        <w:trPr>
          <w:trHeight w:val="397"/>
        </w:trPr>
        <w:tc>
          <w:tcPr>
            <w:tcW w:w="226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1FC6FDC" w14:textId="0810DDAC" w:rsidR="009A6091" w:rsidRPr="009A6091" w:rsidRDefault="009A6091" w:rsidP="002158D4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Tisa-cel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C5C042A" w14:textId="2EC179D9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4.05 (3.02-5.42)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118B6C5" w14:textId="3F6A25FF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4.05 (6.38-9.38)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4AEDC6B0" w14:textId="51D083E0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4.16 (3.08-5.6)</w:t>
            </w:r>
          </w:p>
        </w:tc>
      </w:tr>
      <w:tr w:rsidR="009A6091" w:rsidRPr="00C5573F" w14:paraId="7E5E6377" w14:textId="7859F0EC" w:rsidTr="002158D4">
        <w:trPr>
          <w:trHeight w:val="397"/>
        </w:trPr>
        <w:tc>
          <w:tcPr>
            <w:tcW w:w="226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6C1E313" w14:textId="3DDE16F6" w:rsidR="009A6091" w:rsidRPr="009A6091" w:rsidRDefault="009A6091" w:rsidP="002158D4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Liso-cel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7313B47" w14:textId="3B0CABE6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4.03 (2.52-6.38)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6BBD16F" w14:textId="27EB2486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4.24 (2.35-7.54)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64CA4E72" w14:textId="6F7D4C38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3.6 (2.1-6.1)</w:t>
            </w:r>
          </w:p>
        </w:tc>
      </w:tr>
      <w:tr w:rsidR="009A6091" w:rsidRPr="00C5573F" w14:paraId="56C4F3B9" w14:textId="1DF68698" w:rsidTr="002158D4">
        <w:trPr>
          <w:trHeight w:val="397"/>
        </w:trPr>
        <w:tc>
          <w:tcPr>
            <w:tcW w:w="226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61ACBC3" w14:textId="3CBCFA71" w:rsidR="009A6091" w:rsidRPr="009A6091" w:rsidRDefault="009A6091" w:rsidP="002158D4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Brexu-cel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D07B14F" w14:textId="64737BBF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9.95 (7.29-13.43)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B2A09C1" w14:textId="545AAF7E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9.95 (7.29-13.43)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1A13BB4D" w14:textId="2D24FF16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9.96 (6.92-14.14)</w:t>
            </w:r>
          </w:p>
        </w:tc>
      </w:tr>
      <w:tr w:rsidR="009A6091" w:rsidRPr="00C5573F" w14:paraId="70559F82" w14:textId="3CDAA3E1" w:rsidTr="002158D4">
        <w:trPr>
          <w:trHeight w:val="397"/>
        </w:trPr>
        <w:tc>
          <w:tcPr>
            <w:tcW w:w="226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CC6EC67" w14:textId="2E3C3012" w:rsidR="009A6091" w:rsidRPr="009A6091" w:rsidRDefault="009A6091" w:rsidP="002158D4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Ide-</w:t>
            </w:r>
            <w:proofErr w:type="spellStart"/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6681058" w14:textId="391C821F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7.61 (5.98-9.64)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147F381" w14:textId="0F9A7D49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6.81 (4.7-9.77)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1D0DF7DD" w14:textId="0F74CB1F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8.33 (6.44-10.72)</w:t>
            </w:r>
          </w:p>
        </w:tc>
      </w:tr>
      <w:tr w:rsidR="009A6091" w:rsidRPr="00C5573F" w14:paraId="0D1CFCA6" w14:textId="33470AEE" w:rsidTr="002158D4">
        <w:trPr>
          <w:trHeight w:val="397"/>
        </w:trPr>
        <w:tc>
          <w:tcPr>
            <w:tcW w:w="226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FD543FA" w14:textId="56EAF22C" w:rsidR="009A6091" w:rsidRPr="009A6091" w:rsidRDefault="009A6091" w:rsidP="002158D4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Cilta-cel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39D8A23" w14:textId="481E44ED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14.16 (10.9-18.2)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DC94305" w14:textId="5C5417D4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14.16 (10.9-18.2)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3254A46D" w14:textId="463C86E6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13.44 (10.05-14.14)</w:t>
            </w:r>
          </w:p>
        </w:tc>
      </w:tr>
      <w:tr w:rsidR="009A6091" w:rsidRPr="00C5573F" w14:paraId="474EFAE5" w14:textId="59D55104" w:rsidTr="002158D4">
        <w:trPr>
          <w:trHeight w:val="397"/>
        </w:trPr>
        <w:tc>
          <w:tcPr>
            <w:tcW w:w="226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C151A03" w14:textId="7138ECCC" w:rsidR="009A6091" w:rsidRPr="009A6091" w:rsidRDefault="009A6091" w:rsidP="00215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Treatment </w:t>
            </w:r>
            <w:proofErr w:type="spellStart"/>
            <w:r w:rsidRPr="009A6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setting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093B749" w14:textId="7DF5F080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DEB4F52" w14:textId="52FC52A6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26B9172E" w14:textId="77777777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A6091" w:rsidRPr="00C5573F" w14:paraId="580FCDEF" w14:textId="62FA478B" w:rsidTr="002158D4">
        <w:trPr>
          <w:trHeight w:val="397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BFBF1A4" w14:textId="78CFE2F6" w:rsidR="009A6091" w:rsidRPr="009A6091" w:rsidRDefault="009A6091" w:rsidP="002158D4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CT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B72013C" w14:textId="74531708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8.58 (7.43-9.89)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FA640C6" w14:textId="76490CB3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7.77 (5.71-10.48)</w:t>
            </w:r>
          </w:p>
        </w:tc>
        <w:tc>
          <w:tcPr>
            <w:tcW w:w="2551" w:type="dxa"/>
            <w:vAlign w:val="center"/>
          </w:tcPr>
          <w:p w14:paraId="14CD5389" w14:textId="2A329834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8.69 (7.45-10.11)</w:t>
            </w:r>
          </w:p>
        </w:tc>
      </w:tr>
      <w:tr w:rsidR="009A6091" w:rsidRPr="00C5573F" w14:paraId="43687A91" w14:textId="7110109F" w:rsidTr="002158D4">
        <w:trPr>
          <w:trHeight w:val="397"/>
        </w:trPr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15C3A24" w14:textId="410F7874" w:rsidR="009A6091" w:rsidRPr="009A6091" w:rsidRDefault="009A6091" w:rsidP="002158D4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RW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A2F5BA1" w14:textId="689B4E60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7.09 (6.46-7.78)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5DB26B4" w14:textId="38538901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6.15 (5.21-7.24)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412DB11B" w14:textId="2D2A8E2B" w:rsidR="009A6091" w:rsidRPr="009A6091" w:rsidRDefault="009A6091" w:rsidP="009A6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6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7.36 (6.67-8.1)</w:t>
            </w:r>
          </w:p>
        </w:tc>
      </w:tr>
      <w:bookmarkEnd w:id="0"/>
    </w:tbl>
    <w:p w14:paraId="7AEC5EA2" w14:textId="77777777" w:rsidR="009406D3" w:rsidRDefault="009406D3" w:rsidP="00C4569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9406D3" w:rsidSect="006D1A1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MU CompatilFac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36F0"/>
    <w:multiLevelType w:val="hybridMultilevel"/>
    <w:tmpl w:val="BFA25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C7206"/>
    <w:multiLevelType w:val="hybridMultilevel"/>
    <w:tmpl w:val="1D9C55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362F1"/>
    <w:multiLevelType w:val="hybridMultilevel"/>
    <w:tmpl w:val="9A505880"/>
    <w:lvl w:ilvl="0" w:tplc="CE3C7010">
      <w:start w:val="8"/>
      <w:numFmt w:val="bullet"/>
      <w:lvlText w:val="-"/>
      <w:lvlJc w:val="left"/>
      <w:pPr>
        <w:ind w:left="720" w:hanging="360"/>
      </w:pPr>
      <w:rPr>
        <w:rFonts w:ascii="LMU CompatilFact" w:eastAsiaTheme="minorHAnsi" w:hAnsi="LMU CompatilFact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95681"/>
    <w:multiLevelType w:val="hybridMultilevel"/>
    <w:tmpl w:val="A30A1FA8"/>
    <w:lvl w:ilvl="0" w:tplc="CE3C7010">
      <w:start w:val="8"/>
      <w:numFmt w:val="bullet"/>
      <w:lvlText w:val="-"/>
      <w:lvlJc w:val="left"/>
      <w:pPr>
        <w:ind w:left="720" w:hanging="360"/>
      </w:pPr>
      <w:rPr>
        <w:rFonts w:ascii="LMU CompatilFact" w:eastAsiaTheme="minorHAnsi" w:hAnsi="LMU CompatilFact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E2DAE"/>
    <w:multiLevelType w:val="hybridMultilevel"/>
    <w:tmpl w:val="F620CCC4"/>
    <w:lvl w:ilvl="0" w:tplc="CE3C7010">
      <w:start w:val="8"/>
      <w:numFmt w:val="bullet"/>
      <w:lvlText w:val="-"/>
      <w:lvlJc w:val="left"/>
      <w:pPr>
        <w:ind w:left="720" w:hanging="360"/>
      </w:pPr>
      <w:rPr>
        <w:rFonts w:ascii="LMU CompatilFact" w:eastAsiaTheme="minorHAnsi" w:hAnsi="LMU CompatilFact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A1768"/>
    <w:multiLevelType w:val="hybridMultilevel"/>
    <w:tmpl w:val="3A3800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89722">
    <w:abstractNumId w:val="1"/>
  </w:num>
  <w:num w:numId="2" w16cid:durableId="2121417208">
    <w:abstractNumId w:val="0"/>
  </w:num>
  <w:num w:numId="3" w16cid:durableId="1487622335">
    <w:abstractNumId w:val="5"/>
  </w:num>
  <w:num w:numId="4" w16cid:durableId="1290821720">
    <w:abstractNumId w:val="3"/>
  </w:num>
  <w:num w:numId="5" w16cid:durableId="225071908">
    <w:abstractNumId w:val="2"/>
  </w:num>
  <w:num w:numId="6" w16cid:durableId="888228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65"/>
    <w:rsid w:val="00027B64"/>
    <w:rsid w:val="00061C25"/>
    <w:rsid w:val="00123855"/>
    <w:rsid w:val="001678C0"/>
    <w:rsid w:val="001B0FF9"/>
    <w:rsid w:val="002158D4"/>
    <w:rsid w:val="00250C83"/>
    <w:rsid w:val="00381150"/>
    <w:rsid w:val="0041623D"/>
    <w:rsid w:val="005B389A"/>
    <w:rsid w:val="00637874"/>
    <w:rsid w:val="00642E90"/>
    <w:rsid w:val="0068404A"/>
    <w:rsid w:val="00692214"/>
    <w:rsid w:val="00697226"/>
    <w:rsid w:val="006D1A13"/>
    <w:rsid w:val="00724065"/>
    <w:rsid w:val="00752CE3"/>
    <w:rsid w:val="008068F8"/>
    <w:rsid w:val="008276D7"/>
    <w:rsid w:val="008A58A6"/>
    <w:rsid w:val="008F542C"/>
    <w:rsid w:val="009406D3"/>
    <w:rsid w:val="009A6091"/>
    <w:rsid w:val="009E66EA"/>
    <w:rsid w:val="00B84431"/>
    <w:rsid w:val="00BD5418"/>
    <w:rsid w:val="00BE64EB"/>
    <w:rsid w:val="00C45690"/>
    <w:rsid w:val="00C5573F"/>
    <w:rsid w:val="00C62678"/>
    <w:rsid w:val="00C72FA2"/>
    <w:rsid w:val="00CE47A9"/>
    <w:rsid w:val="00D87F81"/>
    <w:rsid w:val="00DC722F"/>
    <w:rsid w:val="00E04400"/>
    <w:rsid w:val="00E238FF"/>
    <w:rsid w:val="00E75942"/>
    <w:rsid w:val="00EF29CD"/>
    <w:rsid w:val="00F9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9882"/>
  <w15:chartTrackingRefBased/>
  <w15:docId w15:val="{5AC5178C-10DE-4520-BC4A-2B53D828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58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7240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2406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2406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0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4065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C5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45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915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Santos</dc:creator>
  <cp:keywords/>
  <dc:description/>
  <cp:lastModifiedBy>David Santos</cp:lastModifiedBy>
  <cp:revision>2</cp:revision>
  <cp:lastPrinted>2023-10-15T10:42:00Z</cp:lastPrinted>
  <dcterms:created xsi:type="dcterms:W3CDTF">2024-01-27T19:18:00Z</dcterms:created>
  <dcterms:modified xsi:type="dcterms:W3CDTF">2024-01-27T19:18:00Z</dcterms:modified>
</cp:coreProperties>
</file>