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8AA" w:rsidRPr="009F4A64" w:rsidRDefault="00BD58AA" w:rsidP="00BD58AA">
      <w:pPr>
        <w:keepNext/>
        <w:keepLines/>
        <w:spacing w:before="40" w:after="0" w:line="360" w:lineRule="auto"/>
        <w:jc w:val="both"/>
        <w:outlineLvl w:val="1"/>
        <w:rPr>
          <w:rFonts w:ascii="Times New Roman" w:hAnsi="Times New Roman"/>
          <w:lang w:val="en-GB"/>
        </w:rPr>
      </w:pPr>
      <w:r w:rsidRPr="009F4A64">
        <w:rPr>
          <w:rFonts w:ascii="Times New Roman" w:eastAsia="Times New Roman" w:hAnsi="Times New Roman" w:cs="Times New Roman"/>
          <w:color w:val="2E74B5"/>
          <w:sz w:val="26"/>
          <w:szCs w:val="26"/>
          <w:lang w:val="en-GB"/>
        </w:rPr>
        <w:t>A.1. Detailed description of cost calculation</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We assessed the total costs (</w:t>
      </w:r>
      <w:r w:rsidRPr="009F4A64">
        <w:rPr>
          <w:rFonts w:ascii="Times New Roman" w:eastAsia="Calibri" w:hAnsi="Times New Roman" w:cs="Times New Roman"/>
          <w:i/>
          <w:lang w:val="en-GB"/>
        </w:rPr>
        <w:t>TC</w:t>
      </w:r>
      <w:r w:rsidRPr="009F4A64">
        <w:rPr>
          <w:rFonts w:ascii="Times New Roman" w:eastAsia="Calibri" w:hAnsi="Times New Roman" w:cs="Times New Roman"/>
          <w:lang w:val="en-GB"/>
        </w:rPr>
        <w:t xml:space="preserve">) of performing measures on specific agricultural and forests plots in the study region by differentiating between investment, management and opportunity cost: </w:t>
      </w:r>
    </w:p>
    <w:p w:rsidR="00BD58AA" w:rsidRPr="009F4A64" w:rsidRDefault="00A275FA" w:rsidP="00BD58AA">
      <w:pPr>
        <w:spacing w:line="360" w:lineRule="auto"/>
        <w:jc w:val="right"/>
        <w:rPr>
          <w:rFonts w:ascii="Times New Roman" w:hAnsi="Times New Roman"/>
          <w:lang w:val="en-GB"/>
        </w:rPr>
      </w:pPr>
      <m:oMath>
        <m:sSubSup>
          <m:sSubSupPr>
            <m:ctrlPr>
              <w:rPr>
                <w:rFonts w:ascii="Cambria Math" w:hAnsi="Cambria Math"/>
                <w:lang w:val="en-GB"/>
              </w:rPr>
            </m:ctrlPr>
          </m:sSubSupPr>
          <m:e>
            <m:r>
              <w:rPr>
                <w:rFonts w:ascii="Cambria Math" w:hAnsi="Cambria Math"/>
                <w:lang w:val="en-GB"/>
              </w:rPr>
              <m:t>TC</m:t>
            </m:r>
          </m:e>
          <m:sub>
            <m:r>
              <w:rPr>
                <w:rFonts w:ascii="Cambria Math" w:hAnsi="Cambria Math"/>
                <w:lang w:val="en-GB"/>
              </w:rPr>
              <m:t>m</m:t>
            </m:r>
          </m:sub>
          <m:sup>
            <m:r>
              <w:rPr>
                <w:rFonts w:ascii="Cambria Math" w:hAnsi="Cambria Math"/>
                <w:lang w:val="en-GB"/>
              </w:rPr>
              <m:t>T,n</m:t>
            </m:r>
          </m:sup>
        </m:sSubSup>
        <m:r>
          <w:rPr>
            <w:rFonts w:ascii="Cambria Math" w:hAnsi="Cambria Math"/>
            <w:lang w:val="en-GB"/>
          </w:rPr>
          <m:t>=</m:t>
        </m:r>
        <m:sSubSup>
          <m:sSubSupPr>
            <m:ctrlPr>
              <w:rPr>
                <w:rFonts w:ascii="Cambria Math" w:hAnsi="Cambria Math"/>
                <w:lang w:val="en-GB"/>
              </w:rPr>
            </m:ctrlPr>
          </m:sSubSupPr>
          <m:e>
            <m:r>
              <w:rPr>
                <w:rFonts w:ascii="Cambria Math" w:hAnsi="Cambria Math"/>
                <w:lang w:val="en-GB"/>
              </w:rPr>
              <m:t>IC</m:t>
            </m:r>
          </m:e>
          <m:sub>
            <m:r>
              <w:rPr>
                <w:rFonts w:ascii="Cambria Math" w:hAnsi="Cambria Math"/>
                <w:lang w:val="en-GB"/>
              </w:rPr>
              <m:t>m</m:t>
            </m:r>
          </m:sub>
          <m:sup>
            <m:r>
              <w:rPr>
                <w:rFonts w:ascii="Cambria Math" w:hAnsi="Cambria Math"/>
                <w:lang w:val="en-GB"/>
              </w:rPr>
              <m:t>T,n</m:t>
            </m:r>
          </m:sup>
        </m:sSubSup>
        <m:r>
          <w:rPr>
            <w:rFonts w:ascii="Cambria Math" w:hAnsi="Cambria Math"/>
            <w:lang w:val="en-GB"/>
          </w:rPr>
          <m:t>+</m:t>
        </m:r>
        <m:sSubSup>
          <m:sSubSupPr>
            <m:ctrlPr>
              <w:rPr>
                <w:rFonts w:ascii="Cambria Math" w:hAnsi="Cambria Math"/>
                <w:lang w:val="en-GB"/>
              </w:rPr>
            </m:ctrlPr>
          </m:sSubSupPr>
          <m:e>
            <m:r>
              <w:rPr>
                <w:rFonts w:ascii="Cambria Math" w:hAnsi="Cambria Math"/>
                <w:lang w:val="en-GB"/>
              </w:rPr>
              <m:t>MC</m:t>
            </m:r>
          </m:e>
          <m:sub>
            <m:r>
              <w:rPr>
                <w:rFonts w:ascii="Cambria Math" w:hAnsi="Cambria Math"/>
                <w:lang w:val="en-GB"/>
              </w:rPr>
              <m:t>m</m:t>
            </m:r>
          </m:sub>
          <m:sup>
            <m:r>
              <w:rPr>
                <w:rFonts w:ascii="Cambria Math" w:hAnsi="Cambria Math"/>
                <w:lang w:val="en-GB"/>
              </w:rPr>
              <m:t>T,n</m:t>
            </m:r>
          </m:sup>
        </m:sSubSup>
        <m:r>
          <w:rPr>
            <w:rFonts w:ascii="Cambria Math" w:hAnsi="Cambria Math"/>
            <w:lang w:val="en-GB"/>
          </w:rPr>
          <m:t>+</m:t>
        </m:r>
        <m:sSubSup>
          <m:sSubSupPr>
            <m:ctrlPr>
              <w:rPr>
                <w:rFonts w:ascii="Cambria Math" w:hAnsi="Cambria Math"/>
                <w:lang w:val="en-GB"/>
              </w:rPr>
            </m:ctrlPr>
          </m:sSubSupPr>
          <m:e>
            <m:r>
              <w:rPr>
                <w:rFonts w:ascii="Cambria Math" w:hAnsi="Cambria Math"/>
                <w:lang w:val="en-GB"/>
              </w:rPr>
              <m:t>OC</m:t>
            </m:r>
          </m:e>
          <m:sub>
            <m:r>
              <w:rPr>
                <w:rFonts w:ascii="Cambria Math" w:hAnsi="Cambria Math"/>
                <w:lang w:val="en-GB"/>
              </w:rPr>
              <m:t>m</m:t>
            </m:r>
          </m:sub>
          <m:sup>
            <m:r>
              <w:rPr>
                <w:rFonts w:ascii="Cambria Math" w:hAnsi="Cambria Math"/>
                <w:lang w:val="en-GB"/>
              </w:rPr>
              <m:t>T,n</m:t>
            </m:r>
          </m:sup>
        </m:sSubSup>
      </m:oMath>
      <w:r w:rsidR="00BD58AA" w:rsidRPr="009F4A64">
        <w:rPr>
          <w:rFonts w:ascii="Times New Roman" w:eastAsia="Calibri" w:hAnsi="Times New Roman" w:cs="Times New Roman"/>
          <w:lang w:val="en-GB"/>
        </w:rPr>
        <w:tab/>
      </w:r>
      <w:r w:rsidR="00BD58AA" w:rsidRPr="009F4A64">
        <w:rPr>
          <w:rFonts w:ascii="Times New Roman" w:eastAsia="Calibri" w:hAnsi="Times New Roman" w:cs="Times New Roman"/>
          <w:lang w:val="en-GB"/>
        </w:rPr>
        <w:tab/>
      </w:r>
      <w:r w:rsidR="00BD58AA" w:rsidRPr="009F4A64">
        <w:rPr>
          <w:rFonts w:ascii="Times New Roman" w:eastAsia="Calibri" w:hAnsi="Times New Roman" w:cs="Times New Roman"/>
          <w:lang w:val="en-GB"/>
        </w:rPr>
        <w:tab/>
      </w:r>
      <w:r w:rsidR="00BD58AA" w:rsidRPr="009F4A64">
        <w:rPr>
          <w:rFonts w:ascii="Times New Roman" w:eastAsia="Calibri" w:hAnsi="Times New Roman" w:cs="Times New Roman"/>
          <w:lang w:val="en-GB"/>
        </w:rPr>
        <w:tab/>
      </w:r>
      <w:r w:rsidR="00BD58AA" w:rsidRPr="009F4A64">
        <w:rPr>
          <w:rFonts w:ascii="Times New Roman" w:eastAsia="Calibri" w:hAnsi="Times New Roman" w:cs="Times New Roman"/>
          <w:lang w:val="en-GB"/>
        </w:rPr>
        <w:tab/>
        <w:t>(1)</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whereby investment costs (</w:t>
      </w:r>
      <w:r w:rsidRPr="009F4A64">
        <w:rPr>
          <w:rFonts w:ascii="Times New Roman" w:eastAsia="Calibri" w:hAnsi="Times New Roman" w:cs="Times New Roman"/>
          <w:i/>
          <w:lang w:val="en-GB"/>
        </w:rPr>
        <w:t>IC</w:t>
      </w:r>
      <w:r w:rsidRPr="009F4A64">
        <w:rPr>
          <w:rFonts w:ascii="Times New Roman" w:eastAsia="Calibri" w:hAnsi="Times New Roman" w:cs="Times New Roman"/>
          <w:lang w:val="en-GB"/>
        </w:rPr>
        <w:t xml:space="preserve">) are defined as expenses that arise at the outset of measure </w:t>
      </w:r>
      <w:r w:rsidRPr="009F4A64">
        <w:rPr>
          <w:rFonts w:ascii="Times New Roman" w:eastAsia="Calibri" w:hAnsi="Times New Roman" w:cs="Times New Roman"/>
          <w:i/>
          <w:lang w:val="en-GB"/>
        </w:rPr>
        <w:t>m</w:t>
      </w:r>
      <w:r w:rsidRPr="009F4A64">
        <w:rPr>
          <w:rFonts w:ascii="Times New Roman" w:eastAsia="Calibri" w:hAnsi="Times New Roman" w:cs="Times New Roman"/>
          <w:lang w:val="en-GB"/>
        </w:rPr>
        <w:t>, management costs (</w:t>
      </w:r>
      <w:r w:rsidRPr="009F4A64">
        <w:rPr>
          <w:rFonts w:ascii="Times New Roman" w:eastAsia="Calibri" w:hAnsi="Times New Roman" w:cs="Times New Roman"/>
          <w:i/>
          <w:lang w:val="en-GB"/>
        </w:rPr>
        <w:t>MC</w:t>
      </w:r>
      <w:r w:rsidRPr="009F4A64">
        <w:rPr>
          <w:rFonts w:ascii="Times New Roman" w:eastAsia="Calibri" w:hAnsi="Times New Roman" w:cs="Times New Roman"/>
          <w:lang w:val="en-GB"/>
        </w:rPr>
        <w:t>) as expenses for the ongoing maintenance of implemented measures, and opportunity costs (</w:t>
      </w:r>
      <w:r w:rsidRPr="009F4A64">
        <w:rPr>
          <w:rFonts w:ascii="Times New Roman" w:eastAsia="Calibri" w:hAnsi="Times New Roman" w:cs="Times New Roman"/>
          <w:i/>
          <w:lang w:val="en-GB"/>
        </w:rPr>
        <w:t>OC</w:t>
      </w:r>
      <w:r w:rsidRPr="009F4A64">
        <w:rPr>
          <w:rFonts w:ascii="Times New Roman" w:eastAsia="Calibri" w:hAnsi="Times New Roman" w:cs="Times New Roman"/>
          <w:lang w:val="en-GB"/>
        </w:rPr>
        <w:t xml:space="preserve">) as the forgone profit of a profit-maximizing land-use on plot </w:t>
      </w:r>
      <w:r w:rsidRPr="009F4A64">
        <w:rPr>
          <w:rFonts w:ascii="Times New Roman" w:eastAsia="Calibri" w:hAnsi="Times New Roman" w:cs="Times New Roman"/>
          <w:i/>
          <w:lang w:val="en-GB"/>
        </w:rPr>
        <w:t>n</w:t>
      </w:r>
      <w:r w:rsidRPr="009F4A64">
        <w:rPr>
          <w:rFonts w:ascii="Times New Roman" w:eastAsia="Calibri" w:hAnsi="Times New Roman" w:cs="Times New Roman"/>
          <w:lang w:val="en-GB"/>
        </w:rPr>
        <w:t xml:space="preserve"> over a period </w:t>
      </w:r>
      <w:r w:rsidRPr="009F4A64">
        <w:rPr>
          <w:rFonts w:ascii="Times New Roman" w:eastAsia="Calibri" w:hAnsi="Times New Roman" w:cs="Times New Roman"/>
          <w:i/>
          <w:lang w:val="en-GB"/>
        </w:rPr>
        <w:t>T</w:t>
      </w:r>
      <w:r w:rsidRPr="009F4A64">
        <w:rPr>
          <w:rFonts w:ascii="Times New Roman" w:eastAsia="Calibri" w:hAnsi="Times New Roman" w:cs="Times New Roman"/>
          <w:lang w:val="en-GB"/>
        </w:rPr>
        <w:t xml:space="preserve">.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Costs vary spatially based on characteristics of the plots depending on factors like soil quality, climate and other landscapes elements. We generally follow the approach of identifying cost categories of climate adaptation measures compared to a business-as-usual scenario (Sturm et al., 2018), i.e., we examine what costs are incurred if an adaptation measure is implemented compared to a situation where no measure is implemented.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Our cost analysis is also time specific. As period T we specify 30 years </w:t>
      </w:r>
      <w:r w:rsidRPr="009F4A64">
        <w:rPr>
          <w:rFonts w:ascii="Times New Roman" w:eastAsia="Calibri" w:hAnsi="Times New Roman" w:cs="Times New Roman"/>
          <w:i/>
          <w:lang w:val="en-GB"/>
        </w:rPr>
        <w:t>t</w:t>
      </w:r>
      <w:r w:rsidRPr="009F4A64">
        <w:rPr>
          <w:rFonts w:ascii="Times New Roman" w:eastAsia="Calibri" w:hAnsi="Times New Roman" w:cs="Times New Roman"/>
          <w:lang w:val="en-GB"/>
        </w:rPr>
        <w:t xml:space="preserve"> with</w:t>
      </w:r>
      <w:r w:rsidRPr="009F4A64">
        <w:rPr>
          <w:rFonts w:ascii="Times New Roman" w:hAnsi="Times New Roman"/>
          <w:lang w:val="en-GB"/>
        </w:rPr>
        <w:t xml:space="preserve"> </w:t>
      </w:r>
      <w:r w:rsidRPr="009F4A64">
        <w:rPr>
          <w:rFonts w:ascii="Times New Roman" w:eastAsia="Calibri" w:hAnsi="Times New Roman" w:cs="Cambria Math"/>
          <w:i/>
          <w:lang w:val="en-GB"/>
        </w:rPr>
        <w:t>𝑡</w:t>
      </w:r>
      <w:r w:rsidRPr="009F4A64">
        <w:rPr>
          <w:rFonts w:ascii="Times New Roman" w:eastAsia="Calibri" w:hAnsi="Times New Roman" w:cs="Times New Roman"/>
          <w:i/>
          <w:lang w:val="en-GB"/>
        </w:rPr>
        <w:t xml:space="preserve"> =</w:t>
      </w:r>
      <w:proofErr w:type="gramStart"/>
      <w:r w:rsidRPr="009F4A64">
        <w:rPr>
          <w:rFonts w:ascii="Times New Roman" w:eastAsia="Calibri" w:hAnsi="Times New Roman" w:cs="Cambria Math"/>
          <w:i/>
          <w:lang w:val="en-GB"/>
        </w:rPr>
        <w:t>∈</w:t>
      </w:r>
      <w:r w:rsidRPr="009F4A64">
        <w:rPr>
          <w:rFonts w:ascii="Times New Roman" w:eastAsia="Calibri" w:hAnsi="Times New Roman" w:cs="Times New Roman"/>
          <w:i/>
          <w:lang w:val="en-GB"/>
        </w:rPr>
        <w:t xml:space="preserve"> :</w:t>
      </w:r>
      <w:proofErr w:type="gramEnd"/>
      <w:r w:rsidRPr="009F4A64">
        <w:rPr>
          <w:rFonts w:ascii="Times New Roman" w:eastAsia="Calibri" w:hAnsi="Times New Roman" w:cs="Times New Roman"/>
          <w:i/>
          <w:lang w:val="en-GB"/>
        </w:rPr>
        <w:t>{1,...,30}</w:t>
      </w:r>
      <w:r w:rsidRPr="009F4A64">
        <w:rPr>
          <w:rFonts w:ascii="Times New Roman" w:eastAsia="Calibri" w:hAnsi="Times New Roman" w:cs="Times New Roman"/>
          <w:lang w:val="en-GB"/>
        </w:rPr>
        <w:t xml:space="preserve">. To calculate the total costs of measure </w:t>
      </w:r>
      <w:r w:rsidRPr="009F4A64">
        <w:rPr>
          <w:rFonts w:ascii="Times New Roman" w:eastAsia="Calibri" w:hAnsi="Times New Roman" w:cs="Times New Roman"/>
          <w:i/>
          <w:lang w:val="en-GB"/>
        </w:rPr>
        <w:t>m</w:t>
      </w:r>
      <w:r>
        <w:rPr>
          <w:rFonts w:ascii="Times New Roman" w:eastAsia="Calibri" w:hAnsi="Times New Roman" w:cs="Times New Roman"/>
          <w:lang w:val="en-GB"/>
        </w:rPr>
        <w:t xml:space="preserve"> on plot</w:t>
      </w:r>
      <w:r w:rsidRPr="009F4A64">
        <w:rPr>
          <w:rFonts w:ascii="Times New Roman" w:eastAsia="Calibri" w:hAnsi="Times New Roman" w:cs="Times New Roman"/>
          <w:lang w:val="en-GB"/>
        </w:rPr>
        <w:t xml:space="preserve"> </w:t>
      </w:r>
      <w:r w:rsidRPr="009F4A64">
        <w:rPr>
          <w:rFonts w:ascii="Times New Roman" w:eastAsia="Calibri" w:hAnsi="Times New Roman" w:cs="Times New Roman"/>
          <w:i/>
          <w:lang w:val="en-GB"/>
        </w:rPr>
        <w:t>n</w:t>
      </w:r>
      <w:r w:rsidRPr="009F4A64">
        <w:rPr>
          <w:rFonts w:ascii="Times New Roman" w:eastAsia="Calibri" w:hAnsi="Times New Roman" w:cs="Times New Roman"/>
          <w:lang w:val="en-GB"/>
        </w:rPr>
        <w:t xml:space="preserve"> we need to discount costs that occur in future years (</w:t>
      </w:r>
      <w:r w:rsidRPr="009F4A64">
        <w:rPr>
          <w:rFonts w:ascii="Times New Roman" w:eastAsia="Calibri" w:hAnsi="Times New Roman" w:cs="Times New Roman"/>
          <w:i/>
          <w:lang w:val="en-GB"/>
        </w:rPr>
        <w:t>t&gt;1</w:t>
      </w:r>
      <w:r w:rsidRPr="009F4A64">
        <w:rPr>
          <w:rFonts w:ascii="Times New Roman" w:eastAsia="Calibri" w:hAnsi="Times New Roman" w:cs="Times New Roman"/>
          <w:lang w:val="en-GB"/>
        </w:rPr>
        <w:t xml:space="preserve">) and add all present values. Discounting needs to be done as costs weigh the less the further in the future they occur. Mathematically, this may be expressed for management costs and opportunity costs as: </w:t>
      </w:r>
    </w:p>
    <w:p w:rsidR="00BD58AA" w:rsidRPr="009F4A64" w:rsidRDefault="00BD58AA" w:rsidP="00BD58AA">
      <w:pPr>
        <w:spacing w:line="360" w:lineRule="auto"/>
        <w:jc w:val="right"/>
        <w:rPr>
          <w:rFonts w:ascii="Times New Roman" w:hAnsi="Times New Roman"/>
          <w:lang w:val="en-GB"/>
        </w:rPr>
      </w:pPr>
      <w:r w:rsidRPr="009F4A64">
        <w:rPr>
          <w:rFonts w:ascii="Times New Roman" w:eastAsia="Calibri" w:hAnsi="Times New Roman" w:cs="Times New Roman"/>
          <w:lang w:val="en-GB"/>
        </w:rPr>
        <w:t xml:space="preserve">  </w:t>
      </w:r>
      <m:oMath>
        <m:sSubSup>
          <m:sSubSupPr>
            <m:ctrlPr>
              <w:rPr>
                <w:rFonts w:ascii="Cambria Math" w:hAnsi="Cambria Math"/>
                <w:lang w:val="en-GB"/>
              </w:rPr>
            </m:ctrlPr>
          </m:sSubSupPr>
          <m:e>
            <m:r>
              <w:rPr>
                <w:rFonts w:ascii="Cambria Math" w:hAnsi="Cambria Math"/>
                <w:lang w:val="en-GB"/>
              </w:rPr>
              <m:t>MC</m:t>
            </m:r>
          </m:e>
          <m:sub>
            <m:r>
              <w:rPr>
                <w:rFonts w:ascii="Cambria Math" w:hAnsi="Cambria Math"/>
                <w:lang w:val="en-GB"/>
              </w:rPr>
              <m:t>m</m:t>
            </m:r>
          </m:sub>
          <m:sup>
            <m:r>
              <w:rPr>
                <w:rFonts w:ascii="Cambria Math" w:hAnsi="Cambria Math"/>
                <w:lang w:val="en-GB"/>
              </w:rPr>
              <m:t>T,n</m:t>
            </m:r>
          </m:sup>
        </m:sSubSup>
        <m:r>
          <w:rPr>
            <w:rFonts w:ascii="Cambria Math" w:hAnsi="Cambria Math"/>
            <w:lang w:val="en-GB"/>
          </w:rPr>
          <m:t>=</m:t>
        </m:r>
        <m:nary>
          <m:naryPr>
            <m:chr m:val="∑"/>
            <m:ctrlPr>
              <w:rPr>
                <w:rFonts w:ascii="Cambria Math" w:hAnsi="Cambria Math"/>
                <w:lang w:val="en-GB"/>
              </w:rPr>
            </m:ctrlPr>
          </m:naryPr>
          <m:sub>
            <m:r>
              <w:rPr>
                <w:rFonts w:ascii="Cambria Math" w:hAnsi="Cambria Math"/>
                <w:lang w:val="en-GB"/>
              </w:rPr>
              <m:t>t=0</m:t>
            </m:r>
          </m:sub>
          <m:sup>
            <m:r>
              <w:rPr>
                <w:rFonts w:ascii="Cambria Math" w:hAnsi="Cambria Math"/>
                <w:lang w:val="en-GB"/>
              </w:rPr>
              <m:t>30</m:t>
            </m:r>
          </m:sup>
          <m:e>
            <m:f>
              <m:fPr>
                <m:ctrlPr>
                  <w:rPr>
                    <w:rFonts w:ascii="Cambria Math" w:hAnsi="Cambria Math"/>
                    <w:lang w:val="en-GB"/>
                  </w:rPr>
                </m:ctrlPr>
              </m:fPr>
              <m:num>
                <m:sSup>
                  <m:sSupPr>
                    <m:ctrlPr>
                      <w:rPr>
                        <w:rFonts w:ascii="Cambria Math" w:hAnsi="Cambria Math"/>
                        <w:lang w:val="en-GB"/>
                      </w:rPr>
                    </m:ctrlPr>
                  </m:sSupPr>
                  <m:e>
                    <m:r>
                      <w:rPr>
                        <w:rFonts w:ascii="Cambria Math" w:hAnsi="Cambria Math"/>
                        <w:lang w:val="en-GB"/>
                      </w:rPr>
                      <m:t>mc</m:t>
                    </m:r>
                  </m:e>
                  <m:sup>
                    <m:r>
                      <w:rPr>
                        <w:rFonts w:ascii="Cambria Math" w:hAnsi="Cambria Math"/>
                        <w:lang w:val="en-GB"/>
                      </w:rPr>
                      <m:t>t</m:t>
                    </m:r>
                  </m:sup>
                </m:sSup>
              </m:num>
              <m:den>
                <m:sSup>
                  <m:sSupPr>
                    <m:ctrlPr>
                      <w:rPr>
                        <w:rFonts w:ascii="Cambria Math" w:hAnsi="Cambria Math"/>
                        <w:lang w:val="en-GB"/>
                      </w:rPr>
                    </m:ctrlPr>
                  </m:sSupPr>
                  <m:e>
                    <m:d>
                      <m:dPr>
                        <m:ctrlPr>
                          <w:rPr>
                            <w:rFonts w:ascii="Cambria Math" w:hAnsi="Cambria Math"/>
                            <w:lang w:val="en-GB"/>
                          </w:rPr>
                        </m:ctrlPr>
                      </m:dPr>
                      <m:e>
                        <m:r>
                          <w:rPr>
                            <w:rFonts w:ascii="Cambria Math" w:hAnsi="Cambria Math"/>
                            <w:lang w:val="en-GB"/>
                          </w:rPr>
                          <m:t>1-r</m:t>
                        </m:r>
                      </m:e>
                    </m:d>
                  </m:e>
                  <m:sup>
                    <m:r>
                      <w:rPr>
                        <w:rFonts w:ascii="Cambria Math" w:hAnsi="Cambria Math"/>
                        <w:lang w:val="en-GB"/>
                      </w:rPr>
                      <m:t>t</m:t>
                    </m:r>
                  </m:sup>
                </m:sSup>
              </m:den>
            </m:f>
          </m:e>
        </m:nary>
      </m:oMath>
      <w:r w:rsidRPr="009F4A64">
        <w:rPr>
          <w:rFonts w:ascii="Times New Roman" w:eastAsia="Calibri" w:hAnsi="Times New Roman" w:cs="Times New Roman"/>
          <w:lang w:val="en-GB"/>
        </w:rPr>
        <w:tab/>
      </w:r>
      <w:r w:rsidRPr="009F4A64">
        <w:rPr>
          <w:rFonts w:ascii="Times New Roman" w:eastAsia="Calibri" w:hAnsi="Times New Roman" w:cs="Times New Roman"/>
          <w:lang w:val="en-GB"/>
        </w:rPr>
        <w:tab/>
      </w:r>
      <w:r w:rsidRPr="009F4A64">
        <w:rPr>
          <w:rFonts w:ascii="Times New Roman" w:eastAsia="Calibri" w:hAnsi="Times New Roman" w:cs="Times New Roman"/>
          <w:lang w:val="en-GB"/>
        </w:rPr>
        <w:tab/>
      </w:r>
      <w:r w:rsidRPr="009F4A64">
        <w:rPr>
          <w:rFonts w:ascii="Times New Roman" w:eastAsia="Calibri" w:hAnsi="Times New Roman" w:cs="Times New Roman"/>
          <w:lang w:val="en-GB"/>
        </w:rPr>
        <w:tab/>
      </w:r>
      <w:r w:rsidRPr="009F4A64">
        <w:rPr>
          <w:rFonts w:ascii="Times New Roman" w:eastAsia="Calibri" w:hAnsi="Times New Roman" w:cs="Times New Roman"/>
          <w:lang w:val="en-GB"/>
        </w:rPr>
        <w:tab/>
      </w:r>
      <w:r w:rsidRPr="009F4A64">
        <w:rPr>
          <w:rFonts w:ascii="Times New Roman" w:eastAsia="Calibri" w:hAnsi="Times New Roman" w:cs="Times New Roman"/>
          <w:lang w:val="en-GB"/>
        </w:rPr>
        <w:tab/>
        <w:t>(2)</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and </w:t>
      </w:r>
    </w:p>
    <w:p w:rsidR="00BD58AA" w:rsidRPr="009F4A64" w:rsidRDefault="00BD58AA" w:rsidP="00BD58AA">
      <w:pPr>
        <w:spacing w:line="360" w:lineRule="auto"/>
        <w:jc w:val="right"/>
        <w:rPr>
          <w:rFonts w:ascii="Times New Roman" w:hAnsi="Times New Roman"/>
          <w:lang w:val="en-GB"/>
        </w:rPr>
      </w:pPr>
      <w:r w:rsidRPr="009F4A64">
        <w:rPr>
          <w:rFonts w:ascii="Times New Roman" w:eastAsia="Calibri" w:hAnsi="Times New Roman" w:cs="Times New Roman"/>
          <w:lang w:val="en-GB"/>
        </w:rPr>
        <w:t xml:space="preserve">  </w:t>
      </w:r>
      <m:oMath>
        <m:sSubSup>
          <m:sSubSupPr>
            <m:ctrlPr>
              <w:rPr>
                <w:rFonts w:ascii="Cambria Math" w:hAnsi="Cambria Math"/>
                <w:lang w:val="en-GB"/>
              </w:rPr>
            </m:ctrlPr>
          </m:sSubSupPr>
          <m:e>
            <m:r>
              <w:rPr>
                <w:rFonts w:ascii="Cambria Math" w:hAnsi="Cambria Math"/>
                <w:lang w:val="en-GB"/>
              </w:rPr>
              <m:t>OC</m:t>
            </m:r>
          </m:e>
          <m:sub>
            <m:r>
              <w:rPr>
                <w:rFonts w:ascii="Cambria Math" w:hAnsi="Cambria Math"/>
                <w:lang w:val="en-GB"/>
              </w:rPr>
              <m:t>m</m:t>
            </m:r>
          </m:sub>
          <m:sup>
            <m:r>
              <w:rPr>
                <w:rFonts w:ascii="Cambria Math" w:hAnsi="Cambria Math"/>
                <w:lang w:val="en-GB"/>
              </w:rPr>
              <m:t>T,n</m:t>
            </m:r>
          </m:sup>
        </m:sSubSup>
        <m:r>
          <w:rPr>
            <w:rFonts w:ascii="Cambria Math" w:hAnsi="Cambria Math"/>
            <w:lang w:val="en-GB"/>
          </w:rPr>
          <m:t>=</m:t>
        </m:r>
        <m:nary>
          <m:naryPr>
            <m:chr m:val="∑"/>
            <m:ctrlPr>
              <w:rPr>
                <w:rFonts w:ascii="Cambria Math" w:hAnsi="Cambria Math"/>
                <w:lang w:val="en-GB"/>
              </w:rPr>
            </m:ctrlPr>
          </m:naryPr>
          <m:sub>
            <m:r>
              <w:rPr>
                <w:rFonts w:ascii="Cambria Math" w:hAnsi="Cambria Math"/>
                <w:lang w:val="en-GB"/>
              </w:rPr>
              <m:t>t=0</m:t>
            </m:r>
          </m:sub>
          <m:sup>
            <m:r>
              <w:rPr>
                <w:rFonts w:ascii="Cambria Math" w:hAnsi="Cambria Math"/>
                <w:lang w:val="en-GB"/>
              </w:rPr>
              <m:t>30</m:t>
            </m:r>
          </m:sup>
          <m:e>
            <m:f>
              <m:fPr>
                <m:ctrlPr>
                  <w:rPr>
                    <w:rFonts w:ascii="Cambria Math" w:hAnsi="Cambria Math"/>
                    <w:lang w:val="en-GB"/>
                  </w:rPr>
                </m:ctrlPr>
              </m:fPr>
              <m:num>
                <m:sSup>
                  <m:sSupPr>
                    <m:ctrlPr>
                      <w:rPr>
                        <w:rFonts w:ascii="Cambria Math" w:hAnsi="Cambria Math"/>
                        <w:lang w:val="en-GB"/>
                      </w:rPr>
                    </m:ctrlPr>
                  </m:sSupPr>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pmu</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cm</m:t>
                            </m:r>
                          </m:sub>
                        </m:sSub>
                      </m:e>
                    </m:d>
                  </m:e>
                  <m:sup>
                    <m:r>
                      <w:rPr>
                        <w:rFonts w:ascii="Cambria Math" w:hAnsi="Cambria Math"/>
                        <w:lang w:val="en-GB"/>
                      </w:rPr>
                      <m:t>t</m:t>
                    </m:r>
                  </m:sup>
                </m:sSup>
              </m:num>
              <m:den>
                <m:sSup>
                  <m:sSupPr>
                    <m:ctrlPr>
                      <w:rPr>
                        <w:rFonts w:ascii="Cambria Math" w:hAnsi="Cambria Math"/>
                        <w:lang w:val="en-GB"/>
                      </w:rPr>
                    </m:ctrlPr>
                  </m:sSupPr>
                  <m:e>
                    <m:d>
                      <m:dPr>
                        <m:ctrlPr>
                          <w:rPr>
                            <w:rFonts w:ascii="Cambria Math" w:hAnsi="Cambria Math"/>
                            <w:lang w:val="en-GB"/>
                          </w:rPr>
                        </m:ctrlPr>
                      </m:dPr>
                      <m:e>
                        <m:r>
                          <w:rPr>
                            <w:rFonts w:ascii="Cambria Math" w:hAnsi="Cambria Math"/>
                            <w:lang w:val="en-GB"/>
                          </w:rPr>
                          <m:t>1-r</m:t>
                        </m:r>
                      </m:e>
                    </m:d>
                  </m:e>
                  <m:sup>
                    <m:r>
                      <w:rPr>
                        <w:rFonts w:ascii="Cambria Math" w:hAnsi="Cambria Math"/>
                        <w:lang w:val="en-GB"/>
                      </w:rPr>
                      <m:t>t</m:t>
                    </m:r>
                  </m:sup>
                </m:sSup>
              </m:den>
            </m:f>
          </m:e>
        </m:nary>
        <m:r>
          <w:rPr>
            <w:rFonts w:ascii="Cambria Math" w:hAnsi="Cambria Math"/>
            <w:lang w:val="en-GB"/>
          </w:rPr>
          <m:t>=</m:t>
        </m:r>
        <m:nary>
          <m:naryPr>
            <m:chr m:val="∑"/>
            <m:ctrlPr>
              <w:rPr>
                <w:rFonts w:ascii="Cambria Math" w:hAnsi="Cambria Math"/>
                <w:lang w:val="en-GB"/>
              </w:rPr>
            </m:ctrlPr>
          </m:naryPr>
          <m:sub>
            <m:r>
              <w:rPr>
                <w:rFonts w:ascii="Cambria Math" w:hAnsi="Cambria Math"/>
                <w:lang w:val="en-GB"/>
              </w:rPr>
              <m:t>t=0</m:t>
            </m:r>
          </m:sub>
          <m:sup>
            <m:r>
              <w:rPr>
                <w:rFonts w:ascii="Cambria Math" w:hAnsi="Cambria Math"/>
                <w:lang w:val="en-GB"/>
              </w:rPr>
              <m:t>30</m:t>
            </m:r>
          </m:sup>
          <m:e>
            <m:f>
              <m:fPr>
                <m:ctrlPr>
                  <w:rPr>
                    <w:rFonts w:ascii="Cambria Math" w:hAnsi="Cambria Math"/>
                    <w:lang w:val="en-GB"/>
                  </w:rPr>
                </m:ctrlPr>
              </m:fPr>
              <m:num>
                <m:sSup>
                  <m:sSupPr>
                    <m:ctrlPr>
                      <w:rPr>
                        <w:rFonts w:ascii="Cambria Math" w:hAnsi="Cambria Math"/>
                        <w:lang w:val="en-GB"/>
                      </w:rPr>
                    </m:ctrlPr>
                  </m:sSupPr>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r</m:t>
                            </m:r>
                          </m:e>
                          <m:sub>
                            <m:r>
                              <w:rPr>
                                <w:rFonts w:ascii="Cambria Math" w:hAnsi="Cambria Math"/>
                                <w:lang w:val="en-GB"/>
                              </w:rPr>
                              <m:t>pmu</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r</m:t>
                            </m:r>
                          </m:e>
                          <m:sub>
                            <m:r>
                              <w:rPr>
                                <w:rFonts w:ascii="Cambria Math" w:hAnsi="Cambria Math"/>
                                <w:lang w:val="en-GB"/>
                              </w:rPr>
                              <m:t>pcm</m:t>
                            </m:r>
                          </m:sub>
                        </m:sSub>
                      </m:e>
                    </m:d>
                  </m:e>
                  <m:sup>
                    <m:r>
                      <w:rPr>
                        <w:rFonts w:ascii="Cambria Math" w:hAnsi="Cambria Math"/>
                        <w:lang w:val="en-GB"/>
                      </w:rPr>
                      <m:t>t</m:t>
                    </m:r>
                  </m:sup>
                </m:sSup>
              </m:num>
              <m:den>
                <m:sSup>
                  <m:sSupPr>
                    <m:ctrlPr>
                      <w:rPr>
                        <w:rFonts w:ascii="Cambria Math" w:hAnsi="Cambria Math"/>
                        <w:lang w:val="en-GB"/>
                      </w:rPr>
                    </m:ctrlPr>
                  </m:sSupPr>
                  <m:e>
                    <m:d>
                      <m:dPr>
                        <m:ctrlPr>
                          <w:rPr>
                            <w:rFonts w:ascii="Cambria Math" w:hAnsi="Cambria Math"/>
                            <w:lang w:val="en-GB"/>
                          </w:rPr>
                        </m:ctrlPr>
                      </m:dPr>
                      <m:e>
                        <m:r>
                          <w:rPr>
                            <w:rFonts w:ascii="Cambria Math" w:hAnsi="Cambria Math"/>
                            <w:lang w:val="en-GB"/>
                          </w:rPr>
                          <m:t>1-r</m:t>
                        </m:r>
                      </m:e>
                    </m:d>
                  </m:e>
                  <m:sup>
                    <m:r>
                      <w:rPr>
                        <w:rFonts w:ascii="Cambria Math" w:hAnsi="Cambria Math"/>
                        <w:lang w:val="en-GB"/>
                      </w:rPr>
                      <m:t>t</m:t>
                    </m:r>
                  </m:sup>
                </m:sSup>
              </m:den>
            </m:f>
          </m:e>
        </m:nary>
        <m:r>
          <w:rPr>
            <w:rFonts w:ascii="Cambria Math" w:hAnsi="Cambria Math"/>
            <w:lang w:val="en-GB"/>
          </w:rPr>
          <m:t>-</m:t>
        </m:r>
        <m:nary>
          <m:naryPr>
            <m:chr m:val="∑"/>
            <m:ctrlPr>
              <w:rPr>
                <w:rFonts w:ascii="Cambria Math" w:hAnsi="Cambria Math"/>
                <w:lang w:val="en-GB"/>
              </w:rPr>
            </m:ctrlPr>
          </m:naryPr>
          <m:sub>
            <m:r>
              <w:rPr>
                <w:rFonts w:ascii="Cambria Math" w:hAnsi="Cambria Math"/>
                <w:lang w:val="en-GB"/>
              </w:rPr>
              <m:t>t=0</m:t>
            </m:r>
          </m:sub>
          <m:sup>
            <m:r>
              <w:rPr>
                <w:rFonts w:ascii="Cambria Math" w:hAnsi="Cambria Math"/>
                <w:lang w:val="en-GB"/>
              </w:rPr>
              <m:t>30</m:t>
            </m:r>
          </m:sup>
          <m:e>
            <m:f>
              <m:fPr>
                <m:ctrlPr>
                  <w:rPr>
                    <w:rFonts w:ascii="Cambria Math" w:hAnsi="Cambria Math"/>
                    <w:lang w:val="en-GB"/>
                  </w:rPr>
                </m:ctrlPr>
              </m:fPr>
              <m:num>
                <m:sSup>
                  <m:sSupPr>
                    <m:ctrlPr>
                      <w:rPr>
                        <w:rFonts w:ascii="Cambria Math" w:hAnsi="Cambria Math"/>
                        <w:lang w:val="en-GB"/>
                      </w:rPr>
                    </m:ctrlPr>
                  </m:sSupPr>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pmu</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cm</m:t>
                            </m:r>
                          </m:sub>
                        </m:sSub>
                      </m:e>
                    </m:d>
                  </m:e>
                  <m:sup>
                    <m:r>
                      <w:rPr>
                        <w:rFonts w:ascii="Cambria Math" w:hAnsi="Cambria Math"/>
                        <w:lang w:val="en-GB"/>
                      </w:rPr>
                      <m:t>t</m:t>
                    </m:r>
                  </m:sup>
                </m:sSup>
              </m:num>
              <m:den>
                <m:sSup>
                  <m:sSupPr>
                    <m:ctrlPr>
                      <w:rPr>
                        <w:rFonts w:ascii="Cambria Math" w:hAnsi="Cambria Math"/>
                        <w:lang w:val="en-GB"/>
                      </w:rPr>
                    </m:ctrlPr>
                  </m:sSupPr>
                  <m:e>
                    <m:d>
                      <m:dPr>
                        <m:ctrlPr>
                          <w:rPr>
                            <w:rFonts w:ascii="Cambria Math" w:hAnsi="Cambria Math"/>
                            <w:lang w:val="en-GB"/>
                          </w:rPr>
                        </m:ctrlPr>
                      </m:dPr>
                      <m:e>
                        <m:r>
                          <w:rPr>
                            <w:rFonts w:ascii="Cambria Math" w:hAnsi="Cambria Math"/>
                            <w:lang w:val="en-GB"/>
                          </w:rPr>
                          <m:t>1-r</m:t>
                        </m:r>
                      </m:e>
                    </m:d>
                  </m:e>
                  <m:sup>
                    <m:r>
                      <w:rPr>
                        <w:rFonts w:ascii="Cambria Math" w:hAnsi="Cambria Math"/>
                        <w:lang w:val="en-GB"/>
                      </w:rPr>
                      <m:t>t</m:t>
                    </m:r>
                  </m:sup>
                </m:sSup>
              </m:den>
            </m:f>
          </m:e>
        </m:nary>
      </m:oMath>
      <w:r w:rsidRPr="009F4A64">
        <w:rPr>
          <w:rFonts w:ascii="Times New Roman" w:eastAsia="Calibri" w:hAnsi="Times New Roman" w:cs="Times New Roman"/>
          <w:lang w:val="en-GB"/>
        </w:rPr>
        <w:t xml:space="preserve"> + rv</w:t>
      </w:r>
      <w:r w:rsidRPr="009F4A64">
        <w:rPr>
          <w:rFonts w:ascii="Times New Roman" w:eastAsia="Calibri" w:hAnsi="Times New Roman" w:cs="Times New Roman"/>
          <w:lang w:val="en-GB"/>
        </w:rPr>
        <w:tab/>
      </w:r>
      <w:r w:rsidRPr="009F4A64">
        <w:rPr>
          <w:rFonts w:ascii="Times New Roman" w:eastAsia="Calibri" w:hAnsi="Times New Roman" w:cs="Times New Roman"/>
          <w:lang w:val="en-GB"/>
        </w:rPr>
        <w:tab/>
        <w:t>(3)</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whereby r represents the discount rate and </w:t>
      </w:r>
      <m:oMath>
        <m:sSup>
          <m:sSupPr>
            <m:ctrlPr>
              <w:rPr>
                <w:rFonts w:ascii="Cambria Math" w:hAnsi="Cambria Math"/>
                <w:lang w:val="en-GB"/>
              </w:rPr>
            </m:ctrlPr>
          </m:sSupPr>
          <m:e>
            <m:r>
              <w:rPr>
                <w:rFonts w:ascii="Cambria Math" w:hAnsi="Cambria Math"/>
                <w:lang w:val="en-GB"/>
              </w:rPr>
              <m:t>mc</m:t>
            </m:r>
          </m:e>
          <m:sup>
            <m:r>
              <w:rPr>
                <w:rFonts w:ascii="Cambria Math" w:hAnsi="Cambria Math"/>
                <w:lang w:val="en-GB"/>
              </w:rPr>
              <m:t>t</m:t>
            </m:r>
          </m:sup>
        </m:sSup>
      </m:oMath>
      <w:r w:rsidRPr="009F4A64">
        <w:rPr>
          <w:rFonts w:ascii="Times New Roman" w:eastAsia="Calibri" w:hAnsi="Times New Roman" w:cs="Times New Roman"/>
          <w:lang w:val="en-GB"/>
        </w:rPr>
        <w:t xml:space="preserve"> the management costs that occur in year </w:t>
      </w:r>
      <w:r w:rsidRPr="009F4A64">
        <w:rPr>
          <w:rFonts w:ascii="Times New Roman" w:eastAsia="Calibri" w:hAnsi="Times New Roman" w:cs="Times New Roman"/>
          <w:i/>
          <w:lang w:val="en-GB"/>
        </w:rPr>
        <w:t>t</w:t>
      </w:r>
      <w:r w:rsidRPr="009F4A64">
        <w:rPr>
          <w:rFonts w:ascii="Times New Roman" w:eastAsia="Calibri" w:hAnsi="Times New Roman" w:cs="Times New Roman"/>
          <w:lang w:val="en-GB"/>
        </w:rPr>
        <w:t xml:space="preserve">. As investment costs occur in the beginning of the implementation of a measure in </w:t>
      </w:r>
      <w:r w:rsidRPr="009F4A64">
        <w:rPr>
          <w:rFonts w:ascii="Times New Roman" w:eastAsia="Calibri" w:hAnsi="Times New Roman" w:cs="Times New Roman"/>
          <w:i/>
          <w:lang w:val="en-GB"/>
        </w:rPr>
        <w:t>t=1</w:t>
      </w:r>
      <w:r w:rsidRPr="009F4A64">
        <w:rPr>
          <w:rFonts w:ascii="Times New Roman" w:eastAsia="Calibri" w:hAnsi="Times New Roman" w:cs="Times New Roman"/>
          <w:lang w:val="en-GB"/>
        </w:rPr>
        <w:t xml:space="preserve"> they do not need to be discounted. Opportunity costs are the sum of the difference in profits of profit-maximizing land-use (</w:t>
      </w:r>
      <m:oMath>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pmu</m:t>
            </m:r>
          </m:sub>
        </m:sSub>
      </m:oMath>
      <w:r w:rsidRPr="009F4A64">
        <w:rPr>
          <w:rFonts w:ascii="Times New Roman" w:eastAsia="Calibri" w:hAnsi="Times New Roman" w:cs="Times New Roman"/>
          <w:lang w:val="en-GB"/>
        </w:rPr>
        <w:t xml:space="preserve">) and profit of </w:t>
      </w:r>
      <w:r>
        <w:rPr>
          <w:rFonts w:ascii="Times New Roman" w:eastAsia="Calibri" w:hAnsi="Times New Roman" w:cs="Times New Roman"/>
          <w:lang w:val="en-GB"/>
        </w:rPr>
        <w:t xml:space="preserve">adaption </w:t>
      </w:r>
      <w:r w:rsidRPr="009F4A64">
        <w:rPr>
          <w:rFonts w:ascii="Times New Roman" w:eastAsia="Calibri" w:hAnsi="Times New Roman" w:cs="Times New Roman"/>
          <w:lang w:val="en-GB"/>
        </w:rPr>
        <w:t xml:space="preserve">measures </w:t>
      </w:r>
      <w:r>
        <w:rPr>
          <w:rFonts w:ascii="Times New Roman" w:eastAsia="Calibri" w:hAnsi="Times New Roman" w:cs="Times New Roman"/>
          <w:lang w:val="en-GB"/>
        </w:rPr>
        <w:t xml:space="preserve">to mitigate LST increase </w:t>
      </w:r>
      <w:r w:rsidRPr="009F4A64">
        <w:rPr>
          <w:rFonts w:ascii="Times New Roman" w:eastAsia="Calibri" w:hAnsi="Times New Roman" w:cs="Times New Roman"/>
          <w:lang w:val="en-GB"/>
        </w:rPr>
        <w:t>(</w:t>
      </w:r>
      <m:oMath>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cm</m:t>
            </m:r>
          </m:sub>
        </m:sSub>
      </m:oMath>
      <w:r w:rsidR="00124C50">
        <w:rPr>
          <w:rFonts w:ascii="Times New Roman" w:eastAsia="Calibri" w:hAnsi="Times New Roman" w:cs="Times New Roman"/>
          <w:lang w:val="en-GB"/>
        </w:rPr>
        <w:t>) on plot</w:t>
      </w:r>
      <w:r w:rsidRPr="009F4A64">
        <w:rPr>
          <w:rFonts w:ascii="Times New Roman" w:eastAsia="Calibri" w:hAnsi="Times New Roman" w:cs="Times New Roman"/>
          <w:lang w:val="en-GB"/>
        </w:rPr>
        <w:t xml:space="preserve"> </w:t>
      </w:r>
      <w:r w:rsidRPr="009F4A64">
        <w:rPr>
          <w:rFonts w:ascii="Times New Roman" w:eastAsia="Calibri" w:hAnsi="Times New Roman" w:cs="Times New Roman"/>
          <w:i/>
          <w:lang w:val="en-GB"/>
        </w:rPr>
        <w:t>n</w:t>
      </w:r>
      <w:r w:rsidRPr="009F4A64">
        <w:rPr>
          <w:rFonts w:ascii="Times New Roman" w:eastAsia="Calibri" w:hAnsi="Times New Roman" w:cs="Times New Roman"/>
          <w:lang w:val="en-GB"/>
        </w:rPr>
        <w:t xml:space="preserve"> in the period </w:t>
      </w:r>
      <w:r w:rsidRPr="009F4A64">
        <w:rPr>
          <w:rFonts w:ascii="Times New Roman" w:eastAsia="Calibri" w:hAnsi="Times New Roman" w:cs="Times New Roman"/>
          <w:i/>
          <w:lang w:val="en-GB"/>
        </w:rPr>
        <w:t>T</w:t>
      </w:r>
      <w:r w:rsidRPr="009F4A64">
        <w:rPr>
          <w:rFonts w:ascii="Times New Roman" w:eastAsia="Calibri" w:hAnsi="Times New Roman" w:cs="Times New Roman"/>
          <w:lang w:val="en-GB"/>
        </w:rPr>
        <w:t>. The profit of a land-use is defined as the difference of the revenues of profit maximizing land-use (</w:t>
      </w:r>
      <m:oMath>
        <m:sSub>
          <m:sSubPr>
            <m:ctrlPr>
              <w:rPr>
                <w:rFonts w:ascii="Cambria Math" w:hAnsi="Cambria Math"/>
                <w:lang w:val="en-GB"/>
              </w:rPr>
            </m:ctrlPr>
          </m:sSubPr>
          <m:e>
            <m:r>
              <w:rPr>
                <w:rFonts w:ascii="Cambria Math" w:hAnsi="Cambria Math"/>
                <w:lang w:val="en-GB"/>
              </w:rPr>
              <m:t>r</m:t>
            </m:r>
          </m:e>
          <m:sub>
            <m:r>
              <w:rPr>
                <w:rFonts w:ascii="Cambria Math" w:hAnsi="Cambria Math"/>
                <w:lang w:val="en-GB"/>
              </w:rPr>
              <m:t>pmu</m:t>
            </m:r>
          </m:sub>
        </m:sSub>
      </m:oMath>
      <w:r w:rsidRPr="009F4A64">
        <w:rPr>
          <w:rFonts w:ascii="Times New Roman" w:eastAsia="Calibri" w:hAnsi="Times New Roman" w:cs="Times New Roman"/>
          <w:lang w:val="en-GB"/>
        </w:rPr>
        <w:t xml:space="preserve">) and </w:t>
      </w:r>
      <w:r>
        <w:rPr>
          <w:rFonts w:ascii="Times New Roman" w:eastAsia="Calibri" w:hAnsi="Times New Roman" w:cs="Times New Roman"/>
          <w:lang w:val="en-GB"/>
        </w:rPr>
        <w:t>managing the land with adaption measures</w:t>
      </w:r>
      <w:r w:rsidRPr="009F4A64">
        <w:rPr>
          <w:rFonts w:ascii="Times New Roman" w:eastAsia="Calibri" w:hAnsi="Times New Roman" w:cs="Times New Roman"/>
          <w:lang w:val="en-GB"/>
        </w:rPr>
        <w:t xml:space="preserve"> (</w:t>
      </w:r>
      <m:oMath>
        <m:sSub>
          <m:sSubPr>
            <m:ctrlPr>
              <w:rPr>
                <w:rFonts w:ascii="Cambria Math" w:hAnsi="Cambria Math"/>
                <w:lang w:val="en-GB"/>
              </w:rPr>
            </m:ctrlPr>
          </m:sSubPr>
          <m:e>
            <m:r>
              <w:rPr>
                <w:rFonts w:ascii="Cambria Math" w:hAnsi="Cambria Math"/>
                <w:lang w:val="en-GB"/>
              </w:rPr>
              <m:t>r</m:t>
            </m:r>
          </m:e>
          <m:sub>
            <m:r>
              <w:rPr>
                <w:rFonts w:ascii="Cambria Math" w:hAnsi="Cambria Math"/>
                <w:lang w:val="en-GB"/>
              </w:rPr>
              <m:t>cm</m:t>
            </m:r>
          </m:sub>
        </m:sSub>
      </m:oMath>
      <w:r w:rsidRPr="009F4A64">
        <w:rPr>
          <w:rFonts w:ascii="Times New Roman" w:eastAsia="Calibri" w:hAnsi="Times New Roman" w:cs="Times New Roman"/>
          <w:lang w:val="en-GB"/>
        </w:rPr>
        <w:t>) and the costs of cultivating the land in a profit maximizing way (</w:t>
      </w:r>
      <m:oMath>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pmu</m:t>
            </m:r>
          </m:sub>
        </m:sSub>
      </m:oMath>
      <w:r w:rsidRPr="009F4A64">
        <w:rPr>
          <w:rFonts w:ascii="Times New Roman" w:eastAsia="Calibri" w:hAnsi="Times New Roman" w:cs="Times New Roman"/>
          <w:lang w:val="en-GB"/>
        </w:rPr>
        <w:t xml:space="preserve">) or with </w:t>
      </w:r>
      <w:r>
        <w:rPr>
          <w:rFonts w:ascii="Times New Roman" w:eastAsia="Calibri" w:hAnsi="Times New Roman" w:cs="Times New Roman"/>
          <w:lang w:val="en-GB"/>
        </w:rPr>
        <w:t>adaptation</w:t>
      </w:r>
      <w:r w:rsidRPr="009F4A64">
        <w:rPr>
          <w:rFonts w:ascii="Times New Roman" w:eastAsia="Calibri" w:hAnsi="Times New Roman" w:cs="Times New Roman"/>
          <w:lang w:val="en-GB"/>
        </w:rPr>
        <w:t xml:space="preserve"> measures </w:t>
      </w:r>
      <m:oMath>
        <m:sSub>
          <m:sSubPr>
            <m:ctrlPr>
              <w:rPr>
                <w:rFonts w:ascii="Cambria Math" w:hAnsi="Cambria Math"/>
                <w:lang w:val="en-GB"/>
              </w:rPr>
            </m:ctrlPr>
          </m:sSubPr>
          <m:e>
            <m:r>
              <w:rPr>
                <w:rFonts w:ascii="Cambria Math" w:hAnsi="Cambria Math"/>
                <w:lang w:val="en-GB"/>
              </w:rPr>
              <m:t>c</m:t>
            </m:r>
          </m:e>
          <m:sub>
            <m:r>
              <w:rPr>
                <w:rFonts w:ascii="Cambria Math" w:hAnsi="Cambria Math"/>
                <w:lang w:val="en-GB"/>
              </w:rPr>
              <m:t>cm</m:t>
            </m:r>
          </m:sub>
        </m:sSub>
      </m:oMath>
      <w:r w:rsidRPr="009F4A64">
        <w:rPr>
          <w:rFonts w:ascii="Times New Roman" w:eastAsia="Calibri" w:hAnsi="Times New Roman" w:cs="Times New Roman"/>
          <w:lang w:val="en-GB"/>
        </w:rPr>
        <w:t xml:space="preserve">. The revenue consists of the yield </w:t>
      </w:r>
      <w:r>
        <w:rPr>
          <w:rFonts w:ascii="Times New Roman" w:eastAsia="Calibri" w:hAnsi="Times New Roman" w:cs="Times New Roman"/>
          <w:lang w:val="en-GB"/>
        </w:rPr>
        <w:t>harvested on agricultural</w:t>
      </w:r>
      <w:r w:rsidRPr="009F4A64">
        <w:rPr>
          <w:rFonts w:ascii="Times New Roman" w:eastAsia="Calibri" w:hAnsi="Times New Roman" w:cs="Times New Roman"/>
          <w:lang w:val="en-GB"/>
        </w:rPr>
        <w:t xml:space="preserve"> and forest plots multiplied with the long term average market prices for agricultural and forest products. Cultivation costs typically arise in form of labour costs, fuel consumption, depreciation and interest payments for machinery, operating supplies, and fertilizers and pest control. In some cases, the decision to implement measures impact profits longer than our 30-year observation period. For example, while changes in crop rotations on cropland can be easily changed after 30 years the conversion of cropland </w:t>
      </w:r>
      <w:r w:rsidRPr="009F4A64">
        <w:rPr>
          <w:rFonts w:ascii="Times New Roman" w:eastAsia="Calibri" w:hAnsi="Times New Roman" w:cs="Times New Roman"/>
          <w:lang w:val="en-GB"/>
        </w:rPr>
        <w:lastRenderedPageBreak/>
        <w:t>into grassland cannot be reversed after 30 years due to German legislation. Since the cultivation of grass land is less profitable than cropland one also has to account this forgone profit after 30 years as opportunity costs of the land-use change. We therefore calculate a so called ‘residual value’ (</w:t>
      </w:r>
      <w:proofErr w:type="spellStart"/>
      <w:r w:rsidRPr="009F4A64">
        <w:rPr>
          <w:rFonts w:ascii="Times New Roman" w:eastAsia="Calibri" w:hAnsi="Times New Roman" w:cs="Times New Roman"/>
          <w:lang w:val="en-GB"/>
        </w:rPr>
        <w:t>rv</w:t>
      </w:r>
      <w:proofErr w:type="spellEnd"/>
      <w:r w:rsidRPr="009F4A64">
        <w:rPr>
          <w:rFonts w:ascii="Times New Roman" w:eastAsia="Calibri" w:hAnsi="Times New Roman" w:cs="Times New Roman"/>
          <w:lang w:val="en-GB"/>
        </w:rPr>
        <w:t xml:space="preserve"> in equation (3)) for measures that cannot be completely reversed after 30 years and add it to the overall opportunity costs of a temperature mitigation measure. For </w:t>
      </w:r>
      <w:r>
        <w:rPr>
          <w:rFonts w:ascii="Times New Roman" w:eastAsia="Calibri" w:hAnsi="Times New Roman" w:cs="Times New Roman"/>
          <w:lang w:val="en-GB"/>
        </w:rPr>
        <w:t>‘</w:t>
      </w:r>
      <w:r w:rsidRPr="009F4A64">
        <w:rPr>
          <w:rFonts w:ascii="Times New Roman" w:eastAsia="Calibri" w:hAnsi="Times New Roman" w:cs="Times New Roman"/>
          <w:lang w:val="en-GB"/>
        </w:rPr>
        <w:t>conversion of cropland into grassland</w:t>
      </w:r>
      <w:r>
        <w:rPr>
          <w:rFonts w:ascii="Times New Roman" w:eastAsia="Calibri" w:hAnsi="Times New Roman" w:cs="Times New Roman"/>
          <w:lang w:val="en-GB"/>
        </w:rPr>
        <w:t>’</w:t>
      </w:r>
      <w:r w:rsidRPr="009F4A64">
        <w:rPr>
          <w:rFonts w:ascii="Times New Roman" w:eastAsia="Calibri" w:hAnsi="Times New Roman" w:cs="Times New Roman"/>
          <w:lang w:val="en-GB"/>
        </w:rPr>
        <w:t xml:space="preserve"> we consider, for example, the discounted difference of the land value of arable and grass land.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For cropland of average or above average productivity quality (soil quality index &gt; 25), we identify the following </w:t>
      </w:r>
      <w:proofErr w:type="gramStart"/>
      <w:r w:rsidRPr="009F4A64">
        <w:rPr>
          <w:rFonts w:ascii="Times New Roman" w:eastAsia="Calibri" w:hAnsi="Times New Roman" w:cs="Times New Roman"/>
          <w:lang w:val="en-GB"/>
        </w:rPr>
        <w:t>five year</w:t>
      </w:r>
      <w:proofErr w:type="gramEnd"/>
      <w:r w:rsidRPr="009F4A64">
        <w:rPr>
          <w:rFonts w:ascii="Times New Roman" w:eastAsia="Calibri" w:hAnsi="Times New Roman" w:cs="Times New Roman"/>
          <w:lang w:val="en-GB"/>
        </w:rPr>
        <w:t xml:space="preserve"> crop rotations as profit maximizing in the Elbe-</w:t>
      </w:r>
      <w:proofErr w:type="spellStart"/>
      <w:r w:rsidRPr="009F4A64">
        <w:rPr>
          <w:rFonts w:ascii="Times New Roman" w:eastAsia="Calibri" w:hAnsi="Times New Roman" w:cs="Times New Roman"/>
          <w:lang w:val="en-GB"/>
        </w:rPr>
        <w:t>Elster</w:t>
      </w:r>
      <w:proofErr w:type="spellEnd"/>
      <w:r w:rsidRPr="009F4A64">
        <w:rPr>
          <w:rFonts w:ascii="Times New Roman" w:eastAsia="Calibri" w:hAnsi="Times New Roman" w:cs="Times New Roman"/>
          <w:lang w:val="en-GB"/>
        </w:rPr>
        <w:t xml:space="preserve">-County: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Winter barley – Winter rape – Winter wheat – Winter intercrop – Silage corn – Winter intercrop – Field pea</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For cropland with low productivity quality (soil quality index &lt; 25) the crop rotation is: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Winter rye – Winter intercrop – Silage corn – Spelt – Winter intercrop – Silage corn – Winter intercrop – Blue </w:t>
      </w:r>
      <w:proofErr w:type="spellStart"/>
      <w:r w:rsidRPr="009F4A64">
        <w:rPr>
          <w:rFonts w:ascii="Times New Roman" w:eastAsia="Calibri" w:hAnsi="Times New Roman" w:cs="Times New Roman"/>
          <w:lang w:val="en-GB"/>
        </w:rPr>
        <w:t>lupin</w:t>
      </w:r>
      <w:proofErr w:type="spellEnd"/>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That means </w:t>
      </w:r>
      <w:r>
        <w:rPr>
          <w:rFonts w:ascii="Times New Roman" w:eastAsia="Calibri" w:hAnsi="Times New Roman" w:cs="Times New Roman"/>
          <w:lang w:val="en-GB"/>
        </w:rPr>
        <w:t>for example for the measure of ‘</w:t>
      </w:r>
      <w:r>
        <w:rPr>
          <w:rFonts w:ascii="Times New Roman" w:hAnsi="Times New Roman"/>
          <w:lang w:val="en-GB"/>
        </w:rPr>
        <w:t>a</w:t>
      </w:r>
      <w:r w:rsidRPr="009F4A64">
        <w:rPr>
          <w:rFonts w:ascii="Times New Roman" w:hAnsi="Times New Roman"/>
          <w:lang w:val="en-GB"/>
        </w:rPr>
        <w:t>groforestry systems (alley cropping)</w:t>
      </w:r>
      <w:r>
        <w:rPr>
          <w:rFonts w:ascii="Times New Roman" w:eastAsia="Calibri" w:hAnsi="Times New Roman" w:cs="Times New Roman"/>
          <w:lang w:val="en-GB"/>
        </w:rPr>
        <w:t>’</w:t>
      </w:r>
      <w:r w:rsidRPr="009F4A64">
        <w:rPr>
          <w:rFonts w:ascii="Times New Roman" w:eastAsia="Calibri" w:hAnsi="Times New Roman" w:cs="Times New Roman"/>
          <w:lang w:val="en-GB"/>
        </w:rPr>
        <w:t xml:space="preserve"> that opportunity costs arise in the form of forgone profits from planting forestry strips</w:t>
      </w:r>
      <w:r w:rsidR="00124C50">
        <w:rPr>
          <w:rFonts w:ascii="Times New Roman" w:eastAsia="Calibri" w:hAnsi="Times New Roman" w:cs="Times New Roman"/>
          <w:lang w:val="en-GB"/>
        </w:rPr>
        <w:t xml:space="preserve"> on parts of agricultural plots</w:t>
      </w:r>
      <w:r w:rsidRPr="009F4A64">
        <w:rPr>
          <w:rFonts w:ascii="Times New Roman" w:eastAsia="Calibri" w:hAnsi="Times New Roman" w:cs="Times New Roman"/>
          <w:lang w:val="en-GB"/>
        </w:rPr>
        <w:t xml:space="preserve"> that could have been used for profit maximizing crop rotations. Investment costs and management costs, on the other hand, consist of the costs for planting trees at the beginning of implementing the measure and costs for tree care during the lifetime of tree alleys. For a </w:t>
      </w:r>
      <w:r>
        <w:rPr>
          <w:rFonts w:ascii="Times New Roman" w:eastAsia="Calibri" w:hAnsi="Times New Roman" w:cs="Times New Roman"/>
          <w:lang w:val="en-GB"/>
        </w:rPr>
        <w:t xml:space="preserve">more </w:t>
      </w:r>
      <w:r w:rsidRPr="009F4A64">
        <w:rPr>
          <w:rFonts w:ascii="Times New Roman" w:eastAsia="Calibri" w:hAnsi="Times New Roman" w:cs="Times New Roman"/>
          <w:lang w:val="en-GB"/>
        </w:rPr>
        <w:t xml:space="preserve">detailed description of the calculation of investment, management and opportunity costs for all </w:t>
      </w:r>
      <w:r>
        <w:rPr>
          <w:rFonts w:ascii="Times New Roman" w:eastAsia="Calibri" w:hAnsi="Times New Roman" w:cs="Times New Roman"/>
          <w:lang w:val="en-GB"/>
        </w:rPr>
        <w:t xml:space="preserve">adaptation </w:t>
      </w:r>
      <w:r w:rsidRPr="009F4A64">
        <w:rPr>
          <w:rFonts w:ascii="Times New Roman" w:eastAsia="Calibri" w:hAnsi="Times New Roman" w:cs="Times New Roman"/>
          <w:lang w:val="en-GB"/>
        </w:rPr>
        <w:t xml:space="preserve">measures specified in Table 1 see </w:t>
      </w:r>
      <w:proofErr w:type="spellStart"/>
      <w:r w:rsidRPr="009F4A64">
        <w:rPr>
          <w:rFonts w:ascii="Times New Roman" w:eastAsia="Calibri" w:hAnsi="Times New Roman" w:cs="Times New Roman"/>
          <w:lang w:val="en-GB"/>
        </w:rPr>
        <w:t>Hildmann</w:t>
      </w:r>
      <w:proofErr w:type="spellEnd"/>
      <w:r w:rsidRPr="009F4A64">
        <w:rPr>
          <w:rFonts w:ascii="Times New Roman" w:eastAsia="Calibri" w:hAnsi="Times New Roman" w:cs="Times New Roman"/>
          <w:lang w:val="en-GB"/>
        </w:rPr>
        <w:t xml:space="preserve"> et al. (2022).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Costs were assumed to be spatially heterogeneous and</w:t>
      </w:r>
      <w:r w:rsidR="00124C50">
        <w:rPr>
          <w:rFonts w:ascii="Times New Roman" w:eastAsia="Calibri" w:hAnsi="Times New Roman" w:cs="Times New Roman"/>
          <w:lang w:val="en-GB"/>
        </w:rPr>
        <w:t xml:space="preserve"> vary across agricultural</w:t>
      </w:r>
      <w:r w:rsidRPr="009F4A64">
        <w:rPr>
          <w:rFonts w:ascii="Times New Roman" w:eastAsia="Calibri" w:hAnsi="Times New Roman" w:cs="Times New Roman"/>
          <w:lang w:val="en-GB"/>
        </w:rPr>
        <w:t xml:space="preserve"> and forest plots. First the yield and theref</w:t>
      </w:r>
      <w:r w:rsidR="00124C50">
        <w:rPr>
          <w:rFonts w:ascii="Times New Roman" w:eastAsia="Calibri" w:hAnsi="Times New Roman" w:cs="Times New Roman"/>
          <w:lang w:val="en-GB"/>
        </w:rPr>
        <w:t>ore the revenue depends on plot</w:t>
      </w:r>
      <w:r w:rsidRPr="009F4A64">
        <w:rPr>
          <w:rFonts w:ascii="Times New Roman" w:eastAsia="Calibri" w:hAnsi="Times New Roman" w:cs="Times New Roman"/>
          <w:lang w:val="en-GB"/>
        </w:rPr>
        <w:t xml:space="preserve"> specific factors like soil quality (type, texture), climate (temperature and precipitation) and other landscapes elements like slope gradient and forest shade. In Germany,</w:t>
      </w:r>
      <w:r>
        <w:rPr>
          <w:rFonts w:ascii="Times New Roman" w:eastAsia="Calibri" w:hAnsi="Times New Roman" w:cs="Times New Roman"/>
          <w:lang w:val="en-GB"/>
        </w:rPr>
        <w:t xml:space="preserve"> the so-called ‘Acker- and </w:t>
      </w:r>
      <w:proofErr w:type="spellStart"/>
      <w:r>
        <w:rPr>
          <w:rFonts w:ascii="Times New Roman" w:eastAsia="Calibri" w:hAnsi="Times New Roman" w:cs="Times New Roman"/>
          <w:lang w:val="en-GB"/>
        </w:rPr>
        <w:t>Grünlandzahl</w:t>
      </w:r>
      <w:proofErr w:type="spellEnd"/>
      <w:r>
        <w:rPr>
          <w:rFonts w:ascii="Times New Roman" w:eastAsia="Calibri" w:hAnsi="Times New Roman" w:cs="Times New Roman"/>
          <w:lang w:val="en-GB"/>
        </w:rPr>
        <w:t>’</w:t>
      </w:r>
      <w:r w:rsidRPr="009F4A64">
        <w:rPr>
          <w:rFonts w:ascii="Times New Roman" w:eastAsia="Calibri" w:hAnsi="Times New Roman" w:cs="Times New Roman"/>
          <w:lang w:val="en-GB"/>
        </w:rPr>
        <w:t xml:space="preserve"> is a productivity quality </w:t>
      </w:r>
      <w:r w:rsidR="00124C50">
        <w:rPr>
          <w:rFonts w:ascii="Times New Roman" w:eastAsia="Calibri" w:hAnsi="Times New Roman" w:cs="Times New Roman"/>
          <w:lang w:val="en-GB"/>
        </w:rPr>
        <w:t>index – in the article referred to as ‘</w:t>
      </w:r>
      <w:r w:rsidR="00124C50" w:rsidRPr="009F4A64">
        <w:rPr>
          <w:rFonts w:ascii="Times New Roman" w:eastAsia="Calibri" w:hAnsi="Times New Roman" w:cs="Times New Roman"/>
          <w:lang w:val="en-GB"/>
        </w:rPr>
        <w:t>soil quality index</w:t>
      </w:r>
      <w:r w:rsidR="00124C50">
        <w:rPr>
          <w:rFonts w:ascii="Times New Roman" w:eastAsia="Calibri" w:hAnsi="Times New Roman" w:cs="Times New Roman"/>
          <w:lang w:val="en-GB"/>
        </w:rPr>
        <w:t>’</w:t>
      </w:r>
      <w:r w:rsidR="00A275FA">
        <w:rPr>
          <w:rFonts w:ascii="Times New Roman" w:eastAsia="Calibri" w:hAnsi="Times New Roman" w:cs="Times New Roman"/>
          <w:lang w:val="en-GB"/>
        </w:rPr>
        <w:t xml:space="preserve"> (for details see footnote 1 in article)</w:t>
      </w:r>
      <w:r w:rsidR="00124C50" w:rsidRPr="009F4A64">
        <w:rPr>
          <w:rFonts w:ascii="Times New Roman" w:eastAsia="Calibri" w:hAnsi="Times New Roman" w:cs="Times New Roman"/>
          <w:lang w:val="en-GB"/>
        </w:rPr>
        <w:t xml:space="preserve"> </w:t>
      </w:r>
      <w:r w:rsidR="00124C50">
        <w:rPr>
          <w:rFonts w:ascii="Times New Roman" w:eastAsia="Calibri" w:hAnsi="Times New Roman" w:cs="Times New Roman"/>
          <w:lang w:val="en-GB"/>
        </w:rPr>
        <w:t xml:space="preserve">– </w:t>
      </w:r>
      <w:r w:rsidRPr="009F4A64">
        <w:rPr>
          <w:rFonts w:ascii="Times New Roman" w:eastAsia="Calibri" w:hAnsi="Times New Roman" w:cs="Times New Roman"/>
          <w:lang w:val="en-GB"/>
        </w:rPr>
        <w:t>for</w:t>
      </w:r>
      <w:r w:rsidR="00124C50">
        <w:rPr>
          <w:rFonts w:ascii="Times New Roman" w:eastAsia="Calibri" w:hAnsi="Times New Roman" w:cs="Times New Roman"/>
          <w:lang w:val="en-GB"/>
        </w:rPr>
        <w:t xml:space="preserve"> </w:t>
      </w:r>
      <w:r w:rsidRPr="009F4A64">
        <w:rPr>
          <w:rFonts w:ascii="Times New Roman" w:eastAsia="Calibri" w:hAnsi="Times New Roman" w:cs="Times New Roman"/>
          <w:lang w:val="en-GB"/>
        </w:rPr>
        <w:t>agricultural and grassland which is composed of those factors. It quantifies the productivity of grassland and cropl</w:t>
      </w:r>
      <w:r w:rsidR="00124C50">
        <w:rPr>
          <w:rFonts w:ascii="Times New Roman" w:eastAsia="Calibri" w:hAnsi="Times New Roman" w:cs="Times New Roman"/>
          <w:lang w:val="en-GB"/>
        </w:rPr>
        <w:t>and (</w:t>
      </w:r>
      <w:proofErr w:type="spellStart"/>
      <w:r w:rsidR="00124C50">
        <w:rPr>
          <w:rFonts w:ascii="Times New Roman" w:eastAsia="Calibri" w:hAnsi="Times New Roman" w:cs="Times New Roman"/>
          <w:lang w:val="en-GB"/>
        </w:rPr>
        <w:t>Ratzke</w:t>
      </w:r>
      <w:proofErr w:type="spellEnd"/>
      <w:r w:rsidR="00124C50">
        <w:rPr>
          <w:rFonts w:ascii="Times New Roman" w:eastAsia="Calibri" w:hAnsi="Times New Roman" w:cs="Times New Roman"/>
          <w:lang w:val="en-GB"/>
        </w:rPr>
        <w:t xml:space="preserve"> and Mohr 2005). The soil </w:t>
      </w:r>
      <w:r w:rsidRPr="009F4A64">
        <w:rPr>
          <w:rFonts w:ascii="Times New Roman" w:eastAsia="Calibri" w:hAnsi="Times New Roman" w:cs="Times New Roman"/>
          <w:lang w:val="en-GB"/>
        </w:rPr>
        <w:t>quality index ranges f</w:t>
      </w:r>
      <w:bookmarkStart w:id="0" w:name="_GoBack"/>
      <w:bookmarkEnd w:id="0"/>
      <w:r w:rsidRPr="009F4A64">
        <w:rPr>
          <w:rFonts w:ascii="Times New Roman" w:eastAsia="Calibri" w:hAnsi="Times New Roman" w:cs="Times New Roman"/>
          <w:lang w:val="en-GB"/>
        </w:rPr>
        <w:t>rom 1 to 100 whereas higher scores indicate more fertile cultivation conditions. Based on Roth (1956), an increase of 5 p</w:t>
      </w:r>
      <w:r w:rsidR="00124C50">
        <w:rPr>
          <w:rFonts w:ascii="Times New Roman" w:eastAsia="Calibri" w:hAnsi="Times New Roman" w:cs="Times New Roman"/>
          <w:lang w:val="en-GB"/>
        </w:rPr>
        <w:t>oints in the soil quality</w:t>
      </w:r>
      <w:r w:rsidRPr="009F4A64">
        <w:rPr>
          <w:rFonts w:ascii="Times New Roman" w:eastAsia="Calibri" w:hAnsi="Times New Roman" w:cs="Times New Roman"/>
          <w:lang w:val="en-GB"/>
        </w:rPr>
        <w:t xml:space="preserve"> index linearly translates into a productivity increase of 1.5 grain units. A grain unit corresponds to the energy content of a </w:t>
      </w:r>
      <w:proofErr w:type="spellStart"/>
      <w:r w:rsidRPr="009F4A64">
        <w:rPr>
          <w:rFonts w:ascii="Times New Roman" w:eastAsia="Calibri" w:hAnsi="Times New Roman" w:cs="Times New Roman"/>
          <w:lang w:val="en-GB"/>
        </w:rPr>
        <w:t>decitonne</w:t>
      </w:r>
      <w:proofErr w:type="spellEnd"/>
      <w:r w:rsidRPr="009F4A64">
        <w:rPr>
          <w:rFonts w:ascii="Times New Roman" w:eastAsia="Calibri" w:hAnsi="Times New Roman" w:cs="Times New Roman"/>
          <w:lang w:val="en-GB"/>
        </w:rPr>
        <w:t xml:space="preserve"> of barley. That means a 5-po</w:t>
      </w:r>
      <w:r w:rsidR="00124C50">
        <w:rPr>
          <w:rFonts w:ascii="Times New Roman" w:eastAsia="Calibri" w:hAnsi="Times New Roman" w:cs="Times New Roman"/>
          <w:lang w:val="en-GB"/>
        </w:rPr>
        <w:t>int increase in the soil quality</w:t>
      </w:r>
      <w:r w:rsidRPr="009F4A64">
        <w:rPr>
          <w:rFonts w:ascii="Times New Roman" w:eastAsia="Calibri" w:hAnsi="Times New Roman" w:cs="Times New Roman"/>
          <w:lang w:val="en-GB"/>
        </w:rPr>
        <w:t xml:space="preserve"> index increases barley production by 150 kilograms per hectare (</w:t>
      </w:r>
      <w:proofErr w:type="spellStart"/>
      <w:r w:rsidRPr="009F4A64">
        <w:rPr>
          <w:rFonts w:ascii="Times New Roman" w:hAnsi="Times New Roman"/>
          <w:lang w:val="en-GB"/>
        </w:rPr>
        <w:t>Rötscher</w:t>
      </w:r>
      <w:proofErr w:type="spellEnd"/>
      <w:r w:rsidRPr="009F4A64">
        <w:rPr>
          <w:rFonts w:ascii="Times New Roman" w:hAnsi="Times New Roman"/>
          <w:lang w:val="en-GB"/>
        </w:rPr>
        <w:t xml:space="preserve"> and Christen 2012, </w:t>
      </w:r>
      <w:r w:rsidRPr="009F4A64">
        <w:rPr>
          <w:rFonts w:ascii="Times New Roman" w:hAnsi="Times New Roman" w:cs="Times New Roman"/>
          <w:lang w:val="en-GB"/>
        </w:rPr>
        <w:t>Schulze-</w:t>
      </w:r>
      <w:proofErr w:type="spellStart"/>
      <w:r w:rsidRPr="009F4A64">
        <w:rPr>
          <w:rFonts w:ascii="Times New Roman" w:hAnsi="Times New Roman" w:cs="Times New Roman"/>
          <w:lang w:val="en-GB"/>
        </w:rPr>
        <w:t>Mönking</w:t>
      </w:r>
      <w:proofErr w:type="spellEnd"/>
      <w:r w:rsidRPr="009F4A64">
        <w:rPr>
          <w:rFonts w:ascii="Times New Roman" w:hAnsi="Times New Roman" w:cs="Times New Roman"/>
          <w:lang w:val="en-GB"/>
        </w:rPr>
        <w:t xml:space="preserve"> 2013</w:t>
      </w:r>
      <w:r w:rsidRPr="009F4A64">
        <w:rPr>
          <w:rFonts w:ascii="Times New Roman" w:eastAsia="Calibri" w:hAnsi="Times New Roman" w:cs="Times New Roman"/>
          <w:lang w:val="en-GB"/>
        </w:rPr>
        <w:t xml:space="preserve">). Since the energy content of barley and other agricultural product vary one needs to express the energy content of other agricultural products in grain units to calculate the production increase in kilograms if a crop is cultivated on more productive land. Official sources (e.g. </w:t>
      </w:r>
      <w:r w:rsidRPr="009F4A64">
        <w:rPr>
          <w:rFonts w:ascii="Times New Roman" w:hAnsi="Times New Roman"/>
          <w:lang w:val="en-GB"/>
        </w:rPr>
        <w:t xml:space="preserve">BMEL 2011, </w:t>
      </w:r>
      <w:r w:rsidRPr="009F4A64">
        <w:rPr>
          <w:rFonts w:ascii="Times New Roman" w:eastAsia="Calibri" w:hAnsi="Times New Roman" w:cs="Times New Roman"/>
          <w:lang w:val="en-GB"/>
        </w:rPr>
        <w:t xml:space="preserve">TLL 2021, BMEL 2021) publish respective conversion keys. They energy content of potatoes corresponds, for example, to 0.22 of the energy content of barley. Accordingly, a 5-point increase in the productivity quality index amounts to an increase of 682 kilograms per hectare (150kg x 1/0,22). We used this formula to estimate the yield </w:t>
      </w:r>
      <w:r>
        <w:rPr>
          <w:rFonts w:ascii="Times New Roman" w:eastAsia="Calibri" w:hAnsi="Times New Roman" w:cs="Times New Roman"/>
          <w:lang w:val="en-GB"/>
        </w:rPr>
        <w:t>variation on agricultural plots</w:t>
      </w:r>
      <w:r w:rsidRPr="009F4A64">
        <w:rPr>
          <w:rFonts w:ascii="Times New Roman" w:eastAsia="Calibri" w:hAnsi="Times New Roman" w:cs="Times New Roman"/>
          <w:lang w:val="en-GB"/>
        </w:rPr>
        <w:t xml:space="preserve"> in the study region. </w:t>
      </w:r>
      <w:proofErr w:type="spellStart"/>
      <w:r w:rsidRPr="009F4A64">
        <w:rPr>
          <w:rFonts w:ascii="Times New Roman" w:eastAsia="Calibri" w:hAnsi="Times New Roman" w:cs="Times New Roman"/>
          <w:lang w:val="en-GB"/>
        </w:rPr>
        <w:t>Amt</w:t>
      </w:r>
      <w:proofErr w:type="spellEnd"/>
      <w:r w:rsidRPr="009F4A64">
        <w:rPr>
          <w:rFonts w:ascii="Times New Roman" w:eastAsia="Calibri" w:hAnsi="Times New Roman" w:cs="Times New Roman"/>
          <w:lang w:val="en-GB"/>
        </w:rPr>
        <w:t xml:space="preserve"> </w:t>
      </w:r>
      <w:proofErr w:type="spellStart"/>
      <w:r w:rsidRPr="009F4A64">
        <w:rPr>
          <w:rFonts w:ascii="Times New Roman" w:eastAsia="Calibri" w:hAnsi="Times New Roman" w:cs="Times New Roman"/>
          <w:lang w:val="en-GB"/>
        </w:rPr>
        <w:t>für</w:t>
      </w:r>
      <w:proofErr w:type="spellEnd"/>
      <w:r w:rsidRPr="009F4A64">
        <w:rPr>
          <w:rFonts w:ascii="Times New Roman" w:eastAsia="Calibri" w:hAnsi="Times New Roman" w:cs="Times New Roman"/>
          <w:lang w:val="en-GB"/>
        </w:rPr>
        <w:t xml:space="preserve"> </w:t>
      </w:r>
      <w:proofErr w:type="spellStart"/>
      <w:r w:rsidRPr="009F4A64">
        <w:rPr>
          <w:rFonts w:ascii="Times New Roman" w:eastAsia="Calibri" w:hAnsi="Times New Roman" w:cs="Times New Roman"/>
          <w:lang w:val="en-GB"/>
        </w:rPr>
        <w:t>Statistik</w:t>
      </w:r>
      <w:proofErr w:type="spellEnd"/>
      <w:r w:rsidRPr="009F4A64">
        <w:rPr>
          <w:rFonts w:ascii="Times New Roman" w:eastAsia="Calibri" w:hAnsi="Times New Roman" w:cs="Times New Roman"/>
          <w:lang w:val="en-GB"/>
        </w:rPr>
        <w:t xml:space="preserve"> Berlin Brandenburg (2019) reports long-term average yields for several arable crops in the Elbe-</w:t>
      </w:r>
      <w:proofErr w:type="spellStart"/>
      <w:r w:rsidRPr="009F4A64">
        <w:rPr>
          <w:rFonts w:ascii="Times New Roman" w:eastAsia="Calibri" w:hAnsi="Times New Roman" w:cs="Times New Roman"/>
          <w:lang w:val="en-GB"/>
        </w:rPr>
        <w:t>Elster</w:t>
      </w:r>
      <w:proofErr w:type="spellEnd"/>
      <w:r w:rsidRPr="009F4A64">
        <w:rPr>
          <w:rFonts w:ascii="Times New Roman" w:eastAsia="Calibri" w:hAnsi="Times New Roman" w:cs="Times New Roman"/>
          <w:lang w:val="en-GB"/>
        </w:rPr>
        <w:t xml:space="preserve"> county. We assume that those yields can be generated per hectare on agricultural land with the average productivity quality index of 32.5 in the Elbe-</w:t>
      </w:r>
      <w:proofErr w:type="spellStart"/>
      <w:r w:rsidRPr="009F4A64">
        <w:rPr>
          <w:rFonts w:ascii="Times New Roman" w:eastAsia="Calibri" w:hAnsi="Times New Roman" w:cs="Times New Roman"/>
          <w:lang w:val="en-GB"/>
        </w:rPr>
        <w:t>Elster</w:t>
      </w:r>
      <w:proofErr w:type="spellEnd"/>
      <w:r w:rsidRPr="009F4A64">
        <w:rPr>
          <w:rFonts w:ascii="Times New Roman" w:eastAsia="Calibri" w:hAnsi="Times New Roman" w:cs="Times New Roman"/>
          <w:lang w:val="en-GB"/>
        </w:rPr>
        <w:t xml:space="preserve"> county (LELF, 2023). Yields vary then in de</w:t>
      </w:r>
      <w:r w:rsidR="00124C50">
        <w:rPr>
          <w:rFonts w:ascii="Times New Roman" w:eastAsia="Calibri" w:hAnsi="Times New Roman" w:cs="Times New Roman"/>
          <w:lang w:val="en-GB"/>
        </w:rPr>
        <w:t>pendence on whether the soil quality</w:t>
      </w:r>
      <w:r>
        <w:rPr>
          <w:rFonts w:ascii="Times New Roman" w:eastAsia="Calibri" w:hAnsi="Times New Roman" w:cs="Times New Roman"/>
          <w:lang w:val="en-GB"/>
        </w:rPr>
        <w:t xml:space="preserve"> index of an agricultural plot</w:t>
      </w:r>
      <w:r w:rsidRPr="009F4A64">
        <w:rPr>
          <w:rFonts w:ascii="Times New Roman" w:eastAsia="Calibri" w:hAnsi="Times New Roman" w:cs="Times New Roman"/>
          <w:lang w:val="en-GB"/>
        </w:rPr>
        <w:t xml:space="preserve"> is above o</w:t>
      </w:r>
      <w:r w:rsidR="00124C50">
        <w:rPr>
          <w:rFonts w:ascii="Times New Roman" w:eastAsia="Calibri" w:hAnsi="Times New Roman" w:cs="Times New Roman"/>
          <w:lang w:val="en-GB"/>
        </w:rPr>
        <w:t>r below the average soil quality</w:t>
      </w:r>
      <w:r w:rsidRPr="009F4A64">
        <w:rPr>
          <w:rFonts w:ascii="Times New Roman" w:eastAsia="Calibri" w:hAnsi="Times New Roman" w:cs="Times New Roman"/>
          <w:lang w:val="en-GB"/>
        </w:rPr>
        <w:t xml:space="preserve"> index in the study region based on the formula from above. To calculate the </w:t>
      </w:r>
      <w:proofErr w:type="gramStart"/>
      <w:r w:rsidRPr="009F4A64">
        <w:rPr>
          <w:rFonts w:ascii="Times New Roman" w:eastAsia="Calibri" w:hAnsi="Times New Roman" w:cs="Times New Roman"/>
          <w:lang w:val="en-GB"/>
        </w:rPr>
        <w:t>revenue</w:t>
      </w:r>
      <w:proofErr w:type="gramEnd"/>
      <w:r w:rsidRPr="009F4A64">
        <w:rPr>
          <w:rFonts w:ascii="Times New Roman" w:eastAsia="Calibri" w:hAnsi="Times New Roman" w:cs="Times New Roman"/>
          <w:lang w:val="en-GB"/>
        </w:rPr>
        <w:t xml:space="preserve"> we multiply the estimated yield per hectare with long term average prices per tonne or </w:t>
      </w:r>
      <w:proofErr w:type="spellStart"/>
      <w:r w:rsidRPr="009F4A64">
        <w:rPr>
          <w:rFonts w:ascii="Times New Roman" w:eastAsia="Calibri" w:hAnsi="Times New Roman" w:cs="Times New Roman"/>
          <w:lang w:val="en-GB"/>
        </w:rPr>
        <w:t>decitonne</w:t>
      </w:r>
      <w:proofErr w:type="spellEnd"/>
      <w:r w:rsidRPr="009F4A64">
        <w:rPr>
          <w:rFonts w:ascii="Times New Roman" w:eastAsia="Calibri" w:hAnsi="Times New Roman" w:cs="Times New Roman"/>
          <w:lang w:val="en-GB"/>
        </w:rPr>
        <w:t xml:space="preserve"> provided by official sources (Achilles et al. 2015, SMEKUL 2021, BMEL 2021, KTBL 2022).</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In addition, also cultivation costs vary in dependence of the yield. KTBL (2022) provides costs data for a large number of arable crops and agricultural products differentiating between low, middle and high harvest yields. Low yields </w:t>
      </w:r>
      <w:r w:rsidR="00351A51">
        <w:rPr>
          <w:rFonts w:ascii="Times New Roman" w:eastAsia="Calibri" w:hAnsi="Times New Roman" w:cs="Times New Roman"/>
          <w:lang w:val="en-GB"/>
        </w:rPr>
        <w:t>are associated with soil quality</w:t>
      </w:r>
      <w:r w:rsidRPr="009F4A64">
        <w:rPr>
          <w:rFonts w:ascii="Times New Roman" w:eastAsia="Calibri" w:hAnsi="Times New Roman" w:cs="Times New Roman"/>
          <w:lang w:val="en-GB"/>
        </w:rPr>
        <w:t xml:space="preserve"> index scores of below 40, middle between 41 and 60, and high yields with scores above 60 (LGBRLP 2022). We accordingly estimated the cultivation costs i</w:t>
      </w:r>
      <w:r w:rsidR="00351A51">
        <w:rPr>
          <w:rFonts w:ascii="Times New Roman" w:eastAsia="Calibri" w:hAnsi="Times New Roman" w:cs="Times New Roman"/>
          <w:lang w:val="en-GB"/>
        </w:rPr>
        <w:t>n dependence of the soil quality</w:t>
      </w:r>
      <w:r w:rsidRPr="009F4A64">
        <w:rPr>
          <w:rFonts w:ascii="Times New Roman" w:eastAsia="Calibri" w:hAnsi="Times New Roman" w:cs="Times New Roman"/>
          <w:lang w:val="en-GB"/>
        </w:rPr>
        <w:t xml:space="preserve"> inde</w:t>
      </w:r>
      <w:r w:rsidR="00351A51">
        <w:rPr>
          <w:rFonts w:ascii="Times New Roman" w:eastAsia="Calibri" w:hAnsi="Times New Roman" w:cs="Times New Roman"/>
          <w:lang w:val="en-GB"/>
        </w:rPr>
        <w:t>x score of an agricultural plot</w:t>
      </w:r>
      <w:r w:rsidRPr="009F4A64">
        <w:rPr>
          <w:rFonts w:ascii="Times New Roman" w:eastAsia="Calibri" w:hAnsi="Times New Roman" w:cs="Times New Roman"/>
          <w:lang w:val="en-GB"/>
        </w:rPr>
        <w:t xml:space="preserve">.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For forestry, we identify pine tree monoculture plantations as profit maximizing in the Elbe-</w:t>
      </w:r>
      <w:proofErr w:type="spellStart"/>
      <w:r w:rsidRPr="009F4A64">
        <w:rPr>
          <w:rFonts w:ascii="Times New Roman" w:eastAsia="Calibri" w:hAnsi="Times New Roman" w:cs="Times New Roman"/>
          <w:lang w:val="en-GB"/>
        </w:rPr>
        <w:t>Elster</w:t>
      </w:r>
      <w:proofErr w:type="spellEnd"/>
      <w:r w:rsidRPr="009F4A64">
        <w:rPr>
          <w:rFonts w:ascii="Times New Roman" w:eastAsia="Calibri" w:hAnsi="Times New Roman" w:cs="Times New Roman"/>
          <w:lang w:val="en-GB"/>
        </w:rPr>
        <w:t xml:space="preserve">-County. Opportunity costs arise from forgone profits from planting alternative tree species or shrub plants which increase the temperature mitigation capacity of the rural landscape but are less profitable than pine tree monocultures. In addition, investment costs may arise at the beginning of the implementation of a measure, for example, in form of clearing of forest areas before reforestation and management costs, for example, in form of hedge care at the edges of forests (see </w:t>
      </w:r>
      <w:proofErr w:type="spellStart"/>
      <w:r w:rsidRPr="009F4A64">
        <w:rPr>
          <w:rFonts w:ascii="Times New Roman" w:eastAsia="Calibri" w:hAnsi="Times New Roman" w:cs="Times New Roman"/>
          <w:lang w:val="en-GB"/>
        </w:rPr>
        <w:t>Hildmann</w:t>
      </w:r>
      <w:proofErr w:type="spellEnd"/>
      <w:r w:rsidRPr="009F4A64">
        <w:rPr>
          <w:rFonts w:ascii="Times New Roman" w:eastAsia="Calibri" w:hAnsi="Times New Roman" w:cs="Times New Roman"/>
          <w:lang w:val="en-GB"/>
        </w:rPr>
        <w:t xml:space="preserve"> et al. (2022) for a </w:t>
      </w:r>
      <w:r>
        <w:rPr>
          <w:rFonts w:ascii="Times New Roman" w:eastAsia="Calibri" w:hAnsi="Times New Roman" w:cs="Times New Roman"/>
          <w:lang w:val="en-GB"/>
        </w:rPr>
        <w:t xml:space="preserve">more </w:t>
      </w:r>
      <w:r w:rsidRPr="009F4A64">
        <w:rPr>
          <w:rFonts w:ascii="Times New Roman" w:eastAsia="Calibri" w:hAnsi="Times New Roman" w:cs="Times New Roman"/>
          <w:lang w:val="en-GB"/>
        </w:rPr>
        <w:t xml:space="preserve">detailed description of cost calculation of forest measures).   </w:t>
      </w: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The costs of forest measures are also spatially differentiated. Official sources (LFU 2022) categorize forest areas in the study r</w:t>
      </w:r>
      <w:r>
        <w:rPr>
          <w:rFonts w:ascii="Times New Roman" w:eastAsia="Calibri" w:hAnsi="Times New Roman" w:cs="Times New Roman"/>
          <w:lang w:val="en-GB"/>
        </w:rPr>
        <w:t>egion into four nutrition levels</w:t>
      </w:r>
      <w:r w:rsidRPr="009F4A64">
        <w:rPr>
          <w:rFonts w:ascii="Times New Roman" w:eastAsia="Calibri" w:hAnsi="Times New Roman" w:cs="Times New Roman"/>
          <w:lang w:val="en-GB"/>
        </w:rPr>
        <w:t>: A, Z, Z+, and M. While A locations represent forest with lowest nutrition levels M locations are the most suitable forest areas (SMEKUL 2022). D</w:t>
      </w:r>
      <w:r>
        <w:rPr>
          <w:rFonts w:ascii="Times New Roman" w:eastAsia="Calibri" w:hAnsi="Times New Roman" w:cs="Times New Roman"/>
          <w:lang w:val="en-GB"/>
        </w:rPr>
        <w:t>epending on the nutrition levels</w:t>
      </w:r>
      <w:r w:rsidRPr="009F4A64">
        <w:rPr>
          <w:rFonts w:ascii="Times New Roman" w:eastAsia="Calibri" w:hAnsi="Times New Roman" w:cs="Times New Roman"/>
          <w:lang w:val="en-GB"/>
        </w:rPr>
        <w:t xml:space="preserve"> we propose the implementation of different forest compositions on forest plots to cool down the rural landscape (see Table A.1 for details). We use official data of the German Federal Ministry of Food and Agriculture (BMEL 2016) on average annual revenues and costs of managing different forest types per hectare in Germany to estimate opportunity, investment, and management costs of surface temperature mitigation measures. Data include information like sale proceeds, expenses for logging, forest maintenance and renewal per hectare and year. To account for condition on the study site we adjust costs and revenue figures to local harvest levels. LFB (2016) provides for the North-German lowlands, the study region is part of, estimates on yield levels for a variety of tree species in dependence of the nutrition levels of a forest plot. We adjust the German-wide average costs and revenue proportionally. For example, estimat</w:t>
      </w:r>
      <w:r>
        <w:rPr>
          <w:rFonts w:ascii="Times New Roman" w:eastAsia="Calibri" w:hAnsi="Times New Roman" w:cs="Times New Roman"/>
          <w:lang w:val="en-GB"/>
        </w:rPr>
        <w:t>ed harvest yields of pine trees</w:t>
      </w:r>
      <w:r w:rsidRPr="009F4A64">
        <w:rPr>
          <w:rFonts w:ascii="Times New Roman" w:eastAsia="Calibri" w:hAnsi="Times New Roman" w:cs="Times New Roman"/>
          <w:lang w:val="en-GB"/>
        </w:rPr>
        <w:t xml:space="preserve"> decline by about 33% on </w:t>
      </w:r>
      <w:proofErr w:type="gramStart"/>
      <w:r w:rsidRPr="009F4A64">
        <w:rPr>
          <w:rFonts w:ascii="Times New Roman" w:eastAsia="Calibri" w:hAnsi="Times New Roman" w:cs="Times New Roman"/>
          <w:lang w:val="en-GB"/>
        </w:rPr>
        <w:t>A location</w:t>
      </w:r>
      <w:r>
        <w:rPr>
          <w:rFonts w:ascii="Times New Roman" w:eastAsia="Calibri" w:hAnsi="Times New Roman" w:cs="Times New Roman"/>
          <w:lang w:val="en-GB"/>
        </w:rPr>
        <w:t>s</w:t>
      </w:r>
      <w:proofErr w:type="gramEnd"/>
      <w:r w:rsidRPr="009F4A64">
        <w:rPr>
          <w:rFonts w:ascii="Times New Roman" w:eastAsia="Calibri" w:hAnsi="Times New Roman" w:cs="Times New Roman"/>
          <w:lang w:val="en-GB"/>
        </w:rPr>
        <w:t xml:space="preserve"> in comparison to Z+ locations. Accordingly, we assume that revenue and costs are also lower by a third.   </w:t>
      </w:r>
    </w:p>
    <w:p w:rsidR="00BD58AA" w:rsidRPr="009F4A64" w:rsidRDefault="00BD58AA" w:rsidP="00BD58AA">
      <w:pPr>
        <w:pStyle w:val="caption1"/>
        <w:keepNext/>
        <w:rPr>
          <w:rFonts w:ascii="Times New Roman" w:hAnsi="Times New Roman"/>
          <w:lang w:val="en-GB"/>
        </w:rPr>
      </w:pPr>
      <w:r w:rsidRPr="009F4A64">
        <w:rPr>
          <w:rFonts w:ascii="Times New Roman" w:hAnsi="Times New Roman"/>
          <w:lang w:val="en-GB"/>
        </w:rPr>
        <w:t xml:space="preserve">Table A.1: Forest compositions in dependence of soil nutrition levels </w:t>
      </w:r>
    </w:p>
    <w:tbl>
      <w:tblPr>
        <w:tblStyle w:val="Tabellenraster"/>
        <w:tblW w:w="7508" w:type="dxa"/>
        <w:tblInd w:w="113" w:type="dxa"/>
        <w:tblLayout w:type="fixed"/>
        <w:tblLook w:val="04A0" w:firstRow="1" w:lastRow="0" w:firstColumn="1" w:lastColumn="0" w:noHBand="0" w:noVBand="1"/>
      </w:tblPr>
      <w:tblGrid>
        <w:gridCol w:w="3115"/>
        <w:gridCol w:w="4393"/>
      </w:tblGrid>
      <w:tr w:rsidR="00BD58AA" w:rsidRPr="009F4A64" w:rsidTr="005B511A">
        <w:tc>
          <w:tcPr>
            <w:tcW w:w="3115"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Nutrition level</w:t>
            </w:r>
          </w:p>
        </w:tc>
        <w:tc>
          <w:tcPr>
            <w:tcW w:w="4392"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Forest composition</w:t>
            </w:r>
          </w:p>
        </w:tc>
      </w:tr>
      <w:tr w:rsidR="00BD58AA" w:rsidRPr="009F4A64" w:rsidTr="005B511A">
        <w:tc>
          <w:tcPr>
            <w:tcW w:w="3115"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A</w:t>
            </w:r>
          </w:p>
        </w:tc>
        <w:tc>
          <w:tcPr>
            <w:tcW w:w="4392"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50% pine trees, 50% birch tree</w:t>
            </w:r>
          </w:p>
        </w:tc>
      </w:tr>
      <w:tr w:rsidR="00BD58AA" w:rsidRPr="00124C50" w:rsidTr="005B511A">
        <w:tc>
          <w:tcPr>
            <w:tcW w:w="3115"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Z</w:t>
            </w:r>
          </w:p>
        </w:tc>
        <w:tc>
          <w:tcPr>
            <w:tcW w:w="4392"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33% oak, 33% pine tree, 33% birch tree</w:t>
            </w:r>
          </w:p>
        </w:tc>
      </w:tr>
      <w:tr w:rsidR="00BD58AA" w:rsidRPr="00124C50" w:rsidTr="005B511A">
        <w:tc>
          <w:tcPr>
            <w:tcW w:w="3115"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Z+</w:t>
            </w:r>
          </w:p>
        </w:tc>
        <w:tc>
          <w:tcPr>
            <w:tcW w:w="4392"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30% sessile oak, 30% English oak, 20% common birch, 20% common pine</w:t>
            </w:r>
          </w:p>
        </w:tc>
      </w:tr>
      <w:tr w:rsidR="00BD58AA" w:rsidRPr="00124C50" w:rsidTr="005B511A">
        <w:tc>
          <w:tcPr>
            <w:tcW w:w="3115"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M</w:t>
            </w:r>
          </w:p>
        </w:tc>
        <w:tc>
          <w:tcPr>
            <w:tcW w:w="4392" w:type="dxa"/>
          </w:tcPr>
          <w:p w:rsidR="00BD58AA" w:rsidRPr="009F4A64" w:rsidRDefault="00BD58AA" w:rsidP="005B511A">
            <w:pPr>
              <w:widowControl w:val="0"/>
              <w:spacing w:after="0" w:line="360" w:lineRule="auto"/>
              <w:jc w:val="both"/>
              <w:rPr>
                <w:rFonts w:ascii="Times New Roman" w:hAnsi="Times New Roman"/>
                <w:lang w:val="en-GB"/>
              </w:rPr>
            </w:pPr>
            <w:r w:rsidRPr="009F4A64">
              <w:rPr>
                <w:rFonts w:ascii="Times New Roman" w:eastAsia="Calibri" w:hAnsi="Times New Roman" w:cs="Times New Roman"/>
                <w:lang w:val="en-GB"/>
              </w:rPr>
              <w:t>66% sessile oak, 11% European beech, 11% winter linden, 11% hornbeam</w:t>
            </w:r>
          </w:p>
        </w:tc>
      </w:tr>
    </w:tbl>
    <w:p w:rsidR="00BD58AA" w:rsidRPr="009F4A64" w:rsidRDefault="00BD58AA" w:rsidP="00BD58AA">
      <w:pPr>
        <w:spacing w:line="360" w:lineRule="auto"/>
        <w:jc w:val="both"/>
        <w:rPr>
          <w:rFonts w:ascii="Times New Roman" w:eastAsia="Calibri" w:hAnsi="Times New Roman" w:cs="Times New Roman"/>
          <w:lang w:val="en-GB"/>
        </w:rPr>
      </w:pPr>
    </w:p>
    <w:p w:rsidR="00BD58AA" w:rsidRPr="009F4A64" w:rsidRDefault="00BD58AA" w:rsidP="00BD58AA">
      <w:pPr>
        <w:spacing w:line="360" w:lineRule="auto"/>
        <w:jc w:val="both"/>
        <w:rPr>
          <w:rFonts w:ascii="Times New Roman" w:hAnsi="Times New Roman"/>
          <w:lang w:val="en-GB"/>
        </w:rPr>
      </w:pPr>
      <w:r w:rsidRPr="009F4A64">
        <w:rPr>
          <w:rFonts w:ascii="Times New Roman" w:eastAsia="Calibri" w:hAnsi="Times New Roman" w:cs="Times New Roman"/>
          <w:lang w:val="en-GB"/>
        </w:rPr>
        <w:t xml:space="preserve">In addition, we assume that pre-regeneration is applied in form of </w:t>
      </w:r>
      <w:proofErr w:type="spellStart"/>
      <w:r w:rsidRPr="009F4A64">
        <w:rPr>
          <w:rFonts w:ascii="Times New Roman" w:eastAsia="Calibri" w:hAnsi="Times New Roman" w:cs="Times New Roman"/>
          <w:lang w:val="en-GB"/>
        </w:rPr>
        <w:t>plenter</w:t>
      </w:r>
      <w:proofErr w:type="spellEnd"/>
      <w:r w:rsidRPr="009F4A64">
        <w:rPr>
          <w:rFonts w:ascii="Times New Roman" w:eastAsia="Calibri" w:hAnsi="Times New Roman" w:cs="Times New Roman"/>
          <w:lang w:val="en-GB"/>
        </w:rPr>
        <w:t xml:space="preserve"> or </w:t>
      </w:r>
      <w:proofErr w:type="spellStart"/>
      <w:r w:rsidRPr="009F4A64">
        <w:rPr>
          <w:rFonts w:ascii="Times New Roman" w:eastAsia="Calibri" w:hAnsi="Times New Roman" w:cs="Times New Roman"/>
          <w:lang w:val="en-GB"/>
        </w:rPr>
        <w:t>femel</w:t>
      </w:r>
      <w:proofErr w:type="spellEnd"/>
      <w:r w:rsidRPr="009F4A64">
        <w:rPr>
          <w:rFonts w:ascii="Times New Roman" w:eastAsia="Calibri" w:hAnsi="Times New Roman" w:cs="Times New Roman"/>
          <w:lang w:val="en-GB"/>
        </w:rPr>
        <w:t xml:space="preserve"> operation. That means forest conversion takes place gradually and in the long term by natural or artificial regeneration under the umbrella of the old forest stand and not by clear-cutting. To account for the fact that forest conversion is a long time project and forest composition cannot switch immediately we assume that for our 30-year observation period only costs for forest regeneration change (e.g. it is costlier to introduce deciduous trees into a pine tree monoculture compared to let pine trees reproduce naturally). Revenues remain the same for the first 30 years after conversion started as only old trees are logged. However, due to the different forest composition after 30 years the residual value of forests differ. We account for this, by taken the difference in discounted future profits over the expected life expectancy of different forest types into account (</w:t>
      </w:r>
      <w:proofErr w:type="spellStart"/>
      <w:r w:rsidRPr="009F4A64">
        <w:rPr>
          <w:rFonts w:ascii="Times New Roman" w:eastAsia="Calibri" w:hAnsi="Times New Roman" w:cs="Times New Roman"/>
          <w:lang w:val="en-GB"/>
        </w:rPr>
        <w:t>Hildmann</w:t>
      </w:r>
      <w:proofErr w:type="spellEnd"/>
      <w:r w:rsidRPr="009F4A64">
        <w:rPr>
          <w:rFonts w:ascii="Times New Roman" w:eastAsia="Calibri" w:hAnsi="Times New Roman" w:cs="Times New Roman"/>
          <w:lang w:val="en-GB"/>
        </w:rPr>
        <w:t xml:space="preserve"> et al. 2022).</w:t>
      </w:r>
    </w:p>
    <w:p w:rsidR="00BD58AA" w:rsidRPr="00A45985" w:rsidRDefault="00BD58AA" w:rsidP="00BD58AA">
      <w:pPr>
        <w:keepNext/>
        <w:keepLines/>
        <w:spacing w:before="40" w:after="0" w:line="360" w:lineRule="auto"/>
        <w:jc w:val="both"/>
        <w:outlineLvl w:val="1"/>
        <w:rPr>
          <w:rFonts w:ascii="Times New Roman" w:hAnsi="Times New Roman"/>
        </w:rPr>
      </w:pPr>
      <w:r w:rsidRPr="00A45985">
        <w:rPr>
          <w:rFonts w:ascii="Times New Roman" w:eastAsia="Times New Roman" w:hAnsi="Times New Roman" w:cs="Times New Roman"/>
          <w:color w:val="2E74B5"/>
          <w:sz w:val="26"/>
          <w:szCs w:val="26"/>
        </w:rPr>
        <w:t>References Appendix A.1</w:t>
      </w: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Achilles, W., Eckel, H., </w:t>
      </w:r>
      <w:proofErr w:type="spellStart"/>
      <w:r w:rsidRPr="00A45985">
        <w:rPr>
          <w:rFonts w:ascii="Times New Roman" w:eastAsia="Calibri" w:hAnsi="Times New Roman" w:cs="Times New Roman"/>
        </w:rPr>
        <w:t>Frich</w:t>
      </w:r>
      <w:proofErr w:type="spellEnd"/>
      <w:r w:rsidRPr="00A45985">
        <w:rPr>
          <w:rFonts w:ascii="Times New Roman" w:eastAsia="Calibri" w:hAnsi="Times New Roman" w:cs="Times New Roman"/>
        </w:rPr>
        <w:t xml:space="preserve">, J., </w:t>
      </w:r>
      <w:proofErr w:type="spellStart"/>
      <w:r w:rsidRPr="00A45985">
        <w:rPr>
          <w:rFonts w:ascii="Times New Roman" w:eastAsia="Calibri" w:hAnsi="Times New Roman" w:cs="Times New Roman"/>
        </w:rPr>
        <w:t>Fritzche</w:t>
      </w:r>
      <w:proofErr w:type="spellEnd"/>
      <w:r w:rsidRPr="00A45985">
        <w:rPr>
          <w:rFonts w:ascii="Times New Roman" w:eastAsia="Calibri" w:hAnsi="Times New Roman" w:cs="Times New Roman"/>
        </w:rPr>
        <w:t xml:space="preserve">, S., Funk, M., </w:t>
      </w:r>
      <w:proofErr w:type="spellStart"/>
      <w:r w:rsidRPr="00A45985">
        <w:rPr>
          <w:rFonts w:ascii="Times New Roman" w:eastAsia="Calibri" w:hAnsi="Times New Roman" w:cs="Times New Roman"/>
        </w:rPr>
        <w:t>Gaio</w:t>
      </w:r>
      <w:proofErr w:type="spellEnd"/>
      <w:r w:rsidRPr="00A45985">
        <w:rPr>
          <w:rFonts w:ascii="Times New Roman" w:eastAsia="Calibri" w:hAnsi="Times New Roman" w:cs="Times New Roman"/>
        </w:rPr>
        <w:t xml:space="preserve">, C., Grimm, E., Grube, J., Hartmann, W., Horlacher, D., Kloepfer, F., Meyer, B., Sand, I., Sauer, N., </w:t>
      </w:r>
      <w:proofErr w:type="spellStart"/>
      <w:r w:rsidRPr="00A45985">
        <w:rPr>
          <w:rFonts w:ascii="Times New Roman" w:eastAsia="Calibri" w:hAnsi="Times New Roman" w:cs="Times New Roman"/>
        </w:rPr>
        <w:t>Schroers</w:t>
      </w:r>
      <w:proofErr w:type="spellEnd"/>
      <w:r w:rsidRPr="00A45985">
        <w:rPr>
          <w:rFonts w:ascii="Times New Roman" w:eastAsia="Calibri" w:hAnsi="Times New Roman" w:cs="Times New Roman"/>
        </w:rPr>
        <w:t xml:space="preserve">, J.O. (2015). </w:t>
      </w:r>
      <w:r w:rsidRPr="00BD58AA">
        <w:rPr>
          <w:rFonts w:ascii="Times New Roman" w:eastAsia="Calibri" w:hAnsi="Times New Roman" w:cs="Times New Roman"/>
        </w:rPr>
        <w:t xml:space="preserve">KTBL-Taschenbuch Landwirtschaft, 22. Edition, Hrsg. </w:t>
      </w:r>
      <w:r w:rsidRPr="00A45985">
        <w:rPr>
          <w:rFonts w:ascii="Times New Roman" w:eastAsia="Calibri" w:hAnsi="Times New Roman" w:cs="Times New Roman"/>
        </w:rPr>
        <w:t>Kuratorium für Technik und Bauwesen in der Landwirtschaft e.V. (KTBL), Darmstadt, Deutschland.</w:t>
      </w: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BMEL – Bundesministerium für Ernährung und Landwirtschaft (2021). Index der Erzeugerpreise landwirtschaftlicher Produkte, BMELV, Monatsberichte, https://www.bmel-statistik.de/preise/statistischer-monatsbericht-des-bmel-kapitel-c-preise-und-loehne (aufgerufen am 17.12.2021) </w:t>
      </w:r>
    </w:p>
    <w:p w:rsidR="00BD58AA" w:rsidRPr="00A45985" w:rsidRDefault="00BD58AA" w:rsidP="00BD58AA">
      <w:pPr>
        <w:rPr>
          <w:rFonts w:ascii="Times New Roman" w:hAnsi="Times New Roman"/>
        </w:rPr>
      </w:pPr>
      <w:r w:rsidRPr="00A45985">
        <w:rPr>
          <w:rFonts w:ascii="Times New Roman" w:eastAsia="Calibri" w:hAnsi="Times New Roman" w:cs="Times New Roman"/>
        </w:rPr>
        <w:t>BMEL (2011). Statistisches Jahrbuch über Ernährung, Landwirtschaft, Forsten der Bundesrepublik Deutschland, Kapitel C Landwirtschaft, XII Produktionsleistung der Landwirtschaft, Tabelle "SJT-3120100-2011.xlsx Getreideeinheitenschlüssel", Landwirtschaftsverlag GmbH Münster-Hiltrup, https://www.bmel-statistik.de/landwirtschaft/tabellen-kapitel-c-hii-und-hiii-des-statistischen-jahrbuchs</w:t>
      </w: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BMEL (2016) - Bundesministerium für Ernährung und Landwirtschaft. Die wirtschaftliche Lage der forstwirtschaftlichen Betriebe Buchführungsergebnisse des Forstwirtschaftsjahres 2016, https://www.bmel-statistik.de/fileadmin/daten/BFB-0113002-2016.pdf. </w:t>
      </w: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KTBL – Kuratorium für Technik und Bauwesen in der Landwirtschaft (2022). Verfahrensrechner Pflanze, online KTBL-Leistungs-Kostenrechnung, https://daten.ktbl.de/dslkrpflanze/postHv.html (aufgerufen am 14.2.2022). </w:t>
      </w:r>
    </w:p>
    <w:p w:rsidR="00BD58AA" w:rsidRPr="00A45985" w:rsidRDefault="00BD58AA" w:rsidP="00BD58AA">
      <w:pPr>
        <w:rPr>
          <w:rFonts w:ascii="Times New Roman" w:eastAsia="Calibri" w:hAnsi="Times New Roman" w:cs="Times New Roman"/>
        </w:rPr>
      </w:pP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LELF – Landesamt für Ländliche Entwicklung, Landwirtschaft und Flurneuordnung (2023). Landesregierung Brandenburg - Agrarbericht Brandenburg, Agrarstruktur natürliche Bedingungen, </w:t>
      </w:r>
      <w:proofErr w:type="spellStart"/>
      <w:r w:rsidRPr="00A45985">
        <w:rPr>
          <w:rFonts w:ascii="Times New Roman" w:eastAsia="Calibri" w:hAnsi="Times New Roman" w:cs="Times New Roman"/>
        </w:rPr>
        <w:t>retrieved</w:t>
      </w:r>
      <w:proofErr w:type="spellEnd"/>
      <w:r w:rsidRPr="00A45985">
        <w:rPr>
          <w:rFonts w:ascii="Times New Roman" w:eastAsia="Calibri" w:hAnsi="Times New Roman" w:cs="Times New Roman"/>
        </w:rPr>
        <w:t xml:space="preserve"> </w:t>
      </w:r>
      <w:proofErr w:type="spellStart"/>
      <w:r w:rsidRPr="00A45985">
        <w:rPr>
          <w:rFonts w:ascii="Times New Roman" w:eastAsia="Calibri" w:hAnsi="Times New Roman" w:cs="Times New Roman"/>
        </w:rPr>
        <w:t>from</w:t>
      </w:r>
      <w:proofErr w:type="spellEnd"/>
      <w:r w:rsidRPr="00A45985">
        <w:rPr>
          <w:rFonts w:ascii="Times New Roman" w:eastAsia="Calibri" w:hAnsi="Times New Roman" w:cs="Times New Roman"/>
        </w:rPr>
        <w:t xml:space="preserve"> https://agrarbericht.brandenburg.de/abo/de/start/agrarstruktur/natuerliche-bedingungen/# on 2023/02/11.</w:t>
      </w: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LFB (2016) - Landesbetrieb Forst Brandenburg. Hilfstafeln für den Forstbetrieb, Grafische Ertragstafelauszüge für das nordostdeutsche Tiefland, Landeskompetenzzentrum Forst Eberswalde, </w:t>
      </w:r>
      <w:proofErr w:type="spellStart"/>
      <w:r w:rsidRPr="00A45985">
        <w:rPr>
          <w:rFonts w:ascii="Times New Roman" w:eastAsia="Calibri" w:hAnsi="Times New Roman" w:cs="Times New Roman"/>
        </w:rPr>
        <w:t>retrieved</w:t>
      </w:r>
      <w:proofErr w:type="spellEnd"/>
      <w:r w:rsidRPr="00A45985">
        <w:rPr>
          <w:rFonts w:ascii="Times New Roman" w:eastAsia="Calibri" w:hAnsi="Times New Roman" w:cs="Times New Roman"/>
        </w:rPr>
        <w:t xml:space="preserve"> </w:t>
      </w:r>
      <w:proofErr w:type="spellStart"/>
      <w:r w:rsidRPr="00A45985">
        <w:rPr>
          <w:rFonts w:ascii="Times New Roman" w:eastAsia="Calibri" w:hAnsi="Times New Roman" w:cs="Times New Roman"/>
        </w:rPr>
        <w:t>from</w:t>
      </w:r>
      <w:proofErr w:type="spellEnd"/>
      <w:r w:rsidRPr="00A45985">
        <w:rPr>
          <w:rFonts w:ascii="Times New Roman" w:eastAsia="Calibri" w:hAnsi="Times New Roman" w:cs="Times New Roman"/>
        </w:rPr>
        <w:t xml:space="preserve"> https://forst.brandenburg.de/cms/media.php/lbm1.a.4595.de/hilfstaf_2016.pdf on 2021/10/17.</w:t>
      </w:r>
    </w:p>
    <w:p w:rsidR="00BD58AA" w:rsidRPr="00A45985" w:rsidRDefault="00BD58AA" w:rsidP="00BD58AA">
      <w:pPr>
        <w:rPr>
          <w:rFonts w:ascii="Times New Roman" w:hAnsi="Times New Roman"/>
        </w:rPr>
      </w:pPr>
      <w:r w:rsidRPr="00A45985">
        <w:rPr>
          <w:rFonts w:ascii="Times New Roman" w:eastAsia="Calibri" w:hAnsi="Times New Roman" w:cs="Times New Roman"/>
        </w:rPr>
        <w:t>LFU (2022) - Bundesamt für Umwelt Brandenburg. Brandenburger Biotopkartierung, https://lfu.brandenburg.de/lfu/de/aufgaben/natur/biotopschutz/biotopkartierung/#</w:t>
      </w:r>
    </w:p>
    <w:p w:rsidR="00BD58AA" w:rsidRPr="00A45985" w:rsidRDefault="00BD58AA" w:rsidP="00BD58AA">
      <w:pPr>
        <w:rPr>
          <w:rFonts w:ascii="Times New Roman" w:hAnsi="Times New Roman"/>
        </w:rPr>
      </w:pPr>
      <w:r w:rsidRPr="00A45985">
        <w:rPr>
          <w:rFonts w:ascii="Times New Roman" w:eastAsia="Calibri" w:hAnsi="Times New Roman" w:cs="Times New Roman"/>
        </w:rPr>
        <w:t xml:space="preserve">LGBRLP (2022). Landesamt für Geologie und Bergbau Rheinland-Pfalz, Ertragsmesszahl nach Bodenschätzung (Ackerzahl), </w:t>
      </w:r>
      <w:proofErr w:type="spellStart"/>
      <w:r w:rsidRPr="00A45985">
        <w:rPr>
          <w:rFonts w:ascii="Times New Roman" w:eastAsia="Calibri" w:hAnsi="Times New Roman" w:cs="Times New Roman"/>
        </w:rPr>
        <w:t>retrieved</w:t>
      </w:r>
      <w:proofErr w:type="spellEnd"/>
      <w:r w:rsidRPr="00A45985">
        <w:rPr>
          <w:rFonts w:ascii="Times New Roman" w:eastAsia="Calibri" w:hAnsi="Times New Roman" w:cs="Times New Roman"/>
        </w:rPr>
        <w:t xml:space="preserve"> </w:t>
      </w:r>
      <w:proofErr w:type="spellStart"/>
      <w:r w:rsidRPr="00A45985">
        <w:rPr>
          <w:rFonts w:ascii="Times New Roman" w:eastAsia="Calibri" w:hAnsi="Times New Roman" w:cs="Times New Roman"/>
        </w:rPr>
        <w:t>from</w:t>
      </w:r>
      <w:proofErr w:type="spellEnd"/>
      <w:r w:rsidRPr="00A45985">
        <w:rPr>
          <w:rFonts w:ascii="Times New Roman" w:eastAsia="Calibri" w:hAnsi="Times New Roman" w:cs="Times New Roman"/>
        </w:rPr>
        <w:t xml:space="preserve"> https://www.geoportal.rlp.de/mapbender/php/mod_showMetadata.php?resource=layer&amp;id=24186 on 2022/12/08.</w:t>
      </w:r>
    </w:p>
    <w:p w:rsidR="00BD58AA" w:rsidRPr="00A45985" w:rsidRDefault="00BD58AA" w:rsidP="00BD58AA">
      <w:pPr>
        <w:rPr>
          <w:rFonts w:ascii="Times New Roman" w:hAnsi="Times New Roman"/>
        </w:rPr>
      </w:pPr>
      <w:proofErr w:type="spellStart"/>
      <w:r w:rsidRPr="00A45985">
        <w:rPr>
          <w:rFonts w:ascii="Times New Roman" w:eastAsia="Calibri" w:hAnsi="Times New Roman" w:cs="Times New Roman"/>
        </w:rPr>
        <w:t>Ratzke</w:t>
      </w:r>
      <w:proofErr w:type="spellEnd"/>
      <w:r w:rsidRPr="00A45985">
        <w:rPr>
          <w:rFonts w:ascii="Times New Roman" w:eastAsia="Calibri" w:hAnsi="Times New Roman" w:cs="Times New Roman"/>
        </w:rPr>
        <w:t>, U., Mohr, H.J. (2005). Böden in Mecklenburg-Vorpommern, Abriss ihrer Entstehung, Verbreitung und Nutzung. 2. Auflage. Beiträge zum Bodenschutz in Mecklenburg-Vorpommern. Landesamt für Umwelt, Naturschutz und Geologie Mecklenburg-Vorpommern, Güstrow 2005, https://www.lung.mv-regierung.de/dateien/boedenmv.pdf.</w:t>
      </w:r>
    </w:p>
    <w:p w:rsidR="00BD58AA" w:rsidRPr="00A45985" w:rsidRDefault="00BD58AA" w:rsidP="00BD58AA">
      <w:pPr>
        <w:rPr>
          <w:rFonts w:ascii="Times New Roman" w:hAnsi="Times New Roman"/>
        </w:rPr>
      </w:pPr>
      <w:r w:rsidRPr="00A45985">
        <w:rPr>
          <w:rFonts w:ascii="Times New Roman" w:eastAsia="Calibri" w:hAnsi="Times New Roman" w:cs="Times New Roman"/>
        </w:rPr>
        <w:t>Roth, H.A. (1956). Untersuchungen über die Beziehung zwischen den von der Bodenschätzung erfassten natürlichen Ertragsbedingungen und den Ernteerträgen des Ackerlandes, Wiss. Abhandlungen Nr. 19, Deutsche Akademie der Landwirtschaftswissenschaften zu Berlin, Akademie-Verlag, Berlin.</w:t>
      </w:r>
    </w:p>
    <w:p w:rsidR="00BD58AA" w:rsidRPr="00A45985" w:rsidRDefault="00BD58AA" w:rsidP="00BD58AA">
      <w:pPr>
        <w:rPr>
          <w:rFonts w:ascii="Times New Roman" w:hAnsi="Times New Roman"/>
        </w:rPr>
      </w:pPr>
      <w:proofErr w:type="spellStart"/>
      <w:r w:rsidRPr="00A45985">
        <w:rPr>
          <w:rFonts w:ascii="Times New Roman" w:eastAsia="Calibri" w:hAnsi="Times New Roman" w:cs="Times New Roman"/>
        </w:rPr>
        <w:t>Rötscher</w:t>
      </w:r>
      <w:proofErr w:type="spellEnd"/>
      <w:r w:rsidRPr="00A45985">
        <w:rPr>
          <w:rFonts w:ascii="Times New Roman" w:eastAsia="Calibri" w:hAnsi="Times New Roman" w:cs="Times New Roman"/>
        </w:rPr>
        <w:t xml:space="preserve">, T. und Christen, O. (2012). Zusammenhänge zwischen Bodenzahlen und Ertrag auf Acker-schlägen am Südostrand des Thüringer Beckens und Einflussfaktoren, Conference: AG Bodenschätzung und Bodenbewertung, St. Wendel, Saarland, Germany. </w:t>
      </w:r>
    </w:p>
    <w:p w:rsidR="00BD58AA" w:rsidRPr="00124C50" w:rsidRDefault="00BD58AA" w:rsidP="00BD58AA">
      <w:pPr>
        <w:rPr>
          <w:rFonts w:ascii="Times New Roman" w:hAnsi="Times New Roman"/>
        </w:rPr>
      </w:pPr>
      <w:r w:rsidRPr="00A45985">
        <w:rPr>
          <w:rFonts w:ascii="Times New Roman" w:eastAsia="Calibri" w:hAnsi="Times New Roman" w:cs="Times New Roman"/>
        </w:rPr>
        <w:t xml:space="preserve">Schulze </w:t>
      </w:r>
      <w:proofErr w:type="spellStart"/>
      <w:r w:rsidRPr="00A45985">
        <w:rPr>
          <w:rFonts w:ascii="Times New Roman" w:eastAsia="Calibri" w:hAnsi="Times New Roman" w:cs="Times New Roman"/>
        </w:rPr>
        <w:t>Mönking</w:t>
      </w:r>
      <w:proofErr w:type="spellEnd"/>
      <w:r w:rsidRPr="00A45985">
        <w:rPr>
          <w:rFonts w:ascii="Times New Roman" w:eastAsia="Calibri" w:hAnsi="Times New Roman" w:cs="Times New Roman"/>
        </w:rPr>
        <w:t xml:space="preserve">, S. (2013). Berechnung von Getreide- und Vieheinheiten als Aggregationsschlüssel in der Agrarwirtschaft, </w:t>
      </w:r>
      <w:proofErr w:type="spellStart"/>
      <w:r w:rsidRPr="00A45985">
        <w:rPr>
          <w:rFonts w:ascii="Times New Roman" w:eastAsia="Calibri" w:hAnsi="Times New Roman" w:cs="Times New Roman"/>
        </w:rPr>
        <w:t>Cuvillier</w:t>
      </w:r>
      <w:proofErr w:type="spellEnd"/>
      <w:r w:rsidRPr="00A45985">
        <w:rPr>
          <w:rFonts w:ascii="Times New Roman" w:eastAsia="Calibri" w:hAnsi="Times New Roman" w:cs="Times New Roman"/>
        </w:rPr>
        <w:t xml:space="preserve"> Verlag, 1.Ed. 23. </w:t>
      </w:r>
      <w:r w:rsidRPr="00124C50">
        <w:rPr>
          <w:rFonts w:ascii="Times New Roman" w:eastAsia="Calibri" w:hAnsi="Times New Roman" w:cs="Times New Roman"/>
        </w:rPr>
        <w:t>September 2013, ISBN-10: 3954043637.</w:t>
      </w:r>
    </w:p>
    <w:p w:rsidR="00BD58AA" w:rsidRPr="00A45985" w:rsidRDefault="00BD58AA" w:rsidP="00BD58AA">
      <w:pPr>
        <w:rPr>
          <w:rFonts w:ascii="Times New Roman" w:hAnsi="Times New Roman"/>
        </w:rPr>
      </w:pPr>
      <w:r w:rsidRPr="00A45985">
        <w:rPr>
          <w:rFonts w:ascii="Times New Roman" w:eastAsia="Calibri" w:hAnsi="Times New Roman" w:cs="Times New Roman"/>
        </w:rPr>
        <w:t>SMEKUL – Sächsisches Staatsministerium für Energie, Klimaschutz, Umwelt und Landwirtschaft (2021). Aktuelle Erzeugerpreise für Körnerfrüchte in Sachsen, https://www.landwirtschaft.sachsen.de/aktuelle-erzeugerpreise-fuer-koernerfruechte-in-sachsen-6198.asp (aufgerufen am 17.12.2021)</w:t>
      </w:r>
    </w:p>
    <w:p w:rsidR="00BD58AA" w:rsidRPr="00A45985" w:rsidRDefault="00BD58AA" w:rsidP="00BD58AA">
      <w:pPr>
        <w:rPr>
          <w:rFonts w:ascii="Times New Roman" w:hAnsi="Times New Roman"/>
        </w:rPr>
      </w:pPr>
      <w:r w:rsidRPr="00A45985">
        <w:rPr>
          <w:rFonts w:ascii="Times New Roman" w:eastAsia="Calibri" w:hAnsi="Times New Roman" w:cs="Times New Roman"/>
        </w:rPr>
        <w:t>SMEKUL (2022) - Sächsisches Staatsministerium für Energie, Klimaschutz, Umwelt und Landwirtschaft. Standortverhältnisse in Sachsen, https://www.wald.sachsen.de/standortverhaltnisse-in-sachsen-5814.html</w:t>
      </w:r>
    </w:p>
    <w:p w:rsidR="00BD58AA" w:rsidRPr="00A45985" w:rsidRDefault="00BD58AA" w:rsidP="00BD58AA">
      <w:pPr>
        <w:rPr>
          <w:rFonts w:ascii="Times New Roman" w:eastAsia="Calibri" w:hAnsi="Times New Roman" w:cs="Times New Roman"/>
        </w:rPr>
      </w:pPr>
      <w:r w:rsidRPr="00A45985">
        <w:rPr>
          <w:rFonts w:ascii="Times New Roman" w:eastAsia="Calibri" w:hAnsi="Times New Roman" w:cs="Times New Roman"/>
        </w:rPr>
        <w:t xml:space="preserve">TLL – Thüringer Landesanstalt für Landwirtschaft (2021). Getreideeinheitenschlüssel, http://www.tll.de/ainfo/pdf/ge_schl.pdf. </w:t>
      </w:r>
      <w:proofErr w:type="spellStart"/>
      <w:r w:rsidRPr="00A45985">
        <w:rPr>
          <w:rFonts w:ascii="Times New Roman" w:eastAsia="Calibri" w:hAnsi="Times New Roman" w:cs="Times New Roman"/>
        </w:rPr>
        <w:t>Accessed</w:t>
      </w:r>
      <w:proofErr w:type="spellEnd"/>
      <w:r w:rsidRPr="00A45985">
        <w:rPr>
          <w:rFonts w:ascii="Times New Roman" w:eastAsia="Calibri" w:hAnsi="Times New Roman" w:cs="Times New Roman"/>
        </w:rPr>
        <w:t xml:space="preserve"> 14 August 2021.</w:t>
      </w:r>
    </w:p>
    <w:p w:rsidR="00BD58AA" w:rsidRPr="009F4A64" w:rsidRDefault="00BD58AA" w:rsidP="00BD58AA">
      <w:pPr>
        <w:rPr>
          <w:rFonts w:ascii="Times New Roman" w:eastAsia="Calibri" w:hAnsi="Times New Roman" w:cs="Times New Roman"/>
          <w:lang w:val="en-GB"/>
        </w:rPr>
      </w:pPr>
      <w:r w:rsidRPr="00A45985">
        <w:rPr>
          <w:rFonts w:ascii="Times New Roman" w:eastAsia="Calibri" w:hAnsi="Times New Roman" w:cs="Times New Roman"/>
        </w:rPr>
        <w:t xml:space="preserve">Zimmermann, B., Hildmann, C. (2021). Klimawandel im Landkreis Elbe-Elster ganz konkret: Eine Analyse von Daten aus der Wetterstation </w:t>
      </w:r>
      <w:proofErr w:type="spellStart"/>
      <w:r w:rsidRPr="00A45985">
        <w:rPr>
          <w:rFonts w:ascii="Times New Roman" w:eastAsia="Calibri" w:hAnsi="Times New Roman" w:cs="Times New Roman"/>
        </w:rPr>
        <w:t>Doberlug</w:t>
      </w:r>
      <w:proofErr w:type="spellEnd"/>
      <w:r w:rsidRPr="00A45985">
        <w:rPr>
          <w:rFonts w:ascii="Times New Roman" w:eastAsia="Calibri" w:hAnsi="Times New Roman" w:cs="Times New Roman"/>
        </w:rPr>
        <w:t xml:space="preserve">-Kirchhain. </w:t>
      </w:r>
      <w:r w:rsidRPr="009F4A64">
        <w:rPr>
          <w:rFonts w:ascii="Times New Roman" w:eastAsia="Calibri" w:hAnsi="Times New Roman" w:cs="Times New Roman"/>
          <w:lang w:val="en-GB"/>
        </w:rPr>
        <w:t xml:space="preserve">URL: https://www.lkee.de/media/custom/2112_8805_1.PDF?1621336033. </w:t>
      </w:r>
    </w:p>
    <w:p w:rsidR="00BD58AA" w:rsidRPr="009F4A64" w:rsidRDefault="00BD58AA" w:rsidP="00BD58AA">
      <w:pPr>
        <w:rPr>
          <w:rFonts w:ascii="Times New Roman" w:hAnsi="Times New Roman"/>
          <w:lang w:val="en-GB"/>
        </w:rPr>
      </w:pPr>
    </w:p>
    <w:p w:rsidR="009D5F67" w:rsidRDefault="00A275FA"/>
    <w:sectPr w:rsidR="009D5F6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legreya">
    <w:altName w:val="Times New Roman"/>
    <w:charset w:val="00"/>
    <w:family w:val="auto"/>
    <w:pitch w:val="variable"/>
    <w:sig w:usb0="E00002FF" w:usb1="40006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A"/>
    <w:rsid w:val="000A04FC"/>
    <w:rsid w:val="00124C50"/>
    <w:rsid w:val="00351A51"/>
    <w:rsid w:val="007E72CA"/>
    <w:rsid w:val="00A275FA"/>
    <w:rsid w:val="00B351F8"/>
    <w:rsid w:val="00BD58A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AA53"/>
  <w15:chartTrackingRefBased/>
  <w15:docId w15:val="{DC1B3740-FBB3-4D4E-BF68-009DD4BB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D58AA"/>
    <w:pPr>
      <w:spacing w:after="200" w:line="276" w:lineRule="auto"/>
    </w:pPr>
    <w:rPr>
      <w:rFonts w:ascii="Alegreya" w:eastAsia="Alegreya" w:hAnsi="Alegreya" w:cs="Alegreya"/>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ption1">
    <w:name w:val="caption1"/>
    <w:basedOn w:val="Standard"/>
    <w:next w:val="Standard"/>
    <w:uiPriority w:val="35"/>
    <w:unhideWhenUsed/>
    <w:qFormat/>
    <w:rsid w:val="00BD58AA"/>
    <w:rPr>
      <w:b/>
      <w:bCs/>
      <w:color w:val="5B9BD5" w:themeColor="accent1"/>
      <w:sz w:val="18"/>
      <w:szCs w:val="18"/>
    </w:rPr>
  </w:style>
  <w:style w:type="table" w:styleId="Tabellenraster">
    <w:name w:val="Table Grid"/>
    <w:basedOn w:val="NormaleTabelle"/>
    <w:uiPriority w:val="59"/>
    <w:rsid w:val="00BD58AA"/>
    <w:pPr>
      <w:suppressAutoHyphens/>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2132</Words>
  <Characters>13432</Characters>
  <Application>Microsoft Office Word</Application>
  <DocSecurity>0</DocSecurity>
  <Lines>111</Lines>
  <Paragraphs>31</Paragraphs>
  <ScaleCrop>false</ScaleCrop>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 Hecker</dc:creator>
  <cp:keywords/>
  <dc:description/>
  <cp:lastModifiedBy>Lutz Hecker</cp:lastModifiedBy>
  <cp:revision>4</cp:revision>
  <dcterms:created xsi:type="dcterms:W3CDTF">2024-01-27T02:10:00Z</dcterms:created>
  <dcterms:modified xsi:type="dcterms:W3CDTF">2024-01-29T03:54:00Z</dcterms:modified>
</cp:coreProperties>
</file>