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85C83" w14:textId="77777777" w:rsidR="00151D3E" w:rsidRDefault="00151D3E" w:rsidP="00151D3E">
      <w:pPr>
        <w:spacing w:after="0" w:line="240" w:lineRule="auto"/>
        <w:ind w:firstLine="709"/>
        <w:rPr>
          <w:rFonts w:eastAsia="TimesNewRomanPSMT"/>
          <w:b/>
          <w:bCs/>
          <w:lang w:val="pl-PL" w:eastAsia="zh-CN"/>
        </w:rPr>
      </w:pPr>
    </w:p>
    <w:p w14:paraId="5991C363" w14:textId="77777777" w:rsidR="00151D3E" w:rsidRDefault="00151D3E" w:rsidP="00151D3E">
      <w:pPr>
        <w:spacing w:after="0" w:line="240" w:lineRule="auto"/>
        <w:jc w:val="center"/>
        <w:rPr>
          <w:rFonts w:eastAsia="TimesNewRomanPSMT"/>
          <w:b/>
          <w:bCs/>
          <w:lang w:val="pl-PL" w:eastAsia="zh-CN"/>
        </w:rPr>
      </w:pPr>
      <w:r>
        <w:rPr>
          <w:noProof/>
        </w:rPr>
        <w:drawing>
          <wp:inline distT="0" distB="0" distL="0" distR="0" wp14:anchorId="480196D7" wp14:editId="000482D6">
            <wp:extent cx="6409055" cy="2743200"/>
            <wp:effectExtent l="0" t="0" r="0" b="0"/>
            <wp:docPr id="1" name="Obiekt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1B58BFEC" w14:textId="77777777" w:rsidR="00151D3E" w:rsidRPr="00E15EF2" w:rsidRDefault="00151D3E" w:rsidP="00151D3E">
      <w:pPr>
        <w:spacing w:after="0" w:line="240" w:lineRule="auto"/>
      </w:pPr>
      <w:r w:rsidRPr="00151D3E">
        <w:rPr>
          <w:bCs/>
        </w:rPr>
        <w:t>Chart 1.</w:t>
      </w:r>
      <w:r>
        <w:rPr>
          <w:bCs/>
        </w:rPr>
        <w:t xml:space="preserve"> Mobility assessment on the basis of the Timed Up and Go test. Percentage distribution</w:t>
      </w:r>
      <w:r>
        <w:rPr>
          <w:rFonts w:eastAsia="TimesNewRomanPSMT"/>
          <w:bCs/>
        </w:rPr>
        <w:t xml:space="preserve"> </w:t>
      </w:r>
    </w:p>
    <w:p w14:paraId="3B88CFCC" w14:textId="77777777" w:rsidR="00F93F36" w:rsidRDefault="00F93F36"/>
    <w:p w14:paraId="22AF9176" w14:textId="77777777" w:rsidR="00151D3E" w:rsidRDefault="00151D3E"/>
    <w:p w14:paraId="6D43230E" w14:textId="77777777" w:rsidR="00151D3E" w:rsidRDefault="00151D3E" w:rsidP="00151D3E">
      <w:r>
        <w:rPr>
          <w:noProof/>
        </w:rPr>
        <w:drawing>
          <wp:inline distT="0" distB="0" distL="0" distR="0" wp14:anchorId="0F142502" wp14:editId="12DC89A2">
            <wp:extent cx="4891405" cy="2709545"/>
            <wp:effectExtent l="0" t="0" r="0" b="0"/>
            <wp:docPr id="2" name="Obiekt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1BC508AE" w14:textId="26C84D1D" w:rsidR="00151D3E" w:rsidRDefault="00151D3E" w:rsidP="00151D3E">
      <w:pPr>
        <w:rPr>
          <w:rFonts w:eastAsia="Segoe UI"/>
        </w:rPr>
      </w:pPr>
      <w:r>
        <w:t>Chart 2</w:t>
      </w:r>
      <w:r>
        <w:rPr>
          <w:rFonts w:eastAsia="Segoe UI"/>
        </w:rPr>
        <w:t>. Assessment of mobility according to age. Percentage distribution</w:t>
      </w:r>
    </w:p>
    <w:p w14:paraId="150D9B12" w14:textId="77777777" w:rsidR="00151D3E" w:rsidRDefault="00151D3E" w:rsidP="00151D3E">
      <w:pPr>
        <w:rPr>
          <w:rFonts w:eastAsia="Segoe UI"/>
        </w:rPr>
      </w:pPr>
    </w:p>
    <w:p w14:paraId="7522DB5E" w14:textId="77777777" w:rsidR="00151D3E" w:rsidRDefault="00151D3E" w:rsidP="00151D3E">
      <w:pPr>
        <w:rPr>
          <w:rFonts w:eastAsia="Segoe UI"/>
        </w:rPr>
      </w:pPr>
    </w:p>
    <w:p w14:paraId="0F540146" w14:textId="77777777" w:rsidR="00151D3E" w:rsidRDefault="00151D3E" w:rsidP="00151D3E">
      <w:pPr>
        <w:rPr>
          <w:rFonts w:eastAsia="Segoe UI"/>
        </w:rPr>
      </w:pPr>
    </w:p>
    <w:p w14:paraId="32A9D538" w14:textId="77777777" w:rsidR="00151D3E" w:rsidRDefault="00151D3E" w:rsidP="00151D3E">
      <w:pPr>
        <w:rPr>
          <w:rFonts w:eastAsia="Segoe UI"/>
        </w:rPr>
      </w:pPr>
    </w:p>
    <w:p w14:paraId="2B5C997C" w14:textId="77777777" w:rsidR="00151D3E" w:rsidRDefault="00151D3E" w:rsidP="00151D3E">
      <w:pPr>
        <w:rPr>
          <w:rFonts w:eastAsia="Segoe UI"/>
        </w:rPr>
      </w:pPr>
    </w:p>
    <w:p w14:paraId="55F6884E" w14:textId="38659046" w:rsidR="00151D3E" w:rsidRDefault="00151D3E" w:rsidP="00151D3E">
      <w:pPr>
        <w:rPr>
          <w:sz w:val="32"/>
          <w:szCs w:val="32"/>
        </w:rPr>
      </w:pPr>
      <w:r>
        <w:rPr>
          <w:bCs/>
        </w:rPr>
        <w:lastRenderedPageBreak/>
        <w:t>Chart 3</w:t>
      </w:r>
      <w:r>
        <w:rPr>
          <w:b/>
        </w:rPr>
        <w:t>.</w:t>
      </w:r>
      <w:r>
        <w:t xml:space="preserve"> Mobility assessment due to the gender of the respondents. Percentage distribution</w:t>
      </w:r>
    </w:p>
    <w:p w14:paraId="6DD8001C" w14:textId="77777777" w:rsidR="00151D3E" w:rsidRDefault="00151D3E" w:rsidP="00151D3E">
      <w:pPr>
        <w:spacing w:after="0" w:line="240" w:lineRule="auto"/>
        <w:jc w:val="center"/>
        <w:rPr>
          <w:lang w:val="pl-PL"/>
        </w:rPr>
      </w:pPr>
      <w:r>
        <w:rPr>
          <w:noProof/>
        </w:rPr>
        <w:drawing>
          <wp:inline distT="0" distB="0" distL="0" distR="0" wp14:anchorId="128921F8" wp14:editId="31E8DADF">
            <wp:extent cx="5365115" cy="2743200"/>
            <wp:effectExtent l="0" t="0" r="0" b="0"/>
            <wp:docPr id="3" name="Obiekt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C21CAD9" w14:textId="77777777" w:rsidR="00151D3E" w:rsidRPr="00151D3E" w:rsidRDefault="00151D3E" w:rsidP="00151D3E"/>
    <w:p w14:paraId="160658AC" w14:textId="77777777" w:rsidR="00AF0DCA" w:rsidRDefault="00AF0DCA" w:rsidP="00AF0DCA">
      <w:pPr>
        <w:pStyle w:val="NormalnyWeb"/>
        <w:spacing w:before="280" w:after="280"/>
        <w:jc w:val="both"/>
        <w:textAlignment w:val="baseline"/>
        <w:rPr>
          <w:rFonts w:eastAsia="Segoe UI"/>
          <w:sz w:val="22"/>
          <w:szCs w:val="22"/>
          <w:shd w:val="clear" w:color="auto" w:fill="FFFFFF"/>
        </w:rPr>
      </w:pPr>
      <w:r>
        <w:rPr>
          <w:bCs/>
          <w:sz w:val="22"/>
          <w:szCs w:val="22"/>
        </w:rPr>
        <w:t>Chart 4</w:t>
      </w:r>
      <w:r>
        <w:rPr>
          <w:rFonts w:eastAsia="Segoe UI"/>
          <w:bCs/>
          <w:sz w:val="22"/>
          <w:szCs w:val="22"/>
          <w:shd w:val="clear" w:color="auto" w:fill="FFFFFF"/>
        </w:rPr>
        <w:t>.</w:t>
      </w:r>
      <w:r>
        <w:rPr>
          <w:rFonts w:eastAsia="Segoe UI"/>
          <w:sz w:val="22"/>
          <w:szCs w:val="22"/>
          <w:shd w:val="clear" w:color="auto" w:fill="FFFFFF"/>
        </w:rPr>
        <w:t xml:space="preserve"> Assessment of the level of mobility due to the place of residence. Percentage distribution</w:t>
      </w:r>
    </w:p>
    <w:p w14:paraId="0C8477E2" w14:textId="77777777" w:rsidR="00AF0DCA" w:rsidRDefault="00AF0DCA" w:rsidP="00AF0DCA">
      <w:pPr>
        <w:pStyle w:val="NormalnyWeb"/>
        <w:spacing w:before="280" w:after="280"/>
        <w:jc w:val="both"/>
        <w:textAlignment w:val="baseline"/>
        <w:rPr>
          <w:rFonts w:eastAsia="Segoe UI"/>
          <w:shd w:val="clear" w:color="auto" w:fill="FFFFFF"/>
        </w:rPr>
      </w:pPr>
      <w:r>
        <w:rPr>
          <w:sz w:val="22"/>
          <w:szCs w:val="22"/>
        </w:rPr>
        <w:t xml:space="preserve"> </w:t>
      </w:r>
    </w:p>
    <w:p w14:paraId="50F7D1D2" w14:textId="77777777" w:rsidR="00AF0DCA" w:rsidRDefault="00AF0DCA" w:rsidP="00AF0DCA">
      <w:pPr>
        <w:pStyle w:val="NormalnyWeb"/>
        <w:spacing w:after="280"/>
        <w:jc w:val="center"/>
        <w:textAlignment w:val="baseline"/>
        <w:rPr>
          <w:lang w:val="pl-PL"/>
        </w:rPr>
      </w:pPr>
      <w:r>
        <w:rPr>
          <w:noProof/>
        </w:rPr>
        <w:drawing>
          <wp:inline distT="0" distB="0" distL="0" distR="0" wp14:anchorId="4E395262" wp14:editId="081A656D">
            <wp:extent cx="5015865" cy="2842260"/>
            <wp:effectExtent l="0" t="0" r="0" b="0"/>
            <wp:docPr id="4" name="Obiekt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BF3AB0F" w14:textId="77777777" w:rsidR="00151D3E" w:rsidRDefault="00151D3E"/>
    <w:p w14:paraId="62637F3B" w14:textId="77777777" w:rsidR="00AF0DCA" w:rsidRDefault="00AF0DCA" w:rsidP="00AF0DCA">
      <w:pPr>
        <w:pStyle w:val="NormalnyWeb"/>
        <w:spacing w:before="280" w:after="280"/>
        <w:jc w:val="center"/>
        <w:textAlignment w:val="baseline"/>
        <w:rPr>
          <w:rFonts w:eastAsia="TimesNewRomanPSMT"/>
          <w:sz w:val="22"/>
          <w:szCs w:val="22"/>
        </w:rPr>
      </w:pPr>
    </w:p>
    <w:p w14:paraId="2395AB45" w14:textId="77777777" w:rsidR="00AF0DCA" w:rsidRDefault="00AF0DCA" w:rsidP="00AF0DCA">
      <w:pPr>
        <w:pStyle w:val="NormalnyWeb"/>
        <w:spacing w:before="280" w:after="280"/>
        <w:jc w:val="center"/>
        <w:textAlignment w:val="baseline"/>
        <w:rPr>
          <w:rFonts w:eastAsia="TimesNewRomanPSMT"/>
          <w:sz w:val="22"/>
          <w:szCs w:val="22"/>
        </w:rPr>
      </w:pPr>
    </w:p>
    <w:p w14:paraId="67EE8F6B" w14:textId="77777777" w:rsidR="00AF0DCA" w:rsidRDefault="00AF0DCA" w:rsidP="00AF0DCA">
      <w:pPr>
        <w:pStyle w:val="NormalnyWeb"/>
        <w:spacing w:before="280" w:after="280"/>
        <w:jc w:val="center"/>
        <w:textAlignment w:val="baseline"/>
        <w:rPr>
          <w:rFonts w:eastAsia="TimesNewRomanPSMT"/>
          <w:sz w:val="22"/>
          <w:szCs w:val="22"/>
        </w:rPr>
      </w:pPr>
    </w:p>
    <w:p w14:paraId="3DAB0F71" w14:textId="3FD84C29" w:rsidR="00AF0DCA" w:rsidRPr="00AF0DCA" w:rsidRDefault="00AF0DCA" w:rsidP="00AF0DCA">
      <w:pPr>
        <w:pStyle w:val="NormalnyWeb"/>
        <w:spacing w:before="280" w:after="280"/>
        <w:jc w:val="center"/>
        <w:textAlignment w:val="baseline"/>
        <w:rPr>
          <w:rFonts w:eastAsia="TimesNewRomanPSMT"/>
        </w:rPr>
      </w:pPr>
      <w:r w:rsidRPr="00AF0DCA">
        <w:rPr>
          <w:rFonts w:eastAsia="TimesNewRomanPSMT"/>
          <w:sz w:val="22"/>
          <w:szCs w:val="22"/>
        </w:rPr>
        <w:lastRenderedPageBreak/>
        <w:t>Chart 5. Assessment of mobility due to the different residence status of the respondents. Percentage distribution</w:t>
      </w:r>
    </w:p>
    <w:p w14:paraId="667C3B97" w14:textId="77777777" w:rsidR="00AF0DCA" w:rsidRDefault="00AF0DCA" w:rsidP="00AF0DCA">
      <w:pPr>
        <w:pStyle w:val="NormalnyWeb"/>
        <w:spacing w:before="280" w:after="280"/>
        <w:jc w:val="center"/>
        <w:textAlignment w:val="baseline"/>
        <w:rPr>
          <w:rFonts w:eastAsia="TimesNewRomanPSMT"/>
          <w:b/>
          <w:bCs/>
        </w:rPr>
      </w:pPr>
    </w:p>
    <w:p w14:paraId="4706EC04" w14:textId="77777777" w:rsidR="00AF0DCA" w:rsidRDefault="00AF0DCA" w:rsidP="00AF0DCA">
      <w:pPr>
        <w:spacing w:after="0" w:line="240" w:lineRule="auto"/>
        <w:jc w:val="center"/>
        <w:rPr>
          <w:rFonts w:eastAsia="TimesNewRomanPSMT"/>
          <w:lang w:val="pl-PL" w:eastAsia="zh-CN"/>
        </w:rPr>
      </w:pPr>
      <w:r>
        <w:rPr>
          <w:noProof/>
        </w:rPr>
        <w:drawing>
          <wp:inline distT="0" distB="0" distL="0" distR="0" wp14:anchorId="6F993F53" wp14:editId="651F463E">
            <wp:extent cx="5262245" cy="2793365"/>
            <wp:effectExtent l="0" t="0" r="0" b="0"/>
            <wp:docPr id="5" name="Obiekt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C3D1067" w14:textId="77777777" w:rsidR="00AF0DCA" w:rsidRDefault="00AF0DCA"/>
    <w:p w14:paraId="4E394030" w14:textId="77777777" w:rsidR="00AF0DCA" w:rsidRDefault="00AF0DCA" w:rsidP="00AF0DCA">
      <w:pPr>
        <w:pStyle w:val="NormalnyWeb"/>
        <w:spacing w:before="280" w:after="280"/>
        <w:jc w:val="center"/>
        <w:textAlignment w:val="baseline"/>
      </w:pPr>
      <w:r>
        <w:rPr>
          <w:bCs/>
        </w:rPr>
        <w:t>Chart 6.</w:t>
      </w:r>
      <w:r>
        <w:t xml:space="preserve"> Percentage distribution of the assessment of the risk of falling according to the Tinetti test </w:t>
      </w:r>
    </w:p>
    <w:p w14:paraId="05605EFD" w14:textId="77777777" w:rsidR="00AF0DCA" w:rsidRDefault="00AF0DCA" w:rsidP="00AF0DCA">
      <w:pPr>
        <w:pStyle w:val="NormalnyWeb"/>
        <w:spacing w:before="280" w:after="280"/>
        <w:jc w:val="center"/>
        <w:textAlignment w:val="baseline"/>
      </w:pPr>
    </w:p>
    <w:p w14:paraId="5D28B273" w14:textId="77777777" w:rsidR="00AF0DCA" w:rsidRDefault="00AF0DCA" w:rsidP="00AF0DCA">
      <w:pPr>
        <w:jc w:val="center"/>
        <w:rPr>
          <w:lang w:val="pl-PL"/>
        </w:rPr>
      </w:pPr>
      <w:r>
        <w:rPr>
          <w:noProof/>
        </w:rPr>
        <w:drawing>
          <wp:inline distT="0" distB="0" distL="0" distR="0" wp14:anchorId="7D52DBDC" wp14:editId="6EC99150">
            <wp:extent cx="4497070" cy="2256155"/>
            <wp:effectExtent l="0" t="0" r="0" b="0"/>
            <wp:docPr id="6" name="Obiekt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603E371" w14:textId="77777777" w:rsidR="00AF0DCA" w:rsidRDefault="00AF0DCA"/>
    <w:p w14:paraId="3E8BAA3D" w14:textId="77777777" w:rsidR="00AF0DCA" w:rsidRDefault="00AF0DCA" w:rsidP="00AF0DCA">
      <w:pPr>
        <w:spacing w:after="0" w:line="240" w:lineRule="auto"/>
        <w:jc w:val="center"/>
        <w:rPr>
          <w:bCs/>
        </w:rPr>
      </w:pPr>
    </w:p>
    <w:p w14:paraId="457DDF70" w14:textId="77777777" w:rsidR="00AF0DCA" w:rsidRDefault="00AF0DCA" w:rsidP="00AF0DCA">
      <w:pPr>
        <w:spacing w:after="0" w:line="240" w:lineRule="auto"/>
        <w:jc w:val="center"/>
        <w:rPr>
          <w:bCs/>
        </w:rPr>
      </w:pPr>
    </w:p>
    <w:p w14:paraId="387F2831" w14:textId="77777777" w:rsidR="00AF0DCA" w:rsidRDefault="00AF0DCA" w:rsidP="00AF0DCA">
      <w:pPr>
        <w:spacing w:after="0" w:line="240" w:lineRule="auto"/>
        <w:jc w:val="center"/>
        <w:rPr>
          <w:bCs/>
        </w:rPr>
      </w:pPr>
    </w:p>
    <w:p w14:paraId="03568ED1" w14:textId="77777777" w:rsidR="00AF0DCA" w:rsidRDefault="00AF0DCA" w:rsidP="00AF0DCA">
      <w:pPr>
        <w:spacing w:after="0" w:line="240" w:lineRule="auto"/>
        <w:jc w:val="center"/>
        <w:rPr>
          <w:bCs/>
        </w:rPr>
      </w:pPr>
    </w:p>
    <w:p w14:paraId="7B08370F" w14:textId="77777777" w:rsidR="00AF0DCA" w:rsidRDefault="00AF0DCA" w:rsidP="00AF0DCA">
      <w:pPr>
        <w:spacing w:after="0" w:line="240" w:lineRule="auto"/>
        <w:jc w:val="center"/>
        <w:rPr>
          <w:bCs/>
        </w:rPr>
      </w:pPr>
    </w:p>
    <w:p w14:paraId="5DF25AD4" w14:textId="2AB19E07" w:rsidR="00AF0DCA" w:rsidRDefault="00AF0DCA" w:rsidP="00AF0DCA">
      <w:pPr>
        <w:spacing w:after="0" w:line="240" w:lineRule="auto"/>
        <w:jc w:val="center"/>
        <w:rPr>
          <w:sz w:val="32"/>
          <w:szCs w:val="32"/>
        </w:rPr>
      </w:pPr>
      <w:r>
        <w:rPr>
          <w:bCs/>
        </w:rPr>
        <w:lastRenderedPageBreak/>
        <w:t>Chart 7.</w:t>
      </w:r>
      <w:r>
        <w:t xml:space="preserve"> Percentage distribution of the risk of falls according to the Tinetti test, divided into age groups</w:t>
      </w:r>
      <w:r>
        <w:rPr>
          <w:sz w:val="32"/>
          <w:szCs w:val="32"/>
        </w:rPr>
        <w:t xml:space="preserve"> </w:t>
      </w:r>
    </w:p>
    <w:p w14:paraId="35935ECB" w14:textId="77777777" w:rsidR="00AF0DCA" w:rsidRDefault="00AF0DCA" w:rsidP="00AF0DCA">
      <w:pPr>
        <w:spacing w:after="0" w:line="240" w:lineRule="auto"/>
        <w:jc w:val="center"/>
        <w:rPr>
          <w:sz w:val="16"/>
          <w:szCs w:val="16"/>
        </w:rPr>
      </w:pPr>
    </w:p>
    <w:p w14:paraId="71A85B2C" w14:textId="77777777" w:rsidR="00AF0DCA" w:rsidRDefault="00AF0DCA" w:rsidP="00AF0DCA">
      <w:pPr>
        <w:spacing w:after="0" w:line="240" w:lineRule="auto"/>
        <w:jc w:val="center"/>
        <w:rPr>
          <w:sz w:val="32"/>
          <w:szCs w:val="32"/>
          <w:lang w:val="pl-PL"/>
        </w:rPr>
      </w:pPr>
      <w:r>
        <w:rPr>
          <w:noProof/>
        </w:rPr>
        <w:drawing>
          <wp:inline distT="0" distB="0" distL="0" distR="0" wp14:anchorId="62BEA77C" wp14:editId="472C2DAB">
            <wp:extent cx="5354955" cy="2743200"/>
            <wp:effectExtent l="0" t="0" r="0" b="0"/>
            <wp:docPr id="7" name="Obiekt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0B07E84" w14:textId="77777777" w:rsidR="00AF0DCA" w:rsidRDefault="00AF0DCA"/>
    <w:p w14:paraId="0F63F695" w14:textId="77777777" w:rsidR="00AF0DCA" w:rsidRDefault="00AF0DCA" w:rsidP="00AF0DCA">
      <w:pPr>
        <w:spacing w:after="0" w:line="240" w:lineRule="auto"/>
        <w:jc w:val="center"/>
        <w:rPr>
          <w:lang w:val="pl-PL"/>
        </w:rPr>
      </w:pPr>
      <w:r>
        <w:rPr>
          <w:bCs/>
        </w:rPr>
        <w:t>Chart 8.</w:t>
      </w:r>
      <w:r>
        <w:t xml:space="preserve"> Risk of falls by gender. Percentage distribution</w:t>
      </w:r>
      <w:r>
        <w:rPr>
          <w:lang w:val="pl-PL"/>
        </w:rPr>
        <w:t xml:space="preserve"> </w:t>
      </w:r>
    </w:p>
    <w:p w14:paraId="08F76BAD" w14:textId="77777777" w:rsidR="00AF0DCA" w:rsidRDefault="00AF0DCA" w:rsidP="00AF0DCA">
      <w:pPr>
        <w:spacing w:after="0" w:line="240" w:lineRule="auto"/>
        <w:jc w:val="center"/>
        <w:rPr>
          <w:sz w:val="16"/>
          <w:szCs w:val="16"/>
          <w:lang w:val="pl-PL"/>
        </w:rPr>
      </w:pPr>
    </w:p>
    <w:p w14:paraId="16EA9282" w14:textId="77777777" w:rsidR="00AF0DCA" w:rsidRDefault="00AF0DCA" w:rsidP="00AF0DCA">
      <w:pPr>
        <w:spacing w:after="0" w:line="240" w:lineRule="auto"/>
        <w:jc w:val="center"/>
        <w:rPr>
          <w:lang w:val="pl-PL"/>
        </w:rPr>
      </w:pPr>
      <w:r>
        <w:rPr>
          <w:noProof/>
        </w:rPr>
        <w:drawing>
          <wp:inline distT="0" distB="0" distL="0" distR="0" wp14:anchorId="400343B8" wp14:editId="5849B00D">
            <wp:extent cx="4885055" cy="2658110"/>
            <wp:effectExtent l="0" t="0" r="0" b="0"/>
            <wp:docPr id="8" name="Obiekt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D6B7B3F" w14:textId="77777777" w:rsidR="00AF0DCA" w:rsidRDefault="00AF0DCA"/>
    <w:p w14:paraId="633BECA9" w14:textId="77777777" w:rsidR="00AF0DCA" w:rsidRDefault="00AF0DCA" w:rsidP="00AF0DCA">
      <w:pPr>
        <w:spacing w:line="240" w:lineRule="auto"/>
        <w:jc w:val="center"/>
        <w:rPr>
          <w:bCs/>
        </w:rPr>
      </w:pPr>
    </w:p>
    <w:p w14:paraId="607CB6DA" w14:textId="77777777" w:rsidR="00AF0DCA" w:rsidRDefault="00AF0DCA" w:rsidP="00AF0DCA">
      <w:pPr>
        <w:spacing w:line="240" w:lineRule="auto"/>
        <w:jc w:val="center"/>
        <w:rPr>
          <w:bCs/>
        </w:rPr>
      </w:pPr>
    </w:p>
    <w:p w14:paraId="5CDA6834" w14:textId="77777777" w:rsidR="00AF0DCA" w:rsidRDefault="00AF0DCA" w:rsidP="00AF0DCA">
      <w:pPr>
        <w:spacing w:line="240" w:lineRule="auto"/>
        <w:jc w:val="center"/>
        <w:rPr>
          <w:bCs/>
        </w:rPr>
      </w:pPr>
    </w:p>
    <w:p w14:paraId="43C7CB20" w14:textId="77777777" w:rsidR="00AF0DCA" w:rsidRDefault="00AF0DCA" w:rsidP="00AF0DCA">
      <w:pPr>
        <w:spacing w:line="240" w:lineRule="auto"/>
        <w:jc w:val="center"/>
        <w:rPr>
          <w:bCs/>
        </w:rPr>
      </w:pPr>
    </w:p>
    <w:p w14:paraId="3EDC82B8" w14:textId="77777777" w:rsidR="00AF0DCA" w:rsidRDefault="00AF0DCA" w:rsidP="00AF0DCA">
      <w:pPr>
        <w:spacing w:line="240" w:lineRule="auto"/>
        <w:jc w:val="center"/>
        <w:rPr>
          <w:bCs/>
        </w:rPr>
      </w:pPr>
    </w:p>
    <w:p w14:paraId="1D67BFD8" w14:textId="77777777" w:rsidR="00AF0DCA" w:rsidRDefault="00AF0DCA" w:rsidP="00AF0DCA">
      <w:pPr>
        <w:spacing w:line="240" w:lineRule="auto"/>
        <w:jc w:val="center"/>
        <w:rPr>
          <w:bCs/>
        </w:rPr>
      </w:pPr>
    </w:p>
    <w:p w14:paraId="0CFCF305" w14:textId="2C8FA2DD" w:rsidR="00AF0DCA" w:rsidRDefault="00AF0DCA" w:rsidP="00AF0DCA">
      <w:pPr>
        <w:spacing w:line="240" w:lineRule="auto"/>
        <w:jc w:val="center"/>
      </w:pPr>
      <w:r>
        <w:rPr>
          <w:bCs/>
        </w:rPr>
        <w:lastRenderedPageBreak/>
        <w:t xml:space="preserve">Chart 9. Numerical distribution of the risk of falls, divided by place of residence according to the Tinetti test </w:t>
      </w:r>
    </w:p>
    <w:p w14:paraId="5F03C0BC" w14:textId="77777777" w:rsidR="00AF0DCA" w:rsidRDefault="00AF0DCA" w:rsidP="00AF0DCA">
      <w:pPr>
        <w:spacing w:after="0" w:line="240" w:lineRule="auto"/>
        <w:rPr>
          <w:lang w:val="pl-PL"/>
        </w:rPr>
      </w:pPr>
      <w:r>
        <w:rPr>
          <w:noProof/>
        </w:rPr>
        <w:drawing>
          <wp:inline distT="0" distB="0" distL="0" distR="0" wp14:anchorId="2E05D5CC" wp14:editId="30E7C35C">
            <wp:extent cx="5062220" cy="3304540"/>
            <wp:effectExtent l="0" t="0" r="0" b="0"/>
            <wp:docPr id="9" name="Obiekt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103771A" w14:textId="77777777" w:rsidR="00AF0DCA" w:rsidRDefault="00AF0DCA"/>
    <w:p w14:paraId="53C39894" w14:textId="77777777" w:rsidR="00AF0DCA" w:rsidRDefault="00AF0DCA" w:rsidP="00AF0DCA">
      <w:pPr>
        <w:pStyle w:val="NormalnyWeb"/>
        <w:spacing w:before="280" w:after="280"/>
        <w:jc w:val="center"/>
        <w:textAlignment w:val="baseline"/>
        <w:rPr>
          <w:rFonts w:eastAsia="TimesNewRomanPSMT"/>
          <w:b/>
          <w:bCs/>
        </w:rPr>
      </w:pPr>
      <w:r>
        <w:rPr>
          <w:rFonts w:eastAsia="TimesNewRomanPSMT"/>
          <w:sz w:val="22"/>
          <w:szCs w:val="22"/>
        </w:rPr>
        <w:t>Chart 10</w:t>
      </w:r>
      <w:r>
        <w:rPr>
          <w:rFonts w:eastAsia="TimesNewRomanPSMT"/>
          <w:b/>
          <w:bCs/>
          <w:sz w:val="22"/>
          <w:szCs w:val="22"/>
        </w:rPr>
        <w:t xml:space="preserve">. </w:t>
      </w:r>
      <w:r>
        <w:rPr>
          <w:rFonts w:eastAsia="TimesNewRomanPSMT"/>
          <w:sz w:val="22"/>
          <w:szCs w:val="22"/>
        </w:rPr>
        <w:t>The level of risk of falling in seniors with a different residence status. Percentage distribution</w:t>
      </w:r>
      <w:r>
        <w:rPr>
          <w:rFonts w:eastAsia="TimesNewRomanPSMT"/>
          <w:b/>
          <w:bCs/>
          <w:sz w:val="22"/>
          <w:szCs w:val="22"/>
        </w:rPr>
        <w:t xml:space="preserve"> </w:t>
      </w:r>
    </w:p>
    <w:p w14:paraId="11C1430E" w14:textId="77777777" w:rsidR="00AF0DCA" w:rsidRDefault="00AF0DCA" w:rsidP="00AF0DCA">
      <w:pPr>
        <w:spacing w:after="0" w:line="240" w:lineRule="auto"/>
        <w:ind w:left="120" w:hanging="120"/>
        <w:rPr>
          <w:rFonts w:eastAsia="TimesNewRomanPSMT"/>
          <w:b/>
          <w:bCs/>
          <w:lang w:val="pl-PL" w:eastAsia="zh-CN"/>
        </w:rPr>
      </w:pPr>
    </w:p>
    <w:p w14:paraId="3E362908" w14:textId="77777777" w:rsidR="00AF0DCA" w:rsidRDefault="00AF0DCA" w:rsidP="00AF0DCA">
      <w:pPr>
        <w:spacing w:after="0" w:line="240" w:lineRule="auto"/>
        <w:ind w:left="120" w:hanging="120"/>
        <w:rPr>
          <w:rFonts w:eastAsia="TimesNewRomanPSMT"/>
          <w:b/>
          <w:bCs/>
          <w:lang w:val="pl-PL" w:eastAsia="zh-CN"/>
        </w:rPr>
      </w:pPr>
      <w:r>
        <w:rPr>
          <w:noProof/>
        </w:rPr>
        <w:drawing>
          <wp:inline distT="0" distB="0" distL="0" distR="0" wp14:anchorId="711BFAF4" wp14:editId="59774C37">
            <wp:extent cx="6330950" cy="2235200"/>
            <wp:effectExtent l="0" t="0" r="12700" b="12700"/>
            <wp:docPr id="10" name="Obiekt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ED0F38B" w14:textId="77777777" w:rsidR="00AF0DCA" w:rsidRDefault="00AF0DCA" w:rsidP="00AF0DCA">
      <w:pPr>
        <w:pStyle w:val="NormalnyWeb"/>
        <w:spacing w:before="280" w:after="280"/>
        <w:textAlignment w:val="baseline"/>
      </w:pPr>
      <w:r>
        <w:rPr>
          <w:rFonts w:eastAsia="Segoe UI"/>
          <w:shd w:val="clear" w:color="auto" w:fill="FFFFFF"/>
        </w:rPr>
        <w:t> </w:t>
      </w:r>
    </w:p>
    <w:p w14:paraId="3F0F9493" w14:textId="77777777" w:rsidR="00AF0DCA" w:rsidRDefault="00AF0DCA"/>
    <w:sectPr w:rsidR="00AF0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D3E"/>
    <w:rsid w:val="00151D3E"/>
    <w:rsid w:val="004A33EA"/>
    <w:rsid w:val="00AF0DCA"/>
    <w:rsid w:val="00F9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75A65"/>
  <w15:chartTrackingRefBased/>
  <w15:docId w15:val="{C5CADCF3-41C2-4E4B-99E9-152D6FF5A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1D3E"/>
    <w:pPr>
      <w:suppressAutoHyphens/>
      <w:spacing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en-US"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uiPriority w:val="99"/>
    <w:qFormat/>
    <w:rsid w:val="00151D3E"/>
    <w:pPr>
      <w:suppressAutoHyphens/>
      <w:spacing w:beforeAutospacing="1" w:after="0" w:afterAutospacing="1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theme" Target="theme/theme1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Seria1</c:v>
                </c:pt>
              </c:strCache>
            </c:strRef>
          </c:tx>
          <c:spPr>
            <a:solidFill>
              <a:srgbClr val="4472C4"/>
            </a:solidFill>
            <a:ln w="0">
              <a:noFill/>
            </a:ln>
          </c:spPr>
          <c:invertIfNegative val="0"/>
          <c:dLbls>
            <c:numFmt formatCode="0%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lang="pl-PL"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errBars>
            <c:errBarType val="both"/>
            <c:errValType val="stdErr"/>
            <c:noEndCap val="0"/>
            <c:spPr>
              <a:ln w="9360">
                <a:solidFill>
                  <a:srgbClr val="595959"/>
                </a:solidFill>
                <a:round/>
              </a:ln>
            </c:spPr>
          </c:errBars>
          <c:cat>
            <c:strRef>
              <c:f>Arkusz1!$A$2:$A$4</c:f>
              <c:strCache>
                <c:ptCount val="3"/>
                <c:pt idx="0">
                  <c:v>correct mobility &lt; 10 seconds</c:v>
                </c:pt>
                <c:pt idx="1">
                  <c:v>mobility limited to a small extent within the range of 10-18 seconds</c:v>
                </c:pt>
                <c:pt idx="2">
                  <c:v>mobility limited significantly &gt;/=19 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0.3</c:v>
                </c:pt>
                <c:pt idx="1">
                  <c:v>0.34</c:v>
                </c:pt>
                <c:pt idx="2">
                  <c:v>0.36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595-4528-9514-CFDFB8F861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4972443"/>
        <c:axId val="69685"/>
      </c:barChart>
      <c:catAx>
        <c:axId val="44972443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lang="pl-PL" sz="900" b="0" strike="noStrike" spc="-1">
                <a:solidFill>
                  <a:srgbClr val="595959"/>
                </a:solidFill>
                <a:latin typeface="Calibri"/>
              </a:defRPr>
            </a:pPr>
            <a:endParaRPr lang="pl-PL"/>
          </a:p>
        </c:txPr>
        <c:crossAx val="69685"/>
        <c:crosses val="autoZero"/>
        <c:auto val="1"/>
        <c:lblAlgn val="ctr"/>
        <c:lblOffset val="100"/>
        <c:noMultiLvlLbl val="0"/>
      </c:catAx>
      <c:valAx>
        <c:axId val="69685"/>
        <c:scaling>
          <c:orientation val="minMax"/>
        </c:scaling>
        <c:delete val="0"/>
        <c:axPos val="b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0%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lang="pl-PL" sz="900" b="0" strike="noStrike" spc="-1">
                <a:solidFill>
                  <a:srgbClr val="595959"/>
                </a:solidFill>
                <a:latin typeface="Calibri"/>
              </a:defRPr>
            </a:pPr>
            <a:endParaRPr lang="pl-PL"/>
          </a:p>
        </c:txPr>
        <c:crossAx val="44972443"/>
        <c:crosses val="autoZero"/>
        <c:crossBetween val="between"/>
      </c:valAx>
      <c:spPr>
        <a:noFill/>
        <a:ln w="0">
          <a:noFill/>
        </a:ln>
      </c:spPr>
    </c:plotArea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living alone</c:v>
                </c:pt>
              </c:strCache>
            </c:strRef>
          </c:tx>
          <c:spPr>
            <a:solidFill>
              <a:srgbClr val="4472C4"/>
            </a:solidFill>
            <a:ln w="0">
              <a:noFill/>
            </a:ln>
          </c:spPr>
          <c:invertIfNegative val="0"/>
          <c:dLbls>
            <c:numFmt formatCode="0%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lang="pl-PL"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Arkusz1!$A$2:$A$4</c:f>
              <c:strCache>
                <c:ptCount val="3"/>
                <c:pt idx="0">
                  <c:v>functional disorders and a high risk of falling</c:v>
                </c:pt>
                <c:pt idx="1">
                  <c:v>prone to falling  </c:v>
                </c:pt>
                <c:pt idx="2">
                  <c:v>correct efficiency and no risk of falling 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0.41</c:v>
                </c:pt>
                <c:pt idx="1">
                  <c:v>0.12</c:v>
                </c:pt>
                <c:pt idx="2">
                  <c:v>0.47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F0-4F62-B816-4821C37C9CD2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living with family</c:v>
                </c:pt>
              </c:strCache>
            </c:strRef>
          </c:tx>
          <c:spPr>
            <a:solidFill>
              <a:srgbClr val="ED7D31"/>
            </a:solidFill>
            <a:ln w="0">
              <a:noFill/>
            </a:ln>
          </c:spPr>
          <c:invertIfNegative val="0"/>
          <c:dLbls>
            <c:numFmt formatCode="0%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lang="pl-PL"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Arkusz1!$A$2:$A$4</c:f>
              <c:strCache>
                <c:ptCount val="3"/>
                <c:pt idx="0">
                  <c:v>functional disorders and a high risk of falling</c:v>
                </c:pt>
                <c:pt idx="1">
                  <c:v>prone to falling  </c:v>
                </c:pt>
                <c:pt idx="2">
                  <c:v>correct efficiency and no risk of falling </c:v>
                </c:pt>
              </c:strCache>
            </c:strRef>
          </c:cat>
          <c:val>
            <c:numRef>
              <c:f>Arkusz1!$C$2:$C$4</c:f>
              <c:numCache>
                <c:formatCode>General</c:formatCode>
                <c:ptCount val="3"/>
                <c:pt idx="0">
                  <c:v>0.57999999999999996</c:v>
                </c:pt>
                <c:pt idx="1">
                  <c:v>0.14000000000000001</c:v>
                </c:pt>
                <c:pt idx="2">
                  <c:v>0.28000000000000003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8F0-4F62-B816-4821C37C9C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2673909"/>
        <c:axId val="6649952"/>
      </c:barChart>
      <c:catAx>
        <c:axId val="42673909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lang="pl-PL" sz="900" b="0" strike="noStrike" spc="-1">
                <a:solidFill>
                  <a:srgbClr val="595959"/>
                </a:solidFill>
                <a:latin typeface="Calibri"/>
              </a:defRPr>
            </a:pPr>
            <a:endParaRPr lang="pl-PL"/>
          </a:p>
        </c:txPr>
        <c:crossAx val="6649952"/>
        <c:crosses val="autoZero"/>
        <c:auto val="1"/>
        <c:lblAlgn val="ctr"/>
        <c:lblOffset val="100"/>
        <c:noMultiLvlLbl val="0"/>
      </c:catAx>
      <c:valAx>
        <c:axId val="6649952"/>
        <c:scaling>
          <c:orientation val="minMax"/>
        </c:scaling>
        <c:delete val="0"/>
        <c:axPos val="b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0%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lang="pl-PL" sz="900" b="0" strike="noStrike" spc="-1">
                <a:solidFill>
                  <a:srgbClr val="595959"/>
                </a:solidFill>
                <a:latin typeface="Calibri"/>
              </a:defRPr>
            </a:pPr>
            <a:endParaRPr lang="pl-PL"/>
          </a:p>
        </c:txPr>
        <c:crossAx val="42673909"/>
        <c:crosses val="autoZero"/>
        <c:crossBetween val="between"/>
      </c:valAx>
      <c:dTable>
        <c:showHorzBorder val="1"/>
        <c:showVertBorder val="1"/>
        <c:showOutline val="1"/>
        <c:showKeys val="1"/>
      </c:dTable>
      <c:spPr>
        <a:noFill/>
        <a:ln w="0">
          <a:noFill/>
        </a:ln>
      </c:spPr>
    </c:plotArea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60 - 65 yo.</c:v>
                </c:pt>
              </c:strCache>
            </c:strRef>
          </c:tx>
          <c:spPr>
            <a:solidFill>
              <a:srgbClr val="4472C4"/>
            </a:solidFill>
            <a:ln w="0">
              <a:noFill/>
            </a:ln>
          </c:spPr>
          <c:invertIfNegative val="0"/>
          <c:dLbls>
            <c:numFmt formatCode="0%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lang="pl-PL"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Arkusz1!$A$2:$A$4</c:f>
              <c:strCache>
                <c:ptCount val="3"/>
                <c:pt idx="0">
                  <c:v>correct mobility &lt; 10 seconds</c:v>
                </c:pt>
                <c:pt idx="1">
                  <c:v>mobility limited to a small extent within the range of 10-18 seconds</c:v>
                </c:pt>
                <c:pt idx="2">
                  <c:v>mobility limited significantly &gt;/=19 seconds 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0.63</c:v>
                </c:pt>
                <c:pt idx="1">
                  <c:v>0.3</c:v>
                </c:pt>
                <c:pt idx="2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BB-4F31-940E-EA3B07A13A23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66 - 75 yo.</c:v>
                </c:pt>
              </c:strCache>
            </c:strRef>
          </c:tx>
          <c:spPr>
            <a:solidFill>
              <a:srgbClr val="ED7D31"/>
            </a:solidFill>
            <a:ln w="0">
              <a:noFill/>
            </a:ln>
          </c:spPr>
          <c:invertIfNegative val="0"/>
          <c:dLbls>
            <c:numFmt formatCode="0%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lang="pl-PL"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Arkusz1!$A$2:$A$4</c:f>
              <c:strCache>
                <c:ptCount val="3"/>
                <c:pt idx="0">
                  <c:v>correct mobility &lt; 10 seconds</c:v>
                </c:pt>
                <c:pt idx="1">
                  <c:v>mobility limited to a small extent within the range of 10-18 seconds</c:v>
                </c:pt>
                <c:pt idx="2">
                  <c:v>mobility limited significantly &gt;/=19 seconds </c:v>
                </c:pt>
              </c:strCache>
            </c:strRef>
          </c:cat>
          <c:val>
            <c:numRef>
              <c:f>Arkusz1!$C$2:$C$4</c:f>
              <c:numCache>
                <c:formatCode>General</c:formatCode>
                <c:ptCount val="3"/>
                <c:pt idx="0">
                  <c:v>0.32</c:v>
                </c:pt>
                <c:pt idx="1">
                  <c:v>0.41</c:v>
                </c:pt>
                <c:pt idx="2">
                  <c:v>0.27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BBB-4F31-940E-EA3B07A13A23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over 75 yo. </c:v>
                </c:pt>
              </c:strCache>
            </c:strRef>
          </c:tx>
          <c:spPr>
            <a:solidFill>
              <a:srgbClr val="A5A5A5"/>
            </a:solidFill>
            <a:ln w="0">
              <a:noFill/>
            </a:ln>
          </c:spPr>
          <c:invertIfNegative val="0"/>
          <c:dLbls>
            <c:numFmt formatCode="0%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lang="pl-PL"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Arkusz1!$A$2:$A$4</c:f>
              <c:strCache>
                <c:ptCount val="3"/>
                <c:pt idx="0">
                  <c:v>correct mobility &lt; 10 seconds</c:v>
                </c:pt>
                <c:pt idx="1">
                  <c:v>mobility limited to a small extent within the range of 10-18 seconds</c:v>
                </c:pt>
                <c:pt idx="2">
                  <c:v>mobility limited significantly &gt;/=19 seconds </c:v>
                </c:pt>
              </c:strCache>
            </c:strRef>
          </c:cat>
          <c:val>
            <c:numRef>
              <c:f>Arkusz1!$D$2:$D$4</c:f>
              <c:numCache>
                <c:formatCode>General</c:formatCode>
                <c:ptCount val="3"/>
                <c:pt idx="0">
                  <c:v>0.03</c:v>
                </c:pt>
                <c:pt idx="1">
                  <c:v>0.3</c:v>
                </c:pt>
                <c:pt idx="2">
                  <c:v>0.67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BBB-4F31-940E-EA3B07A13A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2783838"/>
        <c:axId val="14911480"/>
      </c:barChart>
      <c:catAx>
        <c:axId val="72783838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lang="pl-PL" sz="900" b="0" strike="noStrike" spc="-1">
                <a:solidFill>
                  <a:srgbClr val="595959"/>
                </a:solidFill>
                <a:latin typeface="Calibri"/>
              </a:defRPr>
            </a:pPr>
            <a:endParaRPr lang="pl-PL"/>
          </a:p>
        </c:txPr>
        <c:crossAx val="14911480"/>
        <c:crosses val="autoZero"/>
        <c:auto val="1"/>
        <c:lblAlgn val="ctr"/>
        <c:lblOffset val="100"/>
        <c:noMultiLvlLbl val="0"/>
      </c:catAx>
      <c:valAx>
        <c:axId val="14911480"/>
        <c:scaling>
          <c:orientation val="minMax"/>
        </c:scaling>
        <c:delete val="0"/>
        <c:axPos val="b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0%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lang="pl-PL" sz="900" b="0" strike="noStrike" spc="-1">
                <a:solidFill>
                  <a:srgbClr val="595959"/>
                </a:solidFill>
                <a:latin typeface="Calibri"/>
              </a:defRPr>
            </a:pPr>
            <a:endParaRPr lang="pl-PL"/>
          </a:p>
        </c:txPr>
        <c:crossAx val="72783838"/>
        <c:crosses val="autoZero"/>
        <c:crossBetween val="between"/>
      </c:valAx>
      <c:dTable>
        <c:showHorzBorder val="1"/>
        <c:showVertBorder val="1"/>
        <c:showOutline val="1"/>
        <c:showKeys val="1"/>
      </c:dTable>
      <c:spPr>
        <a:noFill/>
        <a:ln w="0">
          <a:noFill/>
        </a:ln>
      </c:spPr>
    </c:plotArea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female</c:v>
                </c:pt>
              </c:strCache>
            </c:strRef>
          </c:tx>
          <c:spPr>
            <a:solidFill>
              <a:srgbClr val="4472C4"/>
            </a:solidFill>
            <a:ln w="0">
              <a:noFill/>
            </a:ln>
          </c:spPr>
          <c:invertIfNegative val="0"/>
          <c:dLbls>
            <c:numFmt formatCode="0%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lang="pl-PL"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Arkusz1!$A$2:$A$4</c:f>
              <c:strCache>
                <c:ptCount val="3"/>
                <c:pt idx="0">
                  <c:v>correct mobility &lt; 10 seconds</c:v>
                </c:pt>
                <c:pt idx="1">
                  <c:v>mobility limited to a small extent within the range of 10-18 seconds</c:v>
                </c:pt>
                <c:pt idx="2">
                  <c:v>mobility limited significantly &gt;/=19 seconds 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0.3</c:v>
                </c:pt>
                <c:pt idx="1">
                  <c:v>0.42</c:v>
                </c:pt>
                <c:pt idx="2">
                  <c:v>0.28000000000000003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EED-4DAD-9AD3-B41E0B74F75F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male</c:v>
                </c:pt>
              </c:strCache>
            </c:strRef>
          </c:tx>
          <c:spPr>
            <a:solidFill>
              <a:srgbClr val="ED7D31"/>
            </a:solidFill>
            <a:ln w="0">
              <a:noFill/>
            </a:ln>
          </c:spPr>
          <c:invertIfNegative val="0"/>
          <c:dLbls>
            <c:numFmt formatCode="0%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lang="pl-PL"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Arkusz1!$A$2:$A$4</c:f>
              <c:strCache>
                <c:ptCount val="3"/>
                <c:pt idx="0">
                  <c:v>correct mobility &lt; 10 seconds</c:v>
                </c:pt>
                <c:pt idx="1">
                  <c:v>mobility limited to a small extent within the range of 10-18 seconds</c:v>
                </c:pt>
                <c:pt idx="2">
                  <c:v>mobility limited significantly &gt;/=19 seconds </c:v>
                </c:pt>
              </c:strCache>
            </c:strRef>
          </c:cat>
          <c:val>
            <c:numRef>
              <c:f>Arkusz1!$C$2:$C$4</c:f>
              <c:numCache>
                <c:formatCode>General</c:formatCode>
                <c:ptCount val="3"/>
                <c:pt idx="0">
                  <c:v>0.3</c:v>
                </c:pt>
                <c:pt idx="1">
                  <c:v>0.23</c:v>
                </c:pt>
                <c:pt idx="2">
                  <c:v>0.47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ED-4DAD-9AD3-B41E0B74F7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6831746"/>
        <c:axId val="99122998"/>
      </c:barChart>
      <c:catAx>
        <c:axId val="16831746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lang="pl-PL" sz="900" b="0" strike="noStrike" spc="-1">
                <a:solidFill>
                  <a:srgbClr val="595959"/>
                </a:solidFill>
                <a:latin typeface="Calibri"/>
              </a:defRPr>
            </a:pPr>
            <a:endParaRPr lang="pl-PL"/>
          </a:p>
        </c:txPr>
        <c:crossAx val="99122998"/>
        <c:crosses val="autoZero"/>
        <c:auto val="1"/>
        <c:lblAlgn val="ctr"/>
        <c:lblOffset val="100"/>
        <c:noMultiLvlLbl val="0"/>
      </c:catAx>
      <c:valAx>
        <c:axId val="99122998"/>
        <c:scaling>
          <c:orientation val="minMax"/>
        </c:scaling>
        <c:delete val="0"/>
        <c:axPos val="b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0%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lang="pl-PL" sz="900" b="0" strike="noStrike" spc="-1">
                <a:solidFill>
                  <a:srgbClr val="595959"/>
                </a:solidFill>
                <a:latin typeface="Calibri"/>
              </a:defRPr>
            </a:pPr>
            <a:endParaRPr lang="pl-PL"/>
          </a:p>
        </c:txPr>
        <c:crossAx val="16831746"/>
        <c:crosses val="autoZero"/>
        <c:crossBetween val="between"/>
      </c:valAx>
      <c:dTable>
        <c:showHorzBorder val="1"/>
        <c:showVertBorder val="1"/>
        <c:showOutline val="1"/>
        <c:showKeys val="1"/>
      </c:dTable>
      <c:spPr>
        <a:noFill/>
        <a:ln w="0">
          <a:noFill/>
        </a:ln>
      </c:spPr>
    </c:plotArea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medium town 20 - 100k</c:v>
                </c:pt>
              </c:strCache>
            </c:strRef>
          </c:tx>
          <c:spPr>
            <a:solidFill>
              <a:srgbClr val="4472C4"/>
            </a:solidFill>
            <a:ln w="0">
              <a:noFill/>
            </a:ln>
          </c:spPr>
          <c:invertIfNegative val="0"/>
          <c:dLbls>
            <c:numFmt formatCode="0%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lang="pl-PL"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Arkusz1!$A$2:$A$4</c:f>
              <c:strCache>
                <c:ptCount val="3"/>
                <c:pt idx="0">
                  <c:v> &lt; 10s</c:v>
                </c:pt>
                <c:pt idx="1">
                  <c:v>10 - 18s</c:v>
                </c:pt>
                <c:pt idx="2">
                  <c:v>&gt;/= 19s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0.36</c:v>
                </c:pt>
                <c:pt idx="1">
                  <c:v>0.37</c:v>
                </c:pt>
                <c:pt idx="2">
                  <c:v>0.27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66-46F3-8E80-93C6DB8EE10D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small town &lt; 20k</c:v>
                </c:pt>
              </c:strCache>
            </c:strRef>
          </c:tx>
          <c:spPr>
            <a:solidFill>
              <a:srgbClr val="ED7D31"/>
            </a:solidFill>
            <a:ln w="0">
              <a:noFill/>
            </a:ln>
          </c:spPr>
          <c:invertIfNegative val="0"/>
          <c:dLbls>
            <c:numFmt formatCode="0%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lang="pl-PL"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Arkusz1!$A$2:$A$4</c:f>
              <c:strCache>
                <c:ptCount val="3"/>
                <c:pt idx="0">
                  <c:v> &lt; 10s</c:v>
                </c:pt>
                <c:pt idx="1">
                  <c:v>10 - 18s</c:v>
                </c:pt>
                <c:pt idx="2">
                  <c:v>&gt;/= 19s</c:v>
                </c:pt>
              </c:strCache>
            </c:strRef>
          </c:cat>
          <c:val>
            <c:numRef>
              <c:f>Arkusz1!$C$2:$C$4</c:f>
              <c:numCache>
                <c:formatCode>General</c:formatCode>
                <c:ptCount val="3"/>
                <c:pt idx="0">
                  <c:v>0.28000000000000003</c:v>
                </c:pt>
                <c:pt idx="1">
                  <c:v>0.28999999999999998</c:v>
                </c:pt>
                <c:pt idx="2">
                  <c:v>0.43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66-46F3-8E80-93C6DB8EE10D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village</c:v>
                </c:pt>
              </c:strCache>
            </c:strRef>
          </c:tx>
          <c:spPr>
            <a:solidFill>
              <a:srgbClr val="A5A5A5"/>
            </a:solidFill>
            <a:ln w="0">
              <a:noFill/>
            </a:ln>
          </c:spPr>
          <c:invertIfNegative val="0"/>
          <c:dLbls>
            <c:numFmt formatCode="0%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lang="pl-PL"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Arkusz1!$A$2:$A$4</c:f>
              <c:strCache>
                <c:ptCount val="3"/>
                <c:pt idx="0">
                  <c:v> &lt; 10s</c:v>
                </c:pt>
                <c:pt idx="1">
                  <c:v>10 - 18s</c:v>
                </c:pt>
                <c:pt idx="2">
                  <c:v>&gt;/= 19s</c:v>
                </c:pt>
              </c:strCache>
            </c:strRef>
          </c:cat>
          <c:val>
            <c:numRef>
              <c:f>Arkusz1!$D$2:$D$4</c:f>
              <c:numCache>
                <c:formatCode>General</c:formatCode>
                <c:ptCount val="3"/>
                <c:pt idx="0">
                  <c:v>0.14000000000000001</c:v>
                </c:pt>
                <c:pt idx="1">
                  <c:v>0.33</c:v>
                </c:pt>
                <c:pt idx="2">
                  <c:v>0.45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B66-46F3-8E80-93C6DB8EE1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9588841"/>
        <c:axId val="70428919"/>
      </c:barChart>
      <c:catAx>
        <c:axId val="89588841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lang="pl-PL" sz="900" b="0" strike="noStrike" spc="-1">
                <a:solidFill>
                  <a:srgbClr val="595959"/>
                </a:solidFill>
                <a:latin typeface="Calibri"/>
              </a:defRPr>
            </a:pPr>
            <a:endParaRPr lang="pl-PL"/>
          </a:p>
        </c:txPr>
        <c:crossAx val="70428919"/>
        <c:crosses val="autoZero"/>
        <c:auto val="1"/>
        <c:lblAlgn val="ctr"/>
        <c:lblOffset val="100"/>
        <c:noMultiLvlLbl val="0"/>
      </c:catAx>
      <c:valAx>
        <c:axId val="70428919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0%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lang="pl-PL" sz="900" b="0" strike="noStrike" spc="-1">
                <a:solidFill>
                  <a:srgbClr val="595959"/>
                </a:solidFill>
                <a:latin typeface="Calibri"/>
              </a:defRPr>
            </a:pPr>
            <a:endParaRPr lang="pl-PL"/>
          </a:p>
        </c:txPr>
        <c:crossAx val="89588841"/>
        <c:crosses val="autoZero"/>
        <c:crossBetween val="between"/>
      </c:valAx>
      <c:dTable>
        <c:showHorzBorder val="1"/>
        <c:showVertBorder val="1"/>
        <c:showOutline val="1"/>
        <c:showKeys val="1"/>
      </c:dTable>
      <c:spPr>
        <a:noFill/>
        <a:ln w="0">
          <a:noFill/>
        </a:ln>
      </c:spPr>
    </c:plotArea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living alone</c:v>
                </c:pt>
              </c:strCache>
            </c:strRef>
          </c:tx>
          <c:spPr>
            <a:solidFill>
              <a:srgbClr val="4472C4"/>
            </a:solidFill>
            <a:ln w="0">
              <a:noFill/>
            </a:ln>
          </c:spPr>
          <c:invertIfNegative val="0"/>
          <c:dLbls>
            <c:numFmt formatCode="0%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lang="pl-PL"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Arkusz1!$A$2:$A$4</c:f>
              <c:strCache>
                <c:ptCount val="3"/>
                <c:pt idx="0">
                  <c:v>correct mobility &lt; 10 seconds</c:v>
                </c:pt>
                <c:pt idx="1">
                  <c:v>mobility limited to a small extent within the range of 10-18 seconds</c:v>
                </c:pt>
                <c:pt idx="2">
                  <c:v>mobility limited significantly &gt;/=19 seconds 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0.41</c:v>
                </c:pt>
                <c:pt idx="1">
                  <c:v>0.34</c:v>
                </c:pt>
                <c:pt idx="2">
                  <c:v>0.25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77-42C8-9975-39DEA28BA00C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living with family</c:v>
                </c:pt>
              </c:strCache>
            </c:strRef>
          </c:tx>
          <c:spPr>
            <a:solidFill>
              <a:srgbClr val="ED7D31"/>
            </a:solidFill>
            <a:ln w="0">
              <a:noFill/>
            </a:ln>
          </c:spPr>
          <c:invertIfNegative val="0"/>
          <c:dLbls>
            <c:numFmt formatCode="0%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lang="pl-PL"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Arkusz1!$A$2:$A$4</c:f>
              <c:strCache>
                <c:ptCount val="3"/>
                <c:pt idx="0">
                  <c:v>correct mobility &lt; 10 seconds</c:v>
                </c:pt>
                <c:pt idx="1">
                  <c:v>mobility limited to a small extent within the range of 10-18 seconds</c:v>
                </c:pt>
                <c:pt idx="2">
                  <c:v>mobility limited significantly &gt;/=19 seconds </c:v>
                </c:pt>
              </c:strCache>
            </c:strRef>
          </c:cat>
          <c:val>
            <c:numRef>
              <c:f>Arkusz1!$C$2:$C$4</c:f>
              <c:numCache>
                <c:formatCode>General</c:formatCode>
                <c:ptCount val="3"/>
                <c:pt idx="0">
                  <c:v>0.27</c:v>
                </c:pt>
                <c:pt idx="1">
                  <c:v>0.33</c:v>
                </c:pt>
                <c:pt idx="2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077-42C8-9975-39DEA28BA0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1550750"/>
        <c:axId val="8101994"/>
      </c:barChart>
      <c:catAx>
        <c:axId val="51550750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lang="pl-PL" sz="900" b="0" strike="noStrike" spc="-1">
                <a:solidFill>
                  <a:srgbClr val="595959"/>
                </a:solidFill>
                <a:latin typeface="Calibri"/>
              </a:defRPr>
            </a:pPr>
            <a:endParaRPr lang="pl-PL"/>
          </a:p>
        </c:txPr>
        <c:crossAx val="8101994"/>
        <c:crosses val="autoZero"/>
        <c:auto val="1"/>
        <c:lblAlgn val="ctr"/>
        <c:lblOffset val="100"/>
        <c:noMultiLvlLbl val="0"/>
      </c:catAx>
      <c:valAx>
        <c:axId val="8101994"/>
        <c:scaling>
          <c:orientation val="minMax"/>
        </c:scaling>
        <c:delete val="0"/>
        <c:axPos val="b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0%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lang="pl-PL" sz="900" b="0" strike="noStrike" spc="-1">
                <a:solidFill>
                  <a:srgbClr val="595959"/>
                </a:solidFill>
                <a:latin typeface="Calibri"/>
              </a:defRPr>
            </a:pPr>
            <a:endParaRPr lang="pl-PL"/>
          </a:p>
        </c:txPr>
        <c:crossAx val="51550750"/>
        <c:crosses val="autoZero"/>
        <c:crossBetween val="between"/>
      </c:valAx>
      <c:dTable>
        <c:showHorzBorder val="1"/>
        <c:showVertBorder val="1"/>
        <c:showOutline val="1"/>
        <c:showKeys val="1"/>
      </c:dTable>
      <c:spPr>
        <a:noFill/>
        <a:ln w="0">
          <a:noFill/>
        </a:ln>
      </c:spPr>
    </c:plotArea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Seria1</c:v>
                </c:pt>
              </c:strCache>
            </c:strRef>
          </c:tx>
          <c:spPr>
            <a:solidFill>
              <a:srgbClr val="4472C4"/>
            </a:solidFill>
            <a:ln w="0">
              <a:noFill/>
            </a:ln>
          </c:spPr>
          <c:invertIfNegative val="0"/>
          <c:dLbls>
            <c:numFmt formatCode="0%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lang="pl-PL"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errBars>
            <c:errBarType val="both"/>
            <c:errValType val="stdErr"/>
            <c:noEndCap val="0"/>
            <c:spPr>
              <a:ln w="9360">
                <a:solidFill>
                  <a:srgbClr val="595959"/>
                </a:solidFill>
                <a:round/>
              </a:ln>
            </c:spPr>
          </c:errBars>
          <c:cat>
            <c:strRef>
              <c:f>Arkusz1!$A$2:$A$4</c:f>
              <c:strCache>
                <c:ptCount val="3"/>
                <c:pt idx="0">
                  <c:v>functional disorders and a high risk of falling</c:v>
                </c:pt>
                <c:pt idx="1">
                  <c:v>prone to falling </c:v>
                </c:pt>
                <c:pt idx="2">
                  <c:v>correct efficiency and no risk of falling 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0.53</c:v>
                </c:pt>
                <c:pt idx="1">
                  <c:v>0.14000000000000001</c:v>
                </c:pt>
                <c:pt idx="2">
                  <c:v>0.33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F0-4D47-B284-7EB5E8D852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71409769"/>
        <c:axId val="21988840"/>
      </c:barChart>
      <c:catAx>
        <c:axId val="71409769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lang="pl-PL" sz="900" b="0" strike="noStrike" spc="-1">
                <a:solidFill>
                  <a:srgbClr val="595959"/>
                </a:solidFill>
                <a:latin typeface="Calibri"/>
              </a:defRPr>
            </a:pPr>
            <a:endParaRPr lang="pl-PL"/>
          </a:p>
        </c:txPr>
        <c:crossAx val="21988840"/>
        <c:crosses val="autoZero"/>
        <c:auto val="1"/>
        <c:lblAlgn val="ctr"/>
        <c:lblOffset val="100"/>
        <c:noMultiLvlLbl val="0"/>
      </c:catAx>
      <c:valAx>
        <c:axId val="21988840"/>
        <c:scaling>
          <c:orientation val="minMax"/>
        </c:scaling>
        <c:delete val="0"/>
        <c:axPos val="b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0%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lang="pl-PL" sz="900" b="0" strike="noStrike" spc="-1">
                <a:solidFill>
                  <a:srgbClr val="595959"/>
                </a:solidFill>
                <a:latin typeface="Calibri"/>
              </a:defRPr>
            </a:pPr>
            <a:endParaRPr lang="pl-PL"/>
          </a:p>
        </c:txPr>
        <c:crossAx val="71409769"/>
        <c:crosses val="autoZero"/>
        <c:crossBetween val="between"/>
      </c:valAx>
      <c:spPr>
        <a:noFill/>
        <a:ln w="0">
          <a:noFill/>
        </a:ln>
      </c:spPr>
    </c:plotArea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60 - 65 yo.</c:v>
                </c:pt>
              </c:strCache>
            </c:strRef>
          </c:tx>
          <c:spPr>
            <a:solidFill>
              <a:srgbClr val="4472C4"/>
            </a:solidFill>
            <a:ln w="0">
              <a:noFill/>
            </a:ln>
          </c:spPr>
          <c:invertIfNegative val="0"/>
          <c:dLbls>
            <c:numFmt formatCode="0%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lang="pl-PL"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Arkusz1!$A$2:$A$4</c:f>
              <c:strCache>
                <c:ptCount val="3"/>
                <c:pt idx="0">
                  <c:v>high risk of falling </c:v>
                </c:pt>
                <c:pt idx="1">
                  <c:v>prone to falling </c:v>
                </c:pt>
                <c:pt idx="2">
                  <c:v>no risk of falling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0.15</c:v>
                </c:pt>
                <c:pt idx="1">
                  <c:v>0.15</c:v>
                </c:pt>
                <c:pt idx="2">
                  <c:v>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494-49FC-9E97-FDE72735587A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66 - 75 yo.</c:v>
                </c:pt>
              </c:strCache>
            </c:strRef>
          </c:tx>
          <c:spPr>
            <a:solidFill>
              <a:srgbClr val="ED7D31"/>
            </a:solidFill>
            <a:ln w="0">
              <a:noFill/>
            </a:ln>
          </c:spPr>
          <c:invertIfNegative val="0"/>
          <c:dLbls>
            <c:numFmt formatCode="0%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lang="pl-PL"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Arkusz1!$A$2:$A$4</c:f>
              <c:strCache>
                <c:ptCount val="3"/>
                <c:pt idx="0">
                  <c:v>high risk of falling </c:v>
                </c:pt>
                <c:pt idx="1">
                  <c:v>prone to falling </c:v>
                </c:pt>
                <c:pt idx="2">
                  <c:v>no risk of falling</c:v>
                </c:pt>
              </c:strCache>
            </c:strRef>
          </c:cat>
          <c:val>
            <c:numRef>
              <c:f>Arkusz1!$C$2:$C$4</c:f>
              <c:numCache>
                <c:formatCode>General</c:formatCode>
                <c:ptCount val="3"/>
                <c:pt idx="0">
                  <c:v>0.55000000000000004</c:v>
                </c:pt>
                <c:pt idx="1">
                  <c:v>0.17</c:v>
                </c:pt>
                <c:pt idx="2">
                  <c:v>0.32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494-49FC-9E97-FDE72735587A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over 75 yo.</c:v>
                </c:pt>
              </c:strCache>
            </c:strRef>
          </c:tx>
          <c:spPr>
            <a:solidFill>
              <a:srgbClr val="A5A5A5"/>
            </a:solidFill>
            <a:ln w="0">
              <a:noFill/>
            </a:ln>
          </c:spPr>
          <c:invertIfNegative val="0"/>
          <c:dLbls>
            <c:numFmt formatCode="0%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lang="pl-PL"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Arkusz1!$A$2:$A$4</c:f>
              <c:strCache>
                <c:ptCount val="3"/>
                <c:pt idx="0">
                  <c:v>high risk of falling </c:v>
                </c:pt>
                <c:pt idx="1">
                  <c:v>prone to falling </c:v>
                </c:pt>
                <c:pt idx="2">
                  <c:v>no risk of falling</c:v>
                </c:pt>
              </c:strCache>
            </c:strRef>
          </c:cat>
          <c:val>
            <c:numRef>
              <c:f>Arkusz1!$D$2:$D$4</c:f>
              <c:numCache>
                <c:formatCode>General</c:formatCode>
                <c:ptCount val="3"/>
                <c:pt idx="0">
                  <c:v>0.84</c:v>
                </c:pt>
                <c:pt idx="1">
                  <c:v>0.1</c:v>
                </c:pt>
                <c:pt idx="2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494-49FC-9E97-FDE7273558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9568916"/>
        <c:axId val="21330521"/>
      </c:barChart>
      <c:catAx>
        <c:axId val="5956891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lang="pl-PL" sz="900" b="0" strike="noStrike" spc="-1">
                <a:solidFill>
                  <a:srgbClr val="595959"/>
                </a:solidFill>
                <a:latin typeface="Calibri"/>
              </a:defRPr>
            </a:pPr>
            <a:endParaRPr lang="pl-PL"/>
          </a:p>
        </c:txPr>
        <c:crossAx val="21330521"/>
        <c:crosses val="autoZero"/>
        <c:auto val="1"/>
        <c:lblAlgn val="ctr"/>
        <c:lblOffset val="100"/>
        <c:noMultiLvlLbl val="0"/>
      </c:catAx>
      <c:valAx>
        <c:axId val="21330521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0%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lang="pl-PL" sz="900" b="0" strike="noStrike" spc="-1">
                <a:solidFill>
                  <a:srgbClr val="595959"/>
                </a:solidFill>
                <a:latin typeface="Calibri"/>
              </a:defRPr>
            </a:pPr>
            <a:endParaRPr lang="pl-PL"/>
          </a:p>
        </c:txPr>
        <c:crossAx val="59568916"/>
        <c:crosses val="autoZero"/>
        <c:crossBetween val="between"/>
      </c:valAx>
      <c:dTable>
        <c:showHorzBorder val="1"/>
        <c:showVertBorder val="1"/>
        <c:showOutline val="1"/>
        <c:showKeys val="1"/>
      </c:dTable>
      <c:spPr>
        <a:noFill/>
        <a:ln w="0">
          <a:noFill/>
        </a:ln>
      </c:spPr>
    </c:plotArea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female</c:v>
                </c:pt>
              </c:strCache>
            </c:strRef>
          </c:tx>
          <c:spPr>
            <a:solidFill>
              <a:srgbClr val="4472C4"/>
            </a:solidFill>
            <a:ln w="0">
              <a:noFill/>
            </a:ln>
          </c:spPr>
          <c:invertIfNegative val="0"/>
          <c:dLbls>
            <c:numFmt formatCode="0%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lang="pl-PL"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Arkusz1!$A$2:$A$4</c:f>
              <c:strCache>
                <c:ptCount val="3"/>
                <c:pt idx="0">
                  <c:v>high risk of falling &lt;19 pt.</c:v>
                </c:pt>
                <c:pt idx="1">
                  <c:v>prone to falling  19-24 pt.</c:v>
                </c:pt>
                <c:pt idx="2">
                  <c:v>no risk of falling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0.49</c:v>
                </c:pt>
                <c:pt idx="1">
                  <c:v>0.15</c:v>
                </c:pt>
                <c:pt idx="2">
                  <c:v>0.36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F4-466A-AA90-543B2F61A55C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male</c:v>
                </c:pt>
              </c:strCache>
            </c:strRef>
          </c:tx>
          <c:spPr>
            <a:solidFill>
              <a:srgbClr val="ED7D31"/>
            </a:solidFill>
            <a:ln w="0">
              <a:noFill/>
            </a:ln>
          </c:spPr>
          <c:invertIfNegative val="0"/>
          <c:dLbls>
            <c:numFmt formatCode="0%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lang="pl-PL"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Arkusz1!$A$2:$A$4</c:f>
              <c:strCache>
                <c:ptCount val="3"/>
                <c:pt idx="0">
                  <c:v>high risk of falling &lt;19 pt.</c:v>
                </c:pt>
                <c:pt idx="1">
                  <c:v>prone to falling  19-24 pt.</c:v>
                </c:pt>
                <c:pt idx="2">
                  <c:v>no risk of falling</c:v>
                </c:pt>
              </c:strCache>
            </c:strRef>
          </c:cat>
          <c:val>
            <c:numRef>
              <c:f>Arkusz1!$C$2:$C$4</c:f>
              <c:numCache>
                <c:formatCode>General</c:formatCode>
                <c:ptCount val="3"/>
                <c:pt idx="0">
                  <c:v>0.59</c:v>
                </c:pt>
                <c:pt idx="1">
                  <c:v>0.13</c:v>
                </c:pt>
                <c:pt idx="2">
                  <c:v>0.28000000000000003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BF4-466A-AA90-543B2F61A5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3896744"/>
        <c:axId val="38012807"/>
      </c:barChart>
      <c:catAx>
        <c:axId val="13896744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lang="pl-PL" sz="900" b="0" strike="noStrike" spc="-1">
                <a:solidFill>
                  <a:srgbClr val="595959"/>
                </a:solidFill>
                <a:latin typeface="Calibri"/>
              </a:defRPr>
            </a:pPr>
            <a:endParaRPr lang="pl-PL"/>
          </a:p>
        </c:txPr>
        <c:crossAx val="38012807"/>
        <c:crosses val="autoZero"/>
        <c:auto val="1"/>
        <c:lblAlgn val="ctr"/>
        <c:lblOffset val="100"/>
        <c:noMultiLvlLbl val="0"/>
      </c:catAx>
      <c:valAx>
        <c:axId val="38012807"/>
        <c:scaling>
          <c:orientation val="minMax"/>
        </c:scaling>
        <c:delete val="0"/>
        <c:axPos val="b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0%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lang="pl-PL" sz="900" b="0" strike="noStrike" spc="-1">
                <a:solidFill>
                  <a:srgbClr val="595959"/>
                </a:solidFill>
                <a:latin typeface="Calibri"/>
              </a:defRPr>
            </a:pPr>
            <a:endParaRPr lang="pl-PL"/>
          </a:p>
        </c:txPr>
        <c:crossAx val="13896744"/>
        <c:crosses val="autoZero"/>
        <c:crossBetween val="between"/>
      </c:valAx>
      <c:dTable>
        <c:showHorzBorder val="1"/>
        <c:showVertBorder val="1"/>
        <c:showOutline val="1"/>
        <c:showKeys val="1"/>
      </c:dTable>
      <c:spPr>
        <a:noFill/>
        <a:ln w="0">
          <a:noFill/>
        </a:ln>
      </c:spPr>
    </c:plotArea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medium town 20- 100k</c:v>
                </c:pt>
              </c:strCache>
            </c:strRef>
          </c:tx>
          <c:spPr>
            <a:solidFill>
              <a:srgbClr val="4472C4"/>
            </a:solidFill>
            <a:ln w="0">
              <a:noFill/>
            </a:ln>
          </c:spPr>
          <c:invertIfNegative val="0"/>
          <c:dLbls>
            <c:numFmt formatCode="0%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lang="pl-PL"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Arkusz1!$A$2:$A$4</c:f>
              <c:strCache>
                <c:ptCount val="3"/>
                <c:pt idx="0">
                  <c:v>high risk of falling &lt;19 pt.</c:v>
                </c:pt>
                <c:pt idx="1">
                  <c:v>prone to falling  19-24 pt.</c:v>
                </c:pt>
                <c:pt idx="2">
                  <c:v>no risk of falling 25 - 28 pt.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0.42</c:v>
                </c:pt>
                <c:pt idx="1">
                  <c:v>0.19</c:v>
                </c:pt>
                <c:pt idx="2">
                  <c:v>0.39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F0-4CDC-893E-AD22DACF831B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small town &lt; 20k</c:v>
                </c:pt>
              </c:strCache>
            </c:strRef>
          </c:tx>
          <c:spPr>
            <a:solidFill>
              <a:srgbClr val="ED7D31"/>
            </a:solidFill>
            <a:ln w="0">
              <a:noFill/>
            </a:ln>
          </c:spPr>
          <c:invertIfNegative val="0"/>
          <c:dLbls>
            <c:numFmt formatCode="0%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lang="pl-PL"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Arkusz1!$A$2:$A$4</c:f>
              <c:strCache>
                <c:ptCount val="3"/>
                <c:pt idx="0">
                  <c:v>high risk of falling &lt;19 pt.</c:v>
                </c:pt>
                <c:pt idx="1">
                  <c:v>prone to falling  19-24 pt.</c:v>
                </c:pt>
                <c:pt idx="2">
                  <c:v>no risk of falling 25 - 28 pt.</c:v>
                </c:pt>
              </c:strCache>
            </c:strRef>
          </c:cat>
          <c:val>
            <c:numRef>
              <c:f>Arkusz1!$C$2:$C$4</c:f>
              <c:numCache>
                <c:formatCode>General</c:formatCode>
                <c:ptCount val="3"/>
                <c:pt idx="0">
                  <c:v>0.56999999999999995</c:v>
                </c:pt>
                <c:pt idx="1">
                  <c:v>0.15</c:v>
                </c:pt>
                <c:pt idx="2">
                  <c:v>0.28000000000000003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F0-4CDC-893E-AD22DACF831B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village</c:v>
                </c:pt>
              </c:strCache>
            </c:strRef>
          </c:tx>
          <c:spPr>
            <a:solidFill>
              <a:srgbClr val="A5A5A5"/>
            </a:solidFill>
            <a:ln w="0">
              <a:noFill/>
            </a:ln>
          </c:spPr>
          <c:invertIfNegative val="0"/>
          <c:dLbls>
            <c:numFmt formatCode="0%" sourceLinked="0"/>
            <c:spPr>
              <a:noFill/>
              <a:ln>
                <a:noFill/>
              </a:ln>
              <a:effectLst/>
            </c:spPr>
            <c:txPr>
              <a:bodyPr wrap="square"/>
              <a:lstStyle/>
              <a:p>
                <a:pPr>
                  <a:defRPr lang="pl-PL" sz="900" b="0" strike="noStrike" spc="-1">
                    <a:solidFill>
                      <a:srgbClr val="404040"/>
                    </a:solidFill>
                    <a:latin typeface="Calibri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1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Arkusz1!$A$2:$A$4</c:f>
              <c:strCache>
                <c:ptCount val="3"/>
                <c:pt idx="0">
                  <c:v>high risk of falling &lt;19 pt.</c:v>
                </c:pt>
                <c:pt idx="1">
                  <c:v>prone to falling  19-24 pt.</c:v>
                </c:pt>
                <c:pt idx="2">
                  <c:v>no risk of falling 25 - 28 pt.</c:v>
                </c:pt>
              </c:strCache>
            </c:strRef>
          </c:cat>
          <c:val>
            <c:numRef>
              <c:f>Arkusz1!$D$2:$D$4</c:f>
              <c:numCache>
                <c:formatCode>General</c:formatCode>
                <c:ptCount val="3"/>
                <c:pt idx="0">
                  <c:v>0.68</c:v>
                </c:pt>
                <c:pt idx="1">
                  <c:v>0.05</c:v>
                </c:pt>
                <c:pt idx="2">
                  <c:v>0.27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8F0-4CDC-893E-AD22DACF83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57927241"/>
        <c:axId val="9780893"/>
      </c:barChart>
      <c:catAx>
        <c:axId val="57927241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lang="pl-PL" sz="900" b="0" strike="noStrike" spc="-1">
                <a:solidFill>
                  <a:srgbClr val="595959"/>
                </a:solidFill>
                <a:latin typeface="Calibri"/>
              </a:defRPr>
            </a:pPr>
            <a:endParaRPr lang="pl-PL"/>
          </a:p>
        </c:txPr>
        <c:crossAx val="9780893"/>
        <c:crosses val="autoZero"/>
        <c:auto val="1"/>
        <c:lblAlgn val="ctr"/>
        <c:lblOffset val="100"/>
        <c:noMultiLvlLbl val="0"/>
      </c:catAx>
      <c:valAx>
        <c:axId val="9780893"/>
        <c:scaling>
          <c:orientation val="minMax"/>
        </c:scaling>
        <c:delete val="0"/>
        <c:axPos val="b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0%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lang="pl-PL" sz="900" b="0" strike="noStrike" spc="-1">
                <a:solidFill>
                  <a:srgbClr val="595959"/>
                </a:solidFill>
                <a:latin typeface="Calibri"/>
              </a:defRPr>
            </a:pPr>
            <a:endParaRPr lang="pl-PL"/>
          </a:p>
        </c:txPr>
        <c:crossAx val="57927241"/>
        <c:crosses val="autoZero"/>
        <c:crossBetween val="between"/>
      </c:valAx>
      <c:dTable>
        <c:showHorzBorder val="1"/>
        <c:showVertBorder val="1"/>
        <c:showOutline val="1"/>
        <c:showKeys val="1"/>
      </c:dTable>
      <c:spPr>
        <a:noFill/>
        <a:ln w="0">
          <a:noFill/>
        </a:ln>
      </c:spPr>
    </c:plotArea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147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Misia RS</dc:creator>
  <cp:keywords/>
  <dc:description/>
  <cp:lastModifiedBy>Misia RS</cp:lastModifiedBy>
  <cp:revision>2</cp:revision>
  <dcterms:created xsi:type="dcterms:W3CDTF">2023-12-13T18:47:00Z</dcterms:created>
  <dcterms:modified xsi:type="dcterms:W3CDTF">2023-12-13T18:47:00Z</dcterms:modified>
</cp:coreProperties>
</file>