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81F3EC" w14:textId="2CB36DE5" w:rsidR="00EE5118" w:rsidRDefault="00B821FA">
      <w:r>
        <w:t>Supplementary Material</w:t>
      </w:r>
      <w:r w:rsidR="0085395C">
        <w:t xml:space="preserve">: </w:t>
      </w:r>
      <w:r w:rsidR="00FE235F">
        <w:t>Demographics</w:t>
      </w:r>
    </w:p>
    <w:p w14:paraId="35EE9BB2" w14:textId="5E6ADE65" w:rsidR="00FE235F" w:rsidRDefault="00FE235F" w:rsidP="00FE235F">
      <w:pPr>
        <w:pStyle w:val="ListParagraph"/>
        <w:numPr>
          <w:ilvl w:val="0"/>
          <w:numId w:val="1"/>
        </w:numPr>
      </w:pPr>
      <w:r>
        <w:t xml:space="preserve">What is your age? </w:t>
      </w:r>
    </w:p>
    <w:p w14:paraId="6711179A" w14:textId="2BD6BBDA" w:rsidR="00FE235F" w:rsidRDefault="00FE235F" w:rsidP="00FE235F">
      <w:pPr>
        <w:pStyle w:val="ListParagraph"/>
        <w:numPr>
          <w:ilvl w:val="0"/>
          <w:numId w:val="1"/>
        </w:numPr>
      </w:pPr>
      <w:r>
        <w:t>What is the highest level of education that you have completed or are currently completing?</w:t>
      </w:r>
    </w:p>
    <w:p w14:paraId="509618B9" w14:textId="09C6B0EC" w:rsidR="00FE235F" w:rsidRDefault="00FE235F" w:rsidP="00FE235F">
      <w:pPr>
        <w:pStyle w:val="ListParagraph"/>
        <w:numPr>
          <w:ilvl w:val="1"/>
          <w:numId w:val="1"/>
        </w:numPr>
      </w:pPr>
      <w:r>
        <w:t>High School</w:t>
      </w:r>
    </w:p>
    <w:p w14:paraId="267DFD8A" w14:textId="50F5EB5E" w:rsidR="00FE235F" w:rsidRDefault="00FE235F" w:rsidP="00FE235F">
      <w:pPr>
        <w:pStyle w:val="ListParagraph"/>
        <w:numPr>
          <w:ilvl w:val="1"/>
          <w:numId w:val="1"/>
        </w:numPr>
      </w:pPr>
      <w:r>
        <w:t>Bachelor’s Degree</w:t>
      </w:r>
    </w:p>
    <w:p w14:paraId="05535C8E" w14:textId="08C66756" w:rsidR="00FE235F" w:rsidRDefault="00FE235F" w:rsidP="00FE235F">
      <w:pPr>
        <w:pStyle w:val="ListParagraph"/>
        <w:numPr>
          <w:ilvl w:val="1"/>
          <w:numId w:val="1"/>
        </w:numPr>
      </w:pPr>
      <w:r>
        <w:t>Master’s Degree</w:t>
      </w:r>
    </w:p>
    <w:p w14:paraId="3E76FA13" w14:textId="65419C88" w:rsidR="00FE235F" w:rsidRDefault="00FE235F" w:rsidP="00FE235F">
      <w:pPr>
        <w:pStyle w:val="ListParagraph"/>
        <w:numPr>
          <w:ilvl w:val="1"/>
          <w:numId w:val="1"/>
        </w:numPr>
      </w:pPr>
      <w:r>
        <w:t>PhD or Higher</w:t>
      </w:r>
    </w:p>
    <w:p w14:paraId="211EF58F" w14:textId="61CD5EE2" w:rsidR="00FE235F" w:rsidRDefault="00FE235F" w:rsidP="00FE235F">
      <w:pPr>
        <w:pStyle w:val="ListParagraph"/>
        <w:numPr>
          <w:ilvl w:val="1"/>
          <w:numId w:val="1"/>
        </w:numPr>
      </w:pPr>
      <w:r>
        <w:t>Trade School</w:t>
      </w:r>
    </w:p>
    <w:p w14:paraId="1EBDEF8D" w14:textId="6C00B67D" w:rsidR="007546D1" w:rsidRDefault="007546D1" w:rsidP="007546D1">
      <w:pPr>
        <w:pStyle w:val="ListParagraph"/>
        <w:numPr>
          <w:ilvl w:val="0"/>
          <w:numId w:val="1"/>
        </w:numPr>
      </w:pPr>
      <w:r>
        <w:t>W</w:t>
      </w:r>
      <w:r w:rsidR="00587968">
        <w:t>hich field do you work in</w:t>
      </w:r>
      <w:r>
        <w:t>?</w:t>
      </w:r>
      <w:r w:rsidR="00CF4CBD">
        <w:t xml:space="preserve"> OR if you are a student, which field are you planning to work in?</w:t>
      </w:r>
      <w:r w:rsidR="007D4304">
        <w:rPr>
          <w:rStyle w:val="FootnoteReference"/>
        </w:rPr>
        <w:footnoteReference w:id="1"/>
      </w:r>
    </w:p>
    <w:p w14:paraId="05BA1B2A" w14:textId="13F0FABA" w:rsidR="00455D13" w:rsidRPr="00720A66" w:rsidRDefault="00455D13" w:rsidP="007546D1">
      <w:pPr>
        <w:pStyle w:val="ListParagraph"/>
        <w:numPr>
          <w:ilvl w:val="1"/>
          <w:numId w:val="1"/>
        </w:numPr>
      </w:pPr>
      <w:r w:rsidRPr="00720A66">
        <w:t xml:space="preserve">Management </w:t>
      </w:r>
    </w:p>
    <w:p w14:paraId="40A46632" w14:textId="77777777" w:rsidR="00455D13" w:rsidRPr="00720A66" w:rsidRDefault="00455D13" w:rsidP="007546D1">
      <w:pPr>
        <w:pStyle w:val="ListParagraph"/>
        <w:numPr>
          <w:ilvl w:val="1"/>
          <w:numId w:val="1"/>
        </w:numPr>
      </w:pPr>
      <w:r w:rsidRPr="00720A66">
        <w:t>Business and financial</w:t>
      </w:r>
    </w:p>
    <w:p w14:paraId="22A16B46" w14:textId="77777777" w:rsidR="00455D13" w:rsidRPr="00720A66" w:rsidRDefault="00455D13" w:rsidP="007546D1">
      <w:pPr>
        <w:pStyle w:val="ListParagraph"/>
        <w:numPr>
          <w:ilvl w:val="1"/>
          <w:numId w:val="1"/>
        </w:numPr>
      </w:pPr>
      <w:r w:rsidRPr="00720A66">
        <w:t>Computer and mathematical/Life, physical, social science</w:t>
      </w:r>
    </w:p>
    <w:p w14:paraId="0AA439FA" w14:textId="77777777" w:rsidR="00455D13" w:rsidRPr="00720A66" w:rsidRDefault="00455D13" w:rsidP="007546D1">
      <w:pPr>
        <w:pStyle w:val="ListParagraph"/>
        <w:numPr>
          <w:ilvl w:val="1"/>
          <w:numId w:val="1"/>
        </w:numPr>
      </w:pPr>
      <w:r w:rsidRPr="00720A66">
        <w:t>Education, training, and library</w:t>
      </w:r>
    </w:p>
    <w:p w14:paraId="5039392A" w14:textId="77777777" w:rsidR="00455D13" w:rsidRPr="00720A66" w:rsidRDefault="00455D13" w:rsidP="007546D1">
      <w:pPr>
        <w:pStyle w:val="ListParagraph"/>
        <w:numPr>
          <w:ilvl w:val="1"/>
          <w:numId w:val="1"/>
        </w:numPr>
      </w:pPr>
      <w:r w:rsidRPr="00720A66">
        <w:t>Arts, design, entertainment, sports and media</w:t>
      </w:r>
    </w:p>
    <w:p w14:paraId="5AEAA6FC" w14:textId="77777777" w:rsidR="00CF4CBD" w:rsidRPr="00720A66" w:rsidRDefault="00455D13" w:rsidP="00CF4CBD">
      <w:pPr>
        <w:pStyle w:val="ListParagraph"/>
        <w:numPr>
          <w:ilvl w:val="1"/>
          <w:numId w:val="1"/>
        </w:numPr>
      </w:pPr>
      <w:r w:rsidRPr="00720A66">
        <w:t xml:space="preserve">Healthcare, practitioners and technical </w:t>
      </w:r>
    </w:p>
    <w:p w14:paraId="18668F7F" w14:textId="332CDB6D" w:rsidR="00CF4CBD" w:rsidRPr="00720A66" w:rsidRDefault="00CF4CBD" w:rsidP="00CF4CBD">
      <w:pPr>
        <w:pStyle w:val="ListParagraph"/>
        <w:numPr>
          <w:ilvl w:val="1"/>
          <w:numId w:val="1"/>
        </w:numPr>
      </w:pPr>
      <w:r w:rsidRPr="00720A66">
        <w:t>Architecture and engineering</w:t>
      </w:r>
    </w:p>
    <w:p w14:paraId="42E8A9EC" w14:textId="77777777" w:rsidR="003A5BB0" w:rsidRPr="00720A66" w:rsidRDefault="003A5BB0" w:rsidP="003A5BB0">
      <w:pPr>
        <w:pStyle w:val="ListParagraph"/>
        <w:numPr>
          <w:ilvl w:val="1"/>
          <w:numId w:val="1"/>
        </w:numPr>
      </w:pPr>
      <w:r w:rsidRPr="00720A66">
        <w:t>Office and admin support</w:t>
      </w:r>
    </w:p>
    <w:p w14:paraId="5207CE7B" w14:textId="63DA25CA" w:rsidR="003A5BB0" w:rsidRPr="00720A66" w:rsidRDefault="003A5BB0" w:rsidP="003A5BB0">
      <w:pPr>
        <w:pStyle w:val="ListParagraph"/>
        <w:numPr>
          <w:ilvl w:val="1"/>
          <w:numId w:val="1"/>
        </w:numPr>
      </w:pPr>
      <w:r w:rsidRPr="00720A66">
        <w:t>Sales and related occupations</w:t>
      </w:r>
    </w:p>
    <w:p w14:paraId="476E04DA" w14:textId="77777777" w:rsidR="003A5BB0" w:rsidRPr="00720A66" w:rsidRDefault="003A5BB0" w:rsidP="00587968">
      <w:pPr>
        <w:pStyle w:val="ListParagraph"/>
        <w:numPr>
          <w:ilvl w:val="1"/>
          <w:numId w:val="1"/>
        </w:numPr>
      </w:pPr>
      <w:r w:rsidRPr="00720A66">
        <w:t>Construction and extraction</w:t>
      </w:r>
    </w:p>
    <w:p w14:paraId="135C78C8" w14:textId="162FEB99" w:rsidR="00587968" w:rsidRPr="00720A66" w:rsidRDefault="003A5BB0" w:rsidP="00587968">
      <w:pPr>
        <w:pStyle w:val="ListParagraph"/>
        <w:numPr>
          <w:ilvl w:val="1"/>
          <w:numId w:val="1"/>
        </w:numPr>
      </w:pPr>
      <w:r w:rsidRPr="00720A66">
        <w:t>Military specific</w:t>
      </w:r>
    </w:p>
    <w:p w14:paraId="04D530E3" w14:textId="7F092D4C" w:rsidR="00FE235F" w:rsidRDefault="009B43FD" w:rsidP="00B135F5">
      <w:pPr>
        <w:pStyle w:val="ListParagraph"/>
        <w:numPr>
          <w:ilvl w:val="0"/>
          <w:numId w:val="1"/>
        </w:numPr>
      </w:pPr>
      <w:r w:rsidRPr="009B43FD">
        <w:t>Please indicate your nationality.</w:t>
      </w:r>
      <w:r w:rsidR="00A6605A">
        <w:t xml:space="preserve"> If you have more than one nationality, chose the nationality you most identify with.</w:t>
      </w:r>
    </w:p>
    <w:p w14:paraId="3CC6109E" w14:textId="25394F9E" w:rsidR="00B135F5" w:rsidRPr="00720A66" w:rsidRDefault="00B135F5" w:rsidP="00B135F5">
      <w:pPr>
        <w:pStyle w:val="ListParagraph"/>
        <w:numPr>
          <w:ilvl w:val="1"/>
          <w:numId w:val="1"/>
        </w:numPr>
      </w:pPr>
      <w:r w:rsidRPr="00720A66">
        <w:t xml:space="preserve">[List of </w:t>
      </w:r>
      <w:r w:rsidR="00CF4CBD" w:rsidRPr="00720A66">
        <w:t xml:space="preserve">pre-existing </w:t>
      </w:r>
      <w:r w:rsidRPr="00720A66">
        <w:t>options</w:t>
      </w:r>
      <w:r w:rsidR="00A6605A">
        <w:t xml:space="preserve"> of all nationalities as used in previous</w:t>
      </w:r>
      <w:r w:rsidR="00DD2096">
        <w:t xml:space="preserve"> Qualtrics</w:t>
      </w:r>
      <w:r w:rsidR="00A6605A">
        <w:t xml:space="preserve"> studies: e.g. Afghan - Zimbabwean</w:t>
      </w:r>
      <w:r w:rsidRPr="00720A66">
        <w:t>]</w:t>
      </w:r>
    </w:p>
    <w:p w14:paraId="08ED1B8C" w14:textId="7233B65A" w:rsidR="00FE235F" w:rsidRDefault="00FE235F" w:rsidP="009B43FD">
      <w:pPr>
        <w:pStyle w:val="ListParagraph"/>
        <w:numPr>
          <w:ilvl w:val="0"/>
          <w:numId w:val="1"/>
        </w:numPr>
      </w:pPr>
      <w:r>
        <w:t>What is your gender?</w:t>
      </w:r>
    </w:p>
    <w:p w14:paraId="3FDEDB59" w14:textId="48D0467A" w:rsidR="00FE235F" w:rsidRDefault="00FE235F" w:rsidP="00760863">
      <w:pPr>
        <w:pStyle w:val="ListParagraph"/>
        <w:numPr>
          <w:ilvl w:val="1"/>
          <w:numId w:val="2"/>
        </w:numPr>
      </w:pPr>
      <w:r>
        <w:t>Male</w:t>
      </w:r>
    </w:p>
    <w:p w14:paraId="4F229392" w14:textId="6AEBCAFE" w:rsidR="00B650D1" w:rsidRDefault="00FE235F" w:rsidP="00D32762">
      <w:pPr>
        <w:pStyle w:val="ListParagraph"/>
        <w:numPr>
          <w:ilvl w:val="1"/>
          <w:numId w:val="2"/>
        </w:numPr>
      </w:pPr>
      <w:r>
        <w:t>Female</w:t>
      </w:r>
    </w:p>
    <w:p w14:paraId="72D76BCE" w14:textId="12A9A1FA" w:rsidR="00A6605A" w:rsidRDefault="00A6605A" w:rsidP="00D32762">
      <w:pPr>
        <w:pStyle w:val="ListParagraph"/>
        <w:numPr>
          <w:ilvl w:val="1"/>
          <w:numId w:val="2"/>
        </w:numPr>
      </w:pPr>
      <w:r>
        <w:t>Prefer not to say</w:t>
      </w:r>
    </w:p>
    <w:p w14:paraId="7548476A" w14:textId="40D0D944" w:rsidR="007546D1" w:rsidRDefault="007546D1" w:rsidP="007546D1"/>
    <w:p w14:paraId="272BD7FA" w14:textId="1E77CE36" w:rsidR="0071696E" w:rsidRDefault="00216380" w:rsidP="007546D1">
      <w:r>
        <w:t xml:space="preserve">During analyses, we </w:t>
      </w:r>
      <w:r w:rsidR="00596FEE">
        <w:t>some variables into categories:</w:t>
      </w:r>
    </w:p>
    <w:p w14:paraId="752EAE21" w14:textId="4688DF52" w:rsidR="00596FEE" w:rsidRDefault="00596FEE" w:rsidP="00596FEE">
      <w:pPr>
        <w:pStyle w:val="ListParagraph"/>
        <w:numPr>
          <w:ilvl w:val="0"/>
          <w:numId w:val="4"/>
        </w:numPr>
      </w:pPr>
      <w:r>
        <w:t>Age: age ranges: 18-25, 26-30, 31-40, 41-50 and 51 and older, from</w:t>
      </w:r>
      <w:r w:rsidR="00404E6D">
        <w:t xml:space="preserve"> </w:t>
      </w:r>
      <w:r w:rsidR="00404E6D">
        <w:fldChar w:fldCharType="begin"/>
      </w:r>
      <w:r w:rsidR="00404E6D">
        <w:instrText xml:space="preserve"> ADDIN ZOTERO_ITEM CSL_CITATION {"citationID":"ZFXf0Kew","properties":{"formattedCitation":"(Guly\\uc0\\u225{}s et al., 2022)","plainCitation":"(Gulyás et al., 2022)","noteIndex":0},"citationItems":[{"id":4817,"uris":["http://zotero.org/groups/2644665/items/UBQHUYCM"],"itemData":{"id":4817,"type":"article-journal","abstract":"The capacity to elicit vivid visual mental images varies within an extensive range across individuals between hyper- and aphantasia. It is not clear, however, whether imagery vividness is constant across the lifespan or changes during development and later in life. Without enforcing the constraints of strict experimental procedures and representativity across the entire population, our purpose was to explore the self-reported level of imagery vividness and determine the relative proportions of aphantasic/hyperphantasic participants in different age groups. Relying on the frequently used Vividness of Visual Imagery Questionnaire, we collected data on a random sample of 2252 participants between the ages of 12–60 years. We found a novel developmental pattern that describes a declining ability to elicit vivid visual mental images in the group averages of different age groups from adolescence to middle age. This effect involves both a decreasing proportion of individuals with vivid visual imagery vividness and an increasing proportion of individuals with low imagery vividness as maturation (based on bone age assessments in adolescents) and ageing progress. These findings may shed some light on the developmental mechanisms of our internal, stimulus-independent processes, and might also help to determine genetic, maturational, and age-dependent factors in the cases of hyper- and aphantasia.","container-title":"Cortex","DOI":"10.1016/j.cortex.2022.06.011","ISSN":"0010-9452","journalAbbreviation":"Cortex","language":"en","page":"365-374","source":"ScienceDirect","title":"Visual imagery vividness declines across the lifespan","volume":"154","author":[{"family":"Gulyás","given":"Erzsébet"},{"family":"Gombos","given":"Ferenc"},{"family":"Sütöri","given":"Sára"},{"family":"Lovas","given":"Andrea"},{"family":"Ziman","given":"Gergő"},{"family":"Kovács","given":"Ilona"}],"issued":{"date-parts":[["2022",9,1]]}}}],"schema":"https://github.com/citation-style-language/schema/raw/master/csl-citation.json"} </w:instrText>
      </w:r>
      <w:r w:rsidR="00404E6D">
        <w:fldChar w:fldCharType="separate"/>
      </w:r>
      <w:r w:rsidR="00404E6D" w:rsidRPr="00404E6D">
        <w:rPr>
          <w:rFonts w:ascii="Calibri" w:hAnsi="Calibri" w:cs="Calibri"/>
          <w:szCs w:val="24"/>
        </w:rPr>
        <w:t xml:space="preserve">Gulyás et al. </w:t>
      </w:r>
      <w:r w:rsidR="00404E6D">
        <w:rPr>
          <w:rFonts w:ascii="Calibri" w:hAnsi="Calibri" w:cs="Calibri"/>
          <w:szCs w:val="24"/>
        </w:rPr>
        <w:t>(</w:t>
      </w:r>
      <w:r w:rsidR="00404E6D" w:rsidRPr="00404E6D">
        <w:rPr>
          <w:rFonts w:ascii="Calibri" w:hAnsi="Calibri" w:cs="Calibri"/>
          <w:szCs w:val="24"/>
        </w:rPr>
        <w:t>2022)</w:t>
      </w:r>
      <w:r w:rsidR="00404E6D">
        <w:fldChar w:fldCharType="end"/>
      </w:r>
      <w:r>
        <w:t>.</w:t>
      </w:r>
      <w:r w:rsidR="00404E6D">
        <w:t xml:space="preserve"> </w:t>
      </w:r>
    </w:p>
    <w:p w14:paraId="4A4C1C65" w14:textId="2FB5D2B3" w:rsidR="00596FEE" w:rsidRDefault="00596FEE" w:rsidP="00596FEE">
      <w:pPr>
        <w:pStyle w:val="ListParagraph"/>
        <w:numPr>
          <w:ilvl w:val="0"/>
          <w:numId w:val="4"/>
        </w:numPr>
      </w:pPr>
      <w:r>
        <w:t xml:space="preserve">Nationality: cultural groups: </w:t>
      </w:r>
      <w:r w:rsidRPr="00362FEF">
        <w:t>Arabian Gulf (AG), Middle East and North Africa (MENA), South Asia, South‒East Asia (SEA), WEIRD</w:t>
      </w:r>
      <w:r>
        <w:t xml:space="preserve">, </w:t>
      </w:r>
      <w:r w:rsidRPr="00362FEF">
        <w:t>and Other (mixed)</w:t>
      </w:r>
      <w:r>
        <w:t>.</w:t>
      </w:r>
    </w:p>
    <w:p w14:paraId="6D60D84B" w14:textId="2AFD5E7E" w:rsidR="00E31FEB" w:rsidRDefault="00E31FEB" w:rsidP="006145B5">
      <w:pPr>
        <w:pStyle w:val="ListParagraph"/>
        <w:numPr>
          <w:ilvl w:val="0"/>
          <w:numId w:val="4"/>
        </w:numPr>
      </w:pPr>
      <w:r>
        <w:t>VVIQ grouping</w:t>
      </w:r>
      <w:r w:rsidR="007B2615">
        <w:t>, based on</w:t>
      </w:r>
      <w:r w:rsidR="006145B5">
        <w:t xml:space="preserve"> </w:t>
      </w:r>
      <w:r w:rsidR="006145B5">
        <w:fldChar w:fldCharType="begin"/>
      </w:r>
      <w:r w:rsidR="006145B5">
        <w:instrText xml:space="preserve"> ADDIN ZOTERO_ITEM CSL_CITATION {"citationID":"OVweY9A1","properties":{"formattedCitation":"(Dance et al., 2022)","plainCitation":"(Dance et al., 2022)","noteIndex":0},"citationItems":[{"id":1425,"uris":["http://zotero.org/groups/2644665/items/L49H6ZTU"],"itemData":{"id":1425,"type":"article-journal","abstract":"Visual mental imagery is the ability to create a quasi-perceptual visual picture in the mind’s eye. For people with the rare trait of aphantasia, this ability is entirely absent or markedly impaired. Here, we aim to clarify the prevalence of aphantasia in the general population, while overcoming limitations of previous research (e.g., recruitment biases). In Experiment 1, we screened a cohort of undergraduate students (n502) using the Vividness of Visual Imagery Questionnaire (Marks, 1973) and found that 4.2% had aphantasia. To establish the reliability of our estimate, we then screened a new sample of people (n502) at an online crowdsourcing marketplace, again finding that approximately four percent (3.6%) had aphantasia. Overall, our combined prevalence from over a thousand people of 3.9% – which shows no gender bias – provides a useful index for how commonly aphantasia occurs, based on measures and diagnostic thresholds in line with contemporary aphantasia literature.","container-title":"Consciousness and Cognition","DOI":"10.1016/j.concog.2021.103243","ISSN":"10538100","journalAbbreviation":"Consciousness and Cognition","language":"en","page":"103243","source":"DOI.org (Crossref)","title":"The prevalence of aphantasia (imagery weakness) in the general population","volume":"97","author":[{"family":"Dance","given":"C.J."},{"family":"Ipser","given":"A."},{"family":"Simner","given":"J."}],"issued":{"date-parts":[["2022",1]]}}}],"schema":"https://github.com/citation-style-language/schema/raw/master/csl-citation.json"} </w:instrText>
      </w:r>
      <w:r w:rsidR="006145B5">
        <w:fldChar w:fldCharType="separate"/>
      </w:r>
      <w:r w:rsidR="006145B5" w:rsidRPr="006145B5">
        <w:rPr>
          <w:rFonts w:ascii="Calibri" w:hAnsi="Calibri" w:cs="Calibri"/>
        </w:rPr>
        <w:t xml:space="preserve">Dance et al. </w:t>
      </w:r>
      <w:r w:rsidR="006145B5">
        <w:rPr>
          <w:rFonts w:ascii="Calibri" w:hAnsi="Calibri" w:cs="Calibri"/>
        </w:rPr>
        <w:t>(</w:t>
      </w:r>
      <w:r w:rsidR="006145B5" w:rsidRPr="006145B5">
        <w:rPr>
          <w:rFonts w:ascii="Calibri" w:hAnsi="Calibri" w:cs="Calibri"/>
        </w:rPr>
        <w:t>2022)</w:t>
      </w:r>
      <w:r w:rsidR="006145B5">
        <w:fldChar w:fldCharType="end"/>
      </w:r>
      <w:r>
        <w:t xml:space="preserve">: </w:t>
      </w:r>
      <w:r w:rsidR="00C30484">
        <w:t>Aphantasia</w:t>
      </w:r>
      <w:r w:rsidR="008F3BCF">
        <w:t xml:space="preserve">: </w:t>
      </w:r>
      <w:r w:rsidR="008F3BCF" w:rsidRPr="001461F4">
        <w:t>V</w:t>
      </w:r>
      <w:r w:rsidR="008F3BCF">
        <w:t>VIQ sum</w:t>
      </w:r>
      <w:r w:rsidR="008F3BCF" w:rsidRPr="001461F4">
        <w:t>=16</w:t>
      </w:r>
      <w:r w:rsidR="00C30484">
        <w:t>,</w:t>
      </w:r>
      <w:r w:rsidR="008F3BCF">
        <w:t xml:space="preserve"> </w:t>
      </w:r>
      <w:r w:rsidR="008F3BCF" w:rsidRPr="001461F4">
        <w:t>V</w:t>
      </w:r>
      <w:r w:rsidR="008F3BCF">
        <w:t>VIQ sum</w:t>
      </w:r>
      <w:r w:rsidR="008F3BCF" w:rsidRPr="001461F4">
        <w:t>=17-32</w:t>
      </w:r>
      <w:r w:rsidR="008F3BCF">
        <w:t xml:space="preserve">; </w:t>
      </w:r>
      <w:r w:rsidR="00C30484">
        <w:t>Hyperphantasia</w:t>
      </w:r>
      <w:r w:rsidR="008F3BCF">
        <w:t xml:space="preserve">: </w:t>
      </w:r>
      <w:r w:rsidR="008F3BCF" w:rsidRPr="001461F4">
        <w:t>V</w:t>
      </w:r>
      <w:r w:rsidR="008F3BCF">
        <w:t>VIQ sum</w:t>
      </w:r>
      <w:r w:rsidR="008F3BCF" w:rsidRPr="001461F4">
        <w:t xml:space="preserve"> =75-79</w:t>
      </w:r>
      <w:r w:rsidR="00C30484">
        <w:t>,</w:t>
      </w:r>
      <w:r w:rsidR="008F3BCF">
        <w:t xml:space="preserve"> </w:t>
      </w:r>
      <w:r w:rsidR="008F3BCF" w:rsidRPr="001461F4">
        <w:t>V</w:t>
      </w:r>
      <w:r w:rsidR="008F3BCF">
        <w:t>VIQ sum</w:t>
      </w:r>
      <w:r w:rsidR="008F3BCF" w:rsidRPr="001461F4">
        <w:t>=80</w:t>
      </w:r>
      <w:r w:rsidR="008F3BCF">
        <w:t xml:space="preserve">; </w:t>
      </w:r>
      <w:r w:rsidR="000B1105">
        <w:t>Other</w:t>
      </w:r>
      <w:r w:rsidR="008F3BCF">
        <w:t xml:space="preserve">: </w:t>
      </w:r>
      <w:r w:rsidR="008F3BCF" w:rsidRPr="001461F4">
        <w:t>V</w:t>
      </w:r>
      <w:r w:rsidR="008F3BCF">
        <w:t>VIQ sum</w:t>
      </w:r>
      <w:r w:rsidR="008F3BCF" w:rsidRPr="001461F4">
        <w:t xml:space="preserve"> =51-63</w:t>
      </w:r>
      <w:r w:rsidR="000B1105">
        <w:t>,</w:t>
      </w:r>
      <w:r w:rsidR="008F3BCF">
        <w:t xml:space="preserve"> </w:t>
      </w:r>
      <w:r w:rsidR="008F3BCF" w:rsidRPr="001461F4">
        <w:t>V</w:t>
      </w:r>
      <w:r w:rsidR="008F3BCF">
        <w:t>VIQ sum</w:t>
      </w:r>
      <w:r w:rsidR="008F3BCF" w:rsidRPr="001461F4">
        <w:t xml:space="preserve"> =33-50 | 64-74</w:t>
      </w:r>
      <w:r w:rsidR="008F3BCF">
        <w:t>.</w:t>
      </w:r>
    </w:p>
    <w:p w14:paraId="673129C0" w14:textId="77777777" w:rsidR="00147FC4" w:rsidRDefault="00147FC4" w:rsidP="00147FC4">
      <w:pPr>
        <w:pStyle w:val="Bibliography"/>
      </w:pPr>
    </w:p>
    <w:p w14:paraId="1210201F" w14:textId="77777777" w:rsidR="00147FC4" w:rsidRDefault="00147FC4" w:rsidP="00147FC4">
      <w:pPr>
        <w:pStyle w:val="Bibliography"/>
      </w:pPr>
    </w:p>
    <w:p w14:paraId="45F2FAA9" w14:textId="241E2B92" w:rsidR="00147FC4" w:rsidRDefault="00147FC4" w:rsidP="00147FC4">
      <w:pPr>
        <w:pStyle w:val="Bibliography"/>
      </w:pPr>
      <w:r>
        <w:lastRenderedPageBreak/>
        <w:t>References</w:t>
      </w:r>
    </w:p>
    <w:p w14:paraId="3EC69013" w14:textId="77777777" w:rsidR="007D4304" w:rsidRPr="007D4304" w:rsidRDefault="00147FC4" w:rsidP="007D4304">
      <w:pPr>
        <w:pStyle w:val="Bibliography"/>
        <w:rPr>
          <w:rFonts w:ascii="Calibri" w:hAnsi="Calibri" w:cs="Calibri"/>
        </w:rPr>
      </w:pPr>
      <w:r>
        <w:fldChar w:fldCharType="begin"/>
      </w:r>
      <w:r>
        <w:instrText xml:space="preserve"> ADDIN ZOTERO_BIBL {"uncited":[],"omitted":[],"custom":[]} CSL_BIBLIOGRAPHY </w:instrText>
      </w:r>
      <w:r>
        <w:fldChar w:fldCharType="separate"/>
      </w:r>
      <w:r w:rsidR="007D4304" w:rsidRPr="007D4304">
        <w:rPr>
          <w:rFonts w:ascii="Calibri" w:hAnsi="Calibri" w:cs="Calibri"/>
        </w:rPr>
        <w:t xml:space="preserve">Dance, C. J., Ipser, A., &amp; Simner, J. (2022). The prevalence of aphantasia (imagery weakness) in the general population. </w:t>
      </w:r>
      <w:r w:rsidR="007D4304" w:rsidRPr="007D4304">
        <w:rPr>
          <w:rFonts w:ascii="Calibri" w:hAnsi="Calibri" w:cs="Calibri"/>
          <w:i/>
          <w:iCs/>
        </w:rPr>
        <w:t>Consciousness and Cognition</w:t>
      </w:r>
      <w:r w:rsidR="007D4304" w:rsidRPr="007D4304">
        <w:rPr>
          <w:rFonts w:ascii="Calibri" w:hAnsi="Calibri" w:cs="Calibri"/>
        </w:rPr>
        <w:t xml:space="preserve">, </w:t>
      </w:r>
      <w:r w:rsidR="007D4304" w:rsidRPr="007D4304">
        <w:rPr>
          <w:rFonts w:ascii="Calibri" w:hAnsi="Calibri" w:cs="Calibri"/>
          <w:i/>
          <w:iCs/>
        </w:rPr>
        <w:t>97</w:t>
      </w:r>
      <w:r w:rsidR="007D4304" w:rsidRPr="007D4304">
        <w:rPr>
          <w:rFonts w:ascii="Calibri" w:hAnsi="Calibri" w:cs="Calibri"/>
        </w:rPr>
        <w:t>, 103243. https://doi.org/10.1016/j.concog.2021.103243</w:t>
      </w:r>
    </w:p>
    <w:p w14:paraId="6291F1F5" w14:textId="77777777" w:rsidR="007D4304" w:rsidRPr="007D4304" w:rsidRDefault="007D4304" w:rsidP="007D4304">
      <w:pPr>
        <w:pStyle w:val="Bibliography"/>
        <w:rPr>
          <w:rFonts w:ascii="Calibri" w:hAnsi="Calibri" w:cs="Calibri"/>
        </w:rPr>
      </w:pPr>
      <w:r w:rsidRPr="007D4304">
        <w:rPr>
          <w:rFonts w:ascii="Calibri" w:hAnsi="Calibri" w:cs="Calibri"/>
        </w:rPr>
        <w:t xml:space="preserve">Gulyás, E., Gombos, F., Sütöri, S., Lovas, A., Ziman, G., &amp; Kovács, I. (2022). Visual imagery vividness declines across the lifespan. </w:t>
      </w:r>
      <w:r w:rsidRPr="007D4304">
        <w:rPr>
          <w:rFonts w:ascii="Calibri" w:hAnsi="Calibri" w:cs="Calibri"/>
          <w:i/>
          <w:iCs/>
        </w:rPr>
        <w:t>Cortex</w:t>
      </w:r>
      <w:r w:rsidRPr="007D4304">
        <w:rPr>
          <w:rFonts w:ascii="Calibri" w:hAnsi="Calibri" w:cs="Calibri"/>
        </w:rPr>
        <w:t xml:space="preserve">, </w:t>
      </w:r>
      <w:r w:rsidRPr="007D4304">
        <w:rPr>
          <w:rFonts w:ascii="Calibri" w:hAnsi="Calibri" w:cs="Calibri"/>
          <w:i/>
          <w:iCs/>
        </w:rPr>
        <w:t>154</w:t>
      </w:r>
      <w:r w:rsidRPr="007D4304">
        <w:rPr>
          <w:rFonts w:ascii="Calibri" w:hAnsi="Calibri" w:cs="Calibri"/>
        </w:rPr>
        <w:t>, 365–374. https://doi.org/10.1016/j.cortex.2022.06.011</w:t>
      </w:r>
    </w:p>
    <w:p w14:paraId="13FC21AB" w14:textId="77777777" w:rsidR="007D4304" w:rsidRPr="007D4304" w:rsidRDefault="007D4304" w:rsidP="007D4304">
      <w:pPr>
        <w:pStyle w:val="Bibliography"/>
        <w:rPr>
          <w:rFonts w:ascii="Calibri" w:hAnsi="Calibri" w:cs="Calibri"/>
        </w:rPr>
      </w:pPr>
      <w:r w:rsidRPr="007D4304">
        <w:rPr>
          <w:rFonts w:ascii="Calibri" w:hAnsi="Calibri" w:cs="Calibri"/>
        </w:rPr>
        <w:t xml:space="preserve">Zeman, A., Milton, F., Della Sala, S., Dewar, M., Frayling, T., Gaddum, J., Hattersley, A., Heuerman-Williamson, B., Jones, K., MacKisack, M., &amp; Winlove, C. (2020). Phantasia–The psychological significance of lifelong visual imagery vividness extremes. </w:t>
      </w:r>
      <w:r w:rsidRPr="007D4304">
        <w:rPr>
          <w:rFonts w:ascii="Calibri" w:hAnsi="Calibri" w:cs="Calibri"/>
          <w:i/>
          <w:iCs/>
        </w:rPr>
        <w:t>Cortex</w:t>
      </w:r>
      <w:r w:rsidRPr="007D4304">
        <w:rPr>
          <w:rFonts w:ascii="Calibri" w:hAnsi="Calibri" w:cs="Calibri"/>
        </w:rPr>
        <w:t xml:space="preserve">, </w:t>
      </w:r>
      <w:r w:rsidRPr="007D4304">
        <w:rPr>
          <w:rFonts w:ascii="Calibri" w:hAnsi="Calibri" w:cs="Calibri"/>
          <w:i/>
          <w:iCs/>
        </w:rPr>
        <w:t>130</w:t>
      </w:r>
      <w:r w:rsidRPr="007D4304">
        <w:rPr>
          <w:rFonts w:ascii="Calibri" w:hAnsi="Calibri" w:cs="Calibri"/>
        </w:rPr>
        <w:t>, 426–440. https://doi.org/10.1016/j.cortex.2020.04.003</w:t>
      </w:r>
    </w:p>
    <w:p w14:paraId="0F0100ED" w14:textId="1CFF8BE5" w:rsidR="00404E6D" w:rsidRDefault="00147FC4" w:rsidP="006145B5">
      <w:r>
        <w:fldChar w:fldCharType="end"/>
      </w:r>
    </w:p>
    <w:sectPr w:rsidR="00404E6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5515FE" w14:textId="77777777" w:rsidR="007D4304" w:rsidRDefault="007D4304" w:rsidP="007D4304">
      <w:pPr>
        <w:spacing w:after="0" w:line="240" w:lineRule="auto"/>
      </w:pPr>
      <w:r>
        <w:separator/>
      </w:r>
    </w:p>
  </w:endnote>
  <w:endnote w:type="continuationSeparator" w:id="0">
    <w:p w14:paraId="7090BF67" w14:textId="77777777" w:rsidR="007D4304" w:rsidRDefault="007D4304" w:rsidP="007D43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6CD63D" w14:textId="77777777" w:rsidR="007D4304" w:rsidRDefault="007D4304" w:rsidP="007D4304">
      <w:pPr>
        <w:spacing w:after="0" w:line="240" w:lineRule="auto"/>
      </w:pPr>
      <w:r>
        <w:separator/>
      </w:r>
    </w:p>
  </w:footnote>
  <w:footnote w:type="continuationSeparator" w:id="0">
    <w:p w14:paraId="01EB15A2" w14:textId="77777777" w:rsidR="007D4304" w:rsidRDefault="007D4304" w:rsidP="007D4304">
      <w:pPr>
        <w:spacing w:after="0" w:line="240" w:lineRule="auto"/>
      </w:pPr>
      <w:r>
        <w:continuationSeparator/>
      </w:r>
    </w:p>
  </w:footnote>
  <w:footnote w:id="1">
    <w:p w14:paraId="7265D890" w14:textId="6765F961" w:rsidR="007D4304" w:rsidRDefault="007D4304" w:rsidP="007D4304">
      <w:pPr>
        <w:pStyle w:val="FootnoteText"/>
      </w:pPr>
      <w:r>
        <w:rPr>
          <w:rStyle w:val="FootnoteReference"/>
        </w:rPr>
        <w:footnoteRef/>
      </w:r>
      <w:r>
        <w:t xml:space="preserve"> Survey adapted from </w:t>
      </w:r>
      <w:r>
        <w:fldChar w:fldCharType="begin"/>
      </w:r>
      <w:r>
        <w:instrText xml:space="preserve"> ADDIN ZOTERO_ITEM CSL_CITATION {"citationID":"njGQnSIs","properties":{"formattedCitation":"(Zeman et al., 2020)","plainCitation":"(Zeman et al., 2020)","noteIndex":1},"citationItems":[{"id":622,"uris":["http://zotero.org/groups/2644665/items/NNILMGB7"],"itemData":{"id":622,"type":"article-journal","abstract":"Visual imagery typically enables us to see absent items in the mind's eye. It plays a role in memory, day-dreaming and creativity. Since coining the terms aphantasia and hyperphantasia to describe the absence and abundance of visual imagery, we have been contacted by many thousands of people with extreme imagery abilities. Questionnaire data from 2000 participants with aphantasia and 200 with hyperphantasia indicate that aphantasia is associated with scientific and mathematical occupations, whereas hyperphantasia is associated with ‘creative’ professions. Participants with aphantasia report an elevated rate of difficulty with face recognition and autobiographical memory, whereas participants with hyperphantasia report an elevated rate of synaesthesia. Around half those with aphantasia describe an absence of wakeful imagery in all sense modalities, while a majority dream visually. Aphantasia appears to run within families more often than would be expected by chance. Aphantasia and hyperphantasia appear to be widespread but neglected features of human experience with informative psychological associations.","container-title":"Cortex","DOI":"10.1016/j.cortex.2020.04.003","ISSN":"0010-9452","journalAbbreviation":"Cortex","language":"en","page":"426-440","source":"ScienceDirect","title":"Phantasia–The psychological significance of lifelong visual imagery vividness extremes","volume":"130","author":[{"family":"Zeman","given":"Adam"},{"family":"Milton","given":"Fraser"},{"family":"Della Sala","given":"Sergio"},{"family":"Dewar","given":"Michaela"},{"family":"Frayling","given":"Timothy"},{"family":"Gaddum","given":"James"},{"family":"Hattersley","given":"Andrew"},{"family":"Heuerman-Williamson","given":"Brittany"},{"family":"Jones","given":"Kealan"},{"family":"MacKisack","given":"Matthew"},{"family":"Winlove","given":"Crawford"}],"issued":{"date-parts":[["2020",9,1]]}}}],"schema":"https://github.com/citation-style-language/schema/raw/master/csl-citation.json"} </w:instrText>
      </w:r>
      <w:r>
        <w:fldChar w:fldCharType="separate"/>
      </w:r>
      <w:r w:rsidRPr="007D4304">
        <w:rPr>
          <w:rFonts w:ascii="Calibri" w:hAnsi="Calibri" w:cs="Calibri"/>
        </w:rPr>
        <w:t xml:space="preserve">Zeman et al. </w:t>
      </w:r>
      <w:r>
        <w:rPr>
          <w:rFonts w:ascii="Calibri" w:hAnsi="Calibri" w:cs="Calibri"/>
        </w:rPr>
        <w:t>(</w:t>
      </w:r>
      <w:r w:rsidRPr="007D4304">
        <w:rPr>
          <w:rFonts w:ascii="Calibri" w:hAnsi="Calibri" w:cs="Calibri"/>
        </w:rPr>
        <w:t>2020)</w:t>
      </w:r>
      <w:r>
        <w:fldChar w:fldCharType="end"/>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5303B"/>
    <w:multiLevelType w:val="hybridMultilevel"/>
    <w:tmpl w:val="C576BE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CD28E6"/>
    <w:multiLevelType w:val="hybridMultilevel"/>
    <w:tmpl w:val="C0BC6BD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4E60015"/>
    <w:multiLevelType w:val="hybridMultilevel"/>
    <w:tmpl w:val="078282B4"/>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A579D5"/>
    <w:multiLevelType w:val="hybridMultilevel"/>
    <w:tmpl w:val="15F6FE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25696746">
    <w:abstractNumId w:val="0"/>
  </w:num>
  <w:num w:numId="2" w16cid:durableId="35090003">
    <w:abstractNumId w:val="1"/>
  </w:num>
  <w:num w:numId="3" w16cid:durableId="1889144963">
    <w:abstractNumId w:val="2"/>
  </w:num>
  <w:num w:numId="4" w16cid:durableId="178830985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48F"/>
    <w:rsid w:val="00087EAC"/>
    <w:rsid w:val="000B1105"/>
    <w:rsid w:val="001368E3"/>
    <w:rsid w:val="00147FC4"/>
    <w:rsid w:val="00154582"/>
    <w:rsid w:val="002026B5"/>
    <w:rsid w:val="00216380"/>
    <w:rsid w:val="002A2E4E"/>
    <w:rsid w:val="002F4C4A"/>
    <w:rsid w:val="00325AEB"/>
    <w:rsid w:val="003A5BB0"/>
    <w:rsid w:val="00404E6D"/>
    <w:rsid w:val="00455D13"/>
    <w:rsid w:val="00585C63"/>
    <w:rsid w:val="00587968"/>
    <w:rsid w:val="00596FEE"/>
    <w:rsid w:val="00611321"/>
    <w:rsid w:val="006145B5"/>
    <w:rsid w:val="006554FD"/>
    <w:rsid w:val="0071696E"/>
    <w:rsid w:val="00720A66"/>
    <w:rsid w:val="007546D1"/>
    <w:rsid w:val="00760863"/>
    <w:rsid w:val="0077748F"/>
    <w:rsid w:val="007B2615"/>
    <w:rsid w:val="007C6EA6"/>
    <w:rsid w:val="007D4304"/>
    <w:rsid w:val="0085395C"/>
    <w:rsid w:val="008F3BCF"/>
    <w:rsid w:val="009A1D47"/>
    <w:rsid w:val="009B43FD"/>
    <w:rsid w:val="00A6605A"/>
    <w:rsid w:val="00A91822"/>
    <w:rsid w:val="00B135F5"/>
    <w:rsid w:val="00B650D1"/>
    <w:rsid w:val="00B65D52"/>
    <w:rsid w:val="00B821FA"/>
    <w:rsid w:val="00BA3196"/>
    <w:rsid w:val="00C249CE"/>
    <w:rsid w:val="00C30484"/>
    <w:rsid w:val="00CF4CBD"/>
    <w:rsid w:val="00DD2096"/>
    <w:rsid w:val="00E31FEB"/>
    <w:rsid w:val="00EE5118"/>
    <w:rsid w:val="00FE235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30B2D"/>
  <w15:chartTrackingRefBased/>
  <w15:docId w15:val="{F3E01463-76FC-420D-B819-05CC4F44A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45B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E235F"/>
    <w:pPr>
      <w:ind w:left="720"/>
      <w:contextualSpacing/>
    </w:pPr>
  </w:style>
  <w:style w:type="character" w:styleId="CommentReference">
    <w:name w:val="annotation reference"/>
    <w:basedOn w:val="DefaultParagraphFont"/>
    <w:uiPriority w:val="99"/>
    <w:semiHidden/>
    <w:unhideWhenUsed/>
    <w:rsid w:val="00CF4CBD"/>
    <w:rPr>
      <w:sz w:val="16"/>
      <w:szCs w:val="16"/>
    </w:rPr>
  </w:style>
  <w:style w:type="paragraph" w:styleId="CommentText">
    <w:name w:val="annotation text"/>
    <w:basedOn w:val="Normal"/>
    <w:link w:val="CommentTextChar"/>
    <w:uiPriority w:val="99"/>
    <w:semiHidden/>
    <w:unhideWhenUsed/>
    <w:rsid w:val="00CF4CBD"/>
    <w:pPr>
      <w:spacing w:line="240" w:lineRule="auto"/>
    </w:pPr>
    <w:rPr>
      <w:sz w:val="20"/>
      <w:szCs w:val="20"/>
    </w:rPr>
  </w:style>
  <w:style w:type="character" w:customStyle="1" w:styleId="CommentTextChar">
    <w:name w:val="Comment Text Char"/>
    <w:basedOn w:val="DefaultParagraphFont"/>
    <w:link w:val="CommentText"/>
    <w:uiPriority w:val="99"/>
    <w:semiHidden/>
    <w:rsid w:val="00CF4CBD"/>
    <w:rPr>
      <w:sz w:val="20"/>
      <w:szCs w:val="20"/>
    </w:rPr>
  </w:style>
  <w:style w:type="paragraph" w:styleId="CommentSubject">
    <w:name w:val="annotation subject"/>
    <w:basedOn w:val="CommentText"/>
    <w:next w:val="CommentText"/>
    <w:link w:val="CommentSubjectChar"/>
    <w:uiPriority w:val="99"/>
    <w:semiHidden/>
    <w:unhideWhenUsed/>
    <w:rsid w:val="00CF4CBD"/>
    <w:rPr>
      <w:b/>
      <w:bCs/>
    </w:rPr>
  </w:style>
  <w:style w:type="character" w:customStyle="1" w:styleId="CommentSubjectChar">
    <w:name w:val="Comment Subject Char"/>
    <w:basedOn w:val="CommentTextChar"/>
    <w:link w:val="CommentSubject"/>
    <w:uiPriority w:val="99"/>
    <w:semiHidden/>
    <w:rsid w:val="00CF4CBD"/>
    <w:rPr>
      <w:b/>
      <w:bCs/>
      <w:sz w:val="20"/>
      <w:szCs w:val="20"/>
    </w:rPr>
  </w:style>
  <w:style w:type="paragraph" w:styleId="BalloonText">
    <w:name w:val="Balloon Text"/>
    <w:basedOn w:val="Normal"/>
    <w:link w:val="BalloonTextChar"/>
    <w:uiPriority w:val="99"/>
    <w:semiHidden/>
    <w:unhideWhenUsed/>
    <w:rsid w:val="00CF4C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4CBD"/>
    <w:rPr>
      <w:rFonts w:ascii="Segoe UI" w:hAnsi="Segoe UI" w:cs="Segoe UI"/>
      <w:sz w:val="18"/>
      <w:szCs w:val="18"/>
    </w:rPr>
  </w:style>
  <w:style w:type="character" w:customStyle="1" w:styleId="Heading1Char">
    <w:name w:val="Heading 1 Char"/>
    <w:basedOn w:val="DefaultParagraphFont"/>
    <w:link w:val="Heading1"/>
    <w:uiPriority w:val="9"/>
    <w:rsid w:val="006145B5"/>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404E6D"/>
  </w:style>
  <w:style w:type="paragraph" w:styleId="FootnoteText">
    <w:name w:val="footnote text"/>
    <w:basedOn w:val="Normal"/>
    <w:link w:val="FootnoteTextChar"/>
    <w:uiPriority w:val="99"/>
    <w:semiHidden/>
    <w:unhideWhenUsed/>
    <w:rsid w:val="007D430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D4304"/>
    <w:rPr>
      <w:sz w:val="20"/>
      <w:szCs w:val="20"/>
    </w:rPr>
  </w:style>
  <w:style w:type="character" w:styleId="FootnoteReference">
    <w:name w:val="footnote reference"/>
    <w:basedOn w:val="DefaultParagraphFont"/>
    <w:uiPriority w:val="99"/>
    <w:semiHidden/>
    <w:unhideWhenUsed/>
    <w:rsid w:val="007D430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911283">
      <w:bodyDiv w:val="1"/>
      <w:marLeft w:val="0"/>
      <w:marRight w:val="0"/>
      <w:marTop w:val="0"/>
      <w:marBottom w:val="0"/>
      <w:divBdr>
        <w:top w:val="none" w:sz="0" w:space="0" w:color="auto"/>
        <w:left w:val="none" w:sz="0" w:space="0" w:color="auto"/>
        <w:bottom w:val="none" w:sz="0" w:space="0" w:color="auto"/>
        <w:right w:val="none" w:sz="0" w:space="0" w:color="auto"/>
      </w:divBdr>
    </w:div>
    <w:div w:id="706368221">
      <w:bodyDiv w:val="1"/>
      <w:marLeft w:val="0"/>
      <w:marRight w:val="0"/>
      <w:marTop w:val="0"/>
      <w:marBottom w:val="0"/>
      <w:divBdr>
        <w:top w:val="none" w:sz="0" w:space="0" w:color="auto"/>
        <w:left w:val="none" w:sz="0" w:space="0" w:color="auto"/>
        <w:bottom w:val="none" w:sz="0" w:space="0" w:color="auto"/>
        <w:right w:val="none" w:sz="0" w:space="0" w:color="auto"/>
      </w:divBdr>
    </w:div>
    <w:div w:id="890926373">
      <w:bodyDiv w:val="1"/>
      <w:marLeft w:val="0"/>
      <w:marRight w:val="0"/>
      <w:marTop w:val="0"/>
      <w:marBottom w:val="0"/>
      <w:divBdr>
        <w:top w:val="none" w:sz="0" w:space="0" w:color="auto"/>
        <w:left w:val="none" w:sz="0" w:space="0" w:color="auto"/>
        <w:bottom w:val="none" w:sz="0" w:space="0" w:color="auto"/>
        <w:right w:val="none" w:sz="0" w:space="0" w:color="auto"/>
      </w:divBdr>
    </w:div>
    <w:div w:id="1834292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BB6D75-515A-46D0-A8D4-13A91B7C2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TotalTime>
  <Pages>2</Pages>
  <Words>962</Words>
  <Characters>5487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Bruder</dc:creator>
  <cp:keywords/>
  <dc:description/>
  <cp:lastModifiedBy>Jennifer Bruder</cp:lastModifiedBy>
  <cp:revision>36</cp:revision>
  <dcterms:created xsi:type="dcterms:W3CDTF">2021-04-18T13:05:00Z</dcterms:created>
  <dcterms:modified xsi:type="dcterms:W3CDTF">2024-01-24T12:46:00Z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zotero-version="6.0.30"&gt;&lt;session id="iDyy72wM"/&gt;&lt;style id="http://www.zotero.org/styles/apa" locale="en-US" hasBibliography="1" bibliographyStyleHasBeenSet="1"/&gt;&lt;prefs&gt;&lt;pref name="fieldType" value="Field"/&gt;&lt;/prefs&gt;&lt;/data&gt;</vt:lpwstr>
  </property>
</Properties>
</file>