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4751" w14:textId="77777777" w:rsidR="0089025A" w:rsidRDefault="0089025A" w:rsidP="0089025A">
      <w:pPr>
        <w:autoSpaceDE w:val="0"/>
        <w:autoSpaceDN w:val="0"/>
        <w:adjustRightInd w:val="0"/>
        <w:outlineLvl w:val="0"/>
        <w:rPr>
          <w:b/>
          <w:bCs/>
          <w:sz w:val="28"/>
          <w:szCs w:val="28"/>
        </w:rPr>
      </w:pPr>
      <w:r>
        <w:rPr>
          <w:b/>
          <w:bCs/>
          <w:sz w:val="28"/>
          <w:szCs w:val="28"/>
        </w:rPr>
        <w:t>Additional files</w:t>
      </w:r>
    </w:p>
    <w:p w14:paraId="7533BAED" w14:textId="77777777" w:rsidR="0089025A" w:rsidRDefault="0089025A" w:rsidP="0089025A">
      <w:pPr>
        <w:spacing w:line="240" w:lineRule="auto"/>
        <w:outlineLvl w:val="0"/>
        <w:rPr>
          <w:sz w:val="24"/>
        </w:rPr>
      </w:pPr>
      <w:r>
        <w:rPr>
          <w:rFonts w:hint="eastAsia"/>
          <w:b/>
          <w:bCs/>
          <w:sz w:val="24"/>
        </w:rPr>
        <w:t>Additional file 1: Table S1.</w:t>
      </w:r>
      <w:r>
        <w:rPr>
          <w:rFonts w:hint="eastAsia"/>
          <w:sz w:val="24"/>
        </w:rPr>
        <w:t xml:space="preserve"> Summary of indigenous dengue cases reported in mainland China during 1990-2019.</w:t>
      </w:r>
    </w:p>
    <w:p w14:paraId="5C970165" w14:textId="77777777" w:rsidR="0089025A" w:rsidRDefault="0089025A" w:rsidP="0089025A">
      <w:pPr>
        <w:spacing w:line="240" w:lineRule="auto"/>
        <w:outlineLvl w:val="0"/>
        <w:rPr>
          <w:sz w:val="24"/>
        </w:rPr>
      </w:pPr>
      <w:r>
        <w:rPr>
          <w:rFonts w:hint="eastAsia"/>
          <w:b/>
          <w:bCs/>
          <w:sz w:val="24"/>
        </w:rPr>
        <w:t>Additional file 2: Table S2.</w:t>
      </w:r>
      <w:r>
        <w:rPr>
          <w:rFonts w:hint="eastAsia"/>
          <w:sz w:val="24"/>
        </w:rPr>
        <w:t xml:space="preserve"> Characterization of the assembled genomes of DENV-1 circulated in Guangdong province in this study. </w:t>
      </w:r>
    </w:p>
    <w:p w14:paraId="281D5DBA" w14:textId="77777777" w:rsidR="0089025A" w:rsidRDefault="0089025A" w:rsidP="0089025A">
      <w:pPr>
        <w:spacing w:line="240" w:lineRule="auto"/>
        <w:outlineLvl w:val="0"/>
        <w:rPr>
          <w:b/>
          <w:bCs/>
          <w:sz w:val="24"/>
        </w:rPr>
      </w:pPr>
      <w:r>
        <w:rPr>
          <w:rFonts w:hint="eastAsia"/>
          <w:b/>
          <w:bCs/>
          <w:sz w:val="24"/>
        </w:rPr>
        <w:t>Additional file 3: Figure S1.</w:t>
      </w:r>
      <w:r>
        <w:rPr>
          <w:rFonts w:hint="eastAsia"/>
          <w:sz w:val="24"/>
        </w:rPr>
        <w:t xml:space="preserve"> Epidemiological characteristics of DENVs in mainland China during 1990-2019. </w:t>
      </w:r>
      <w:r>
        <w:rPr>
          <w:rFonts w:hint="eastAsia"/>
          <w:b/>
          <w:bCs/>
          <w:sz w:val="24"/>
        </w:rPr>
        <w:t xml:space="preserve">a, </w:t>
      </w:r>
      <w:r>
        <w:rPr>
          <w:rFonts w:hint="eastAsia"/>
          <w:sz w:val="24"/>
        </w:rPr>
        <w:t>Dengue cases number reported in Guangdong (red) and other province (blue) in mainland China during 1990-2019.</w:t>
      </w:r>
      <w:r>
        <w:rPr>
          <w:rFonts w:hint="eastAsia"/>
          <w:b/>
          <w:bCs/>
          <w:sz w:val="24"/>
        </w:rPr>
        <w:t xml:space="preserve"> b, </w:t>
      </w:r>
      <w:r>
        <w:rPr>
          <w:rFonts w:hint="eastAsia"/>
          <w:sz w:val="24"/>
        </w:rPr>
        <w:t xml:space="preserve">Serotypes of indigenous dengue reported in Guangdong (red) and other provinces (blue) in mainland China during 1990-2019. Circles, squares, triangles, and diamonds represent DENV serotype 1, 2, 3, and 4, respectively. </w:t>
      </w:r>
      <w:r>
        <w:rPr>
          <w:rFonts w:hint="eastAsia"/>
          <w:b/>
          <w:bCs/>
          <w:sz w:val="24"/>
        </w:rPr>
        <w:t xml:space="preserve">c, </w:t>
      </w:r>
      <w:r>
        <w:rPr>
          <w:rFonts w:hint="eastAsia"/>
          <w:sz w:val="24"/>
        </w:rPr>
        <w:t xml:space="preserve">Epidemic provinces with indigenous dengue cases in mainland China during 1990-2019. The left bar shows the number of involved provinces of 4 serotypes of DENV, respectively. </w:t>
      </w:r>
      <w:r>
        <w:rPr>
          <w:rFonts w:hint="eastAsia"/>
          <w:b/>
          <w:bCs/>
          <w:sz w:val="24"/>
        </w:rPr>
        <w:t xml:space="preserve">d, </w:t>
      </w:r>
      <w:r>
        <w:rPr>
          <w:rFonts w:hint="eastAsia"/>
          <w:sz w:val="24"/>
        </w:rPr>
        <w:t xml:space="preserve">Epidemic cities with indigenous dengue cases in Guangdong province during 1990-2019. The left bar shows the number of involved cities in Guangdong province circulating 4 serotypes of DENV, respectively. The color scale in map represents case number. Red, green, blue, and pink quarter pies represent 4 serotypes of DENV, respectively. </w:t>
      </w:r>
    </w:p>
    <w:p w14:paraId="09A180D7" w14:textId="77777777" w:rsidR="0089025A" w:rsidRDefault="0089025A" w:rsidP="0089025A">
      <w:pPr>
        <w:spacing w:line="240" w:lineRule="auto"/>
        <w:outlineLvl w:val="0"/>
        <w:rPr>
          <w:sz w:val="24"/>
        </w:rPr>
      </w:pPr>
      <w:r>
        <w:rPr>
          <w:rFonts w:hint="eastAsia"/>
          <w:b/>
          <w:bCs/>
          <w:sz w:val="24"/>
        </w:rPr>
        <w:t>Additional file 4: Figure S2.</w:t>
      </w:r>
      <w:r>
        <w:rPr>
          <w:rFonts w:hint="eastAsia"/>
          <w:sz w:val="24"/>
        </w:rPr>
        <w:t xml:space="preserve"> Distribution of the sequence number in the designated clades and clusters circulated in mainland China. </w:t>
      </w:r>
      <w:r>
        <w:rPr>
          <w:rFonts w:hint="eastAsia"/>
          <w:b/>
          <w:bCs/>
          <w:sz w:val="24"/>
        </w:rPr>
        <w:t>a,</w:t>
      </w:r>
      <w:r>
        <w:rPr>
          <w:rFonts w:hint="eastAsia"/>
          <w:sz w:val="24"/>
        </w:rPr>
        <w:t xml:space="preserve"> Blue bars show the sequence number in each clade. The inset shows the corresponding cumulative distribution functions (CDFs) of clade sequence number on double logarithmic axes. Values show coefficients of power-law distributions fitted to the sequence number in clades. Clades of Concern (COCs), Clades of Interest (COIs), and Clades under monitoring (CUMs) were classified based on the thresholds of 50 and 5 sequences, corresponding the respective cumulative 80% and 50% sequences. </w:t>
      </w:r>
      <w:r>
        <w:rPr>
          <w:rFonts w:hint="eastAsia"/>
          <w:b/>
          <w:bCs/>
          <w:sz w:val="24"/>
        </w:rPr>
        <w:t>b,</w:t>
      </w:r>
      <w:r>
        <w:rPr>
          <w:rFonts w:hint="eastAsia"/>
          <w:sz w:val="24"/>
        </w:rPr>
        <w:t xml:space="preserve"> Green bars and inset show the sequence number in each designated transmission cluster and the corresponding CDFs of cluster sequence number on double logarithmic axes. </w:t>
      </w:r>
      <w:r>
        <w:rPr>
          <w:rFonts w:hint="eastAsia"/>
          <w:b/>
          <w:bCs/>
          <w:sz w:val="24"/>
        </w:rPr>
        <w:t>c,</w:t>
      </w:r>
      <w:r>
        <w:rPr>
          <w:rFonts w:hint="eastAsia"/>
          <w:sz w:val="24"/>
        </w:rPr>
        <w:t xml:space="preserve"> Partition of the designated clusters sized by their sequence numbers.</w:t>
      </w:r>
    </w:p>
    <w:p w14:paraId="13D86A89" w14:textId="77777777" w:rsidR="0089025A" w:rsidRDefault="0089025A" w:rsidP="0089025A">
      <w:pPr>
        <w:spacing w:line="240" w:lineRule="auto"/>
        <w:outlineLvl w:val="0"/>
        <w:rPr>
          <w:sz w:val="24"/>
        </w:rPr>
      </w:pPr>
      <w:r>
        <w:rPr>
          <w:rFonts w:hint="eastAsia"/>
          <w:b/>
          <w:bCs/>
          <w:sz w:val="24"/>
        </w:rPr>
        <w:t>Additional file 5: Table S3.</w:t>
      </w:r>
      <w:r>
        <w:rPr>
          <w:rFonts w:hint="eastAsia"/>
          <w:sz w:val="24"/>
        </w:rPr>
        <w:t xml:space="preserve"> Summary of the Clades of Concern (COCs), Clades of Interest (COIs), and under monitoring (CUMs) of DENV-1 circulated in mainland China. </w:t>
      </w:r>
    </w:p>
    <w:p w14:paraId="707BC69C" w14:textId="77777777" w:rsidR="0089025A" w:rsidRDefault="0089025A" w:rsidP="0089025A">
      <w:pPr>
        <w:spacing w:line="240" w:lineRule="auto"/>
        <w:outlineLvl w:val="0"/>
        <w:rPr>
          <w:b/>
          <w:bCs/>
          <w:sz w:val="24"/>
          <w:highlight w:val="yellow"/>
        </w:rPr>
      </w:pPr>
      <w:r>
        <w:rPr>
          <w:rFonts w:hint="eastAsia"/>
          <w:b/>
          <w:bCs/>
          <w:sz w:val="24"/>
        </w:rPr>
        <w:t>Additional file 6: Table S4.</w:t>
      </w:r>
      <w:r>
        <w:rPr>
          <w:rFonts w:hint="eastAsia"/>
          <w:sz w:val="24"/>
        </w:rPr>
        <w:t xml:space="preserve"> Characterizing the spatio-temporal distribution and inferring the importing sources of the transmission clusters epidemic in mainland China. </w:t>
      </w:r>
    </w:p>
    <w:p w14:paraId="577F3B64" w14:textId="77777777" w:rsidR="0089025A" w:rsidRDefault="0089025A" w:rsidP="0089025A">
      <w:pPr>
        <w:spacing w:line="240" w:lineRule="auto"/>
        <w:outlineLvl w:val="0"/>
        <w:rPr>
          <w:b/>
          <w:bCs/>
          <w:sz w:val="24"/>
          <w:highlight w:val="yellow"/>
        </w:rPr>
      </w:pPr>
      <w:r>
        <w:rPr>
          <w:rFonts w:hint="eastAsia"/>
          <w:b/>
          <w:bCs/>
          <w:sz w:val="24"/>
        </w:rPr>
        <w:t>Additional file 7: Figure S3.</w:t>
      </w:r>
      <w:r>
        <w:rPr>
          <w:rFonts w:hint="eastAsia"/>
          <w:sz w:val="24"/>
        </w:rPr>
        <w:t xml:space="preserve"> The composition and distribution of seven COCs of DENV-1 in mainland China. Stacked barplots of proportion are colored by seven COCs along time from 1990 to 2019 (</w:t>
      </w:r>
      <w:r>
        <w:rPr>
          <w:rFonts w:hint="eastAsia"/>
          <w:b/>
          <w:bCs/>
          <w:sz w:val="24"/>
        </w:rPr>
        <w:t>a</w:t>
      </w:r>
      <w:r>
        <w:rPr>
          <w:rFonts w:hint="eastAsia"/>
          <w:sz w:val="24"/>
        </w:rPr>
        <w:t>). Stacked barplots of sequence number are colored by seven COCs showing their distribution in provinces in mainland China (</w:t>
      </w:r>
      <w:r>
        <w:rPr>
          <w:rFonts w:hint="eastAsia"/>
          <w:b/>
          <w:bCs/>
          <w:sz w:val="24"/>
        </w:rPr>
        <w:t>b</w:t>
      </w:r>
      <w:r>
        <w:rPr>
          <w:rFonts w:hint="eastAsia"/>
          <w:sz w:val="24"/>
        </w:rPr>
        <w:t>) and cities in Guangdong province (</w:t>
      </w:r>
      <w:r>
        <w:rPr>
          <w:rFonts w:hint="eastAsia"/>
          <w:b/>
          <w:bCs/>
          <w:sz w:val="24"/>
        </w:rPr>
        <w:t>c</w:t>
      </w:r>
      <w:r>
        <w:rPr>
          <w:rFonts w:hint="eastAsia"/>
          <w:sz w:val="24"/>
        </w:rPr>
        <w:t xml:space="preserve">). </w:t>
      </w:r>
    </w:p>
    <w:p w14:paraId="47165ABF" w14:textId="77777777" w:rsidR="0089025A" w:rsidRDefault="0089025A" w:rsidP="0089025A">
      <w:pPr>
        <w:spacing w:line="240" w:lineRule="auto"/>
        <w:outlineLvl w:val="0"/>
        <w:rPr>
          <w:b/>
          <w:bCs/>
          <w:sz w:val="24"/>
        </w:rPr>
      </w:pPr>
      <w:r>
        <w:rPr>
          <w:rFonts w:hint="eastAsia"/>
          <w:b/>
          <w:bCs/>
          <w:sz w:val="24"/>
        </w:rPr>
        <w:t>Additional file 8: Figure S4.</w:t>
      </w:r>
      <w:r>
        <w:rPr>
          <w:rFonts w:hint="eastAsia"/>
          <w:sz w:val="24"/>
        </w:rPr>
        <w:t xml:space="preserve"> Map showing Shannon</w:t>
      </w:r>
      <w:r>
        <w:rPr>
          <w:sz w:val="24"/>
        </w:rPr>
        <w:t>’</w:t>
      </w:r>
      <w:r>
        <w:rPr>
          <w:rFonts w:hint="eastAsia"/>
          <w:sz w:val="24"/>
        </w:rPr>
        <w:t>s index of genotype (a, d), subgenotype (b, e), and clade (c, f) of DENV-1 circulated in each province in mainland China (a-c) / city of Guangdong province (d-f). Yellow colors indicate higher values; darker colors mean lower values.</w:t>
      </w:r>
    </w:p>
    <w:p w14:paraId="3FA42F0C" w14:textId="77777777" w:rsidR="0089025A" w:rsidRDefault="0089025A" w:rsidP="0089025A">
      <w:pPr>
        <w:spacing w:line="240" w:lineRule="auto"/>
        <w:outlineLvl w:val="0"/>
        <w:rPr>
          <w:sz w:val="24"/>
        </w:rPr>
      </w:pPr>
      <w:r>
        <w:rPr>
          <w:rFonts w:hint="eastAsia"/>
          <w:b/>
          <w:bCs/>
          <w:sz w:val="24"/>
        </w:rPr>
        <w:t>Additional file 9: Figure S5.</w:t>
      </w:r>
      <w:r>
        <w:rPr>
          <w:rFonts w:hint="eastAsia"/>
          <w:sz w:val="24"/>
        </w:rPr>
        <w:t xml:space="preserve"> The cities were involved in the circulation of seven COCs transmission clusters in mainland China from 1990 to 2019. Different cities are represented by color, and the circle size shows the number of DENV-1 sequences.</w:t>
      </w:r>
    </w:p>
    <w:p w14:paraId="18ADBB26" w14:textId="77777777" w:rsidR="0089025A" w:rsidRDefault="0089025A" w:rsidP="0089025A">
      <w:pPr>
        <w:spacing w:line="240" w:lineRule="auto"/>
        <w:outlineLvl w:val="0"/>
        <w:rPr>
          <w:sz w:val="24"/>
        </w:rPr>
      </w:pPr>
      <w:r>
        <w:rPr>
          <w:rFonts w:hint="eastAsia"/>
          <w:b/>
          <w:bCs/>
          <w:sz w:val="24"/>
        </w:rPr>
        <w:t>Additional file 10: Figure S6.</w:t>
      </w:r>
      <w:r>
        <w:rPr>
          <w:rFonts w:hint="eastAsia"/>
          <w:sz w:val="24"/>
        </w:rPr>
        <w:t xml:space="preserve"> phylogenetic trees of COCs 1E1 (</w:t>
      </w:r>
      <w:r>
        <w:rPr>
          <w:rFonts w:hint="eastAsia"/>
          <w:b/>
          <w:bCs/>
          <w:sz w:val="24"/>
        </w:rPr>
        <w:t>a</w:t>
      </w:r>
      <w:r>
        <w:rPr>
          <w:rFonts w:hint="eastAsia"/>
          <w:sz w:val="24"/>
        </w:rPr>
        <w:t>), 1H4 (</w:t>
      </w:r>
      <w:r>
        <w:rPr>
          <w:rFonts w:hint="eastAsia"/>
          <w:b/>
          <w:bCs/>
          <w:sz w:val="24"/>
        </w:rPr>
        <w:t>b</w:t>
      </w:r>
      <w:r>
        <w:rPr>
          <w:rFonts w:hint="eastAsia"/>
          <w:sz w:val="24"/>
        </w:rPr>
        <w:t>), 1J7 (</w:t>
      </w:r>
      <w:r>
        <w:rPr>
          <w:rFonts w:hint="eastAsia"/>
          <w:b/>
          <w:bCs/>
          <w:sz w:val="24"/>
        </w:rPr>
        <w:t>c</w:t>
      </w:r>
      <w:r>
        <w:rPr>
          <w:rFonts w:hint="eastAsia"/>
          <w:sz w:val="24"/>
        </w:rPr>
        <w:t>), 1K1 (</w:t>
      </w:r>
      <w:r>
        <w:rPr>
          <w:rFonts w:hint="eastAsia"/>
          <w:b/>
          <w:bCs/>
          <w:sz w:val="24"/>
        </w:rPr>
        <w:t>d</w:t>
      </w:r>
      <w:r>
        <w:rPr>
          <w:rFonts w:hint="eastAsia"/>
          <w:sz w:val="24"/>
        </w:rPr>
        <w:t>), 1L1 (</w:t>
      </w:r>
      <w:r>
        <w:rPr>
          <w:rFonts w:hint="eastAsia"/>
          <w:b/>
          <w:bCs/>
          <w:sz w:val="24"/>
        </w:rPr>
        <w:t>e</w:t>
      </w:r>
      <w:r>
        <w:rPr>
          <w:rFonts w:hint="eastAsia"/>
          <w:sz w:val="24"/>
        </w:rPr>
        <w:t>), 1L2 (</w:t>
      </w:r>
      <w:r>
        <w:rPr>
          <w:rFonts w:hint="eastAsia"/>
          <w:b/>
          <w:bCs/>
          <w:sz w:val="24"/>
        </w:rPr>
        <w:t>f</w:t>
      </w:r>
      <w:r>
        <w:rPr>
          <w:rFonts w:hint="eastAsia"/>
          <w:sz w:val="24"/>
        </w:rPr>
        <w:t>), and 5C1 (</w:t>
      </w:r>
      <w:r>
        <w:rPr>
          <w:rFonts w:hint="eastAsia"/>
          <w:b/>
          <w:bCs/>
          <w:sz w:val="24"/>
        </w:rPr>
        <w:t>g</w:t>
      </w:r>
      <w:r>
        <w:rPr>
          <w:rFonts w:hint="eastAsia"/>
          <w:sz w:val="24"/>
        </w:rPr>
        <w:t xml:space="preserve">) established under the E-gene-based global unified framework of DENV-1. The designated transmission clusters circulated in mainland China are shaded in apricot. The colored circles indicated the locations of strains. </w:t>
      </w:r>
    </w:p>
    <w:p w14:paraId="5BF167D6" w14:textId="77777777" w:rsidR="0089025A" w:rsidRDefault="0089025A" w:rsidP="0089025A">
      <w:pPr>
        <w:spacing w:line="240" w:lineRule="auto"/>
        <w:outlineLvl w:val="0"/>
        <w:rPr>
          <w:sz w:val="24"/>
        </w:rPr>
      </w:pPr>
      <w:r>
        <w:rPr>
          <w:rFonts w:hint="eastAsia"/>
          <w:b/>
          <w:bCs/>
          <w:sz w:val="24"/>
        </w:rPr>
        <w:t>Additional file 11: Table S5.</w:t>
      </w:r>
      <w:r>
        <w:rPr>
          <w:rFonts w:hint="eastAsia"/>
          <w:sz w:val="24"/>
        </w:rPr>
        <w:t xml:space="preserve"> The introduction and diffusion routs of the seven COCs in mainland China inferred by BSSVS.</w:t>
      </w:r>
    </w:p>
    <w:p w14:paraId="57295E13" w14:textId="77777777" w:rsidR="0089025A" w:rsidRDefault="0089025A" w:rsidP="0089025A">
      <w:pPr>
        <w:widowControl/>
        <w:spacing w:line="240" w:lineRule="auto"/>
        <w:rPr>
          <w:rFonts w:eastAsia="SimSun" w:cs="Times New Roman"/>
          <w:kern w:val="0"/>
          <w:sz w:val="24"/>
        </w:rPr>
      </w:pPr>
      <w:r>
        <w:rPr>
          <w:rFonts w:hint="eastAsia"/>
          <w:b/>
          <w:bCs/>
          <w:sz w:val="24"/>
        </w:rPr>
        <w:lastRenderedPageBreak/>
        <w:t>Additional file 12: Figure S7.</w:t>
      </w:r>
      <w:r>
        <w:rPr>
          <w:rFonts w:hint="eastAsia"/>
          <w:sz w:val="24"/>
        </w:rPr>
        <w:t xml:space="preserve"> </w:t>
      </w:r>
      <w:r>
        <w:rPr>
          <w:rFonts w:eastAsia="SimSun" w:cs="Times New Roman" w:hint="eastAsia"/>
          <w:kern w:val="0"/>
          <w:sz w:val="24"/>
        </w:rPr>
        <w:t xml:space="preserve">Summarizing the migration events of seven COCs of DENV-1 inferred by BSSVS. </w:t>
      </w:r>
      <w:r>
        <w:rPr>
          <w:rFonts w:eastAsia="SimSun" w:cs="Times New Roman" w:hint="eastAsia"/>
          <w:b/>
          <w:bCs/>
          <w:kern w:val="0"/>
          <w:sz w:val="24"/>
        </w:rPr>
        <w:t>a</w:t>
      </w:r>
      <w:r>
        <w:rPr>
          <w:rFonts w:eastAsia="SimSun" w:cs="Times New Roman" w:hint="eastAsia"/>
          <w:kern w:val="0"/>
          <w:sz w:val="24"/>
        </w:rPr>
        <w:t xml:space="preserve">. The estimated migration routes of seven COCs with migration rate &gt; 1.0 events/year. </w:t>
      </w:r>
      <w:r>
        <w:rPr>
          <w:rFonts w:eastAsia="SimSun" w:cs="Times New Roman" w:hint="eastAsia"/>
          <w:b/>
          <w:bCs/>
          <w:kern w:val="0"/>
          <w:sz w:val="24"/>
        </w:rPr>
        <w:t>b</w:t>
      </w:r>
      <w:r>
        <w:rPr>
          <w:rFonts w:eastAsia="SimSun" w:cs="Times New Roman" w:hint="eastAsia"/>
          <w:kern w:val="0"/>
          <w:sz w:val="24"/>
        </w:rPr>
        <w:t>. Involved countries or cities number of the estimated importation and diffusion routes of seven COCs.</w:t>
      </w:r>
    </w:p>
    <w:p w14:paraId="690AD6DE" w14:textId="77777777" w:rsidR="0089025A" w:rsidRDefault="0089025A" w:rsidP="0089025A">
      <w:pPr>
        <w:spacing w:line="240" w:lineRule="auto"/>
        <w:outlineLvl w:val="0"/>
        <w:rPr>
          <w:sz w:val="24"/>
        </w:rPr>
      </w:pPr>
      <w:r>
        <w:rPr>
          <w:rFonts w:hint="eastAsia"/>
          <w:b/>
          <w:bCs/>
          <w:sz w:val="24"/>
        </w:rPr>
        <w:t>Additional file 13: Figure S8.</w:t>
      </w:r>
      <w:r>
        <w:rPr>
          <w:rFonts w:hint="eastAsia"/>
          <w:sz w:val="24"/>
        </w:rPr>
        <w:t xml:space="preserve"> Sequence alignment and population size estimation of the COC 5C1. </w:t>
      </w:r>
      <w:r>
        <w:rPr>
          <w:rFonts w:eastAsia="SimSun" w:cs="Times New Roman" w:hint="eastAsia"/>
          <w:b/>
          <w:bCs/>
          <w:kern w:val="0"/>
          <w:sz w:val="24"/>
        </w:rPr>
        <w:t>a</w:t>
      </w:r>
      <w:r>
        <w:rPr>
          <w:rFonts w:eastAsia="SimSun" w:cs="Times New Roman" w:hint="eastAsia"/>
          <w:kern w:val="0"/>
          <w:sz w:val="24"/>
        </w:rPr>
        <w:t xml:space="preserve">. </w:t>
      </w:r>
      <w:r>
        <w:rPr>
          <w:rFonts w:hint="eastAsia"/>
          <w:sz w:val="24"/>
        </w:rPr>
        <w:t xml:space="preserve">Multiple sequence alignment for 3-UTR deletion region of 5C1. </w:t>
      </w:r>
      <w:r>
        <w:rPr>
          <w:rFonts w:eastAsia="SimSun" w:cs="Times New Roman" w:hint="eastAsia"/>
          <w:b/>
          <w:bCs/>
          <w:kern w:val="0"/>
          <w:sz w:val="24"/>
        </w:rPr>
        <w:t>b</w:t>
      </w:r>
      <w:r>
        <w:rPr>
          <w:rFonts w:eastAsia="SimSun" w:cs="Times New Roman" w:hint="eastAsia"/>
          <w:kern w:val="0"/>
          <w:sz w:val="24"/>
        </w:rPr>
        <w:t xml:space="preserve">. </w:t>
      </w:r>
      <w:r>
        <w:rPr>
          <w:rFonts w:hint="eastAsia"/>
          <w:sz w:val="24"/>
        </w:rPr>
        <w:t>The dynamic description of the estimated population sizes for 5C1 Lineage 1 (left) and Lineage 2 (right).</w:t>
      </w:r>
    </w:p>
    <w:p w14:paraId="5FE1E5ED" w14:textId="77777777" w:rsidR="0089025A" w:rsidRDefault="0089025A" w:rsidP="0089025A">
      <w:pPr>
        <w:widowControl/>
        <w:spacing w:line="240" w:lineRule="auto"/>
        <w:rPr>
          <w:sz w:val="24"/>
        </w:rPr>
      </w:pPr>
      <w:r>
        <w:rPr>
          <w:rFonts w:hint="eastAsia"/>
          <w:b/>
          <w:bCs/>
          <w:sz w:val="24"/>
        </w:rPr>
        <w:t>Additional file 14: Figure S9.</w:t>
      </w:r>
      <w:r>
        <w:rPr>
          <w:rFonts w:hint="eastAsia"/>
          <w:sz w:val="24"/>
        </w:rPr>
        <w:t xml:space="preserve"> </w:t>
      </w:r>
      <w:r>
        <w:rPr>
          <w:rFonts w:hint="eastAsia"/>
          <w:b/>
          <w:bCs/>
          <w:sz w:val="24"/>
        </w:rPr>
        <w:t>Invasion and diffusion of the COC 1K1 of DENV-1 in mainland China.</w:t>
      </w:r>
      <w:r>
        <w:rPr>
          <w:rFonts w:hint="eastAsia"/>
          <w:sz w:val="24"/>
        </w:rPr>
        <w:t xml:space="preserve"> </w:t>
      </w:r>
      <w:r>
        <w:rPr>
          <w:rFonts w:hint="eastAsia"/>
          <w:b/>
          <w:bCs/>
          <w:sz w:val="24"/>
        </w:rPr>
        <w:t>a</w:t>
      </w:r>
      <w:r>
        <w:rPr>
          <w:rFonts w:hint="eastAsia"/>
          <w:sz w:val="24"/>
        </w:rPr>
        <w:t xml:space="preserve">. Maximum clade credibility phylogeny of the COC 1K1 based on the genomes. </w:t>
      </w:r>
      <w:r>
        <w:rPr>
          <w:rFonts w:hint="eastAsia"/>
          <w:b/>
          <w:bCs/>
          <w:sz w:val="24"/>
        </w:rPr>
        <w:t>b</w:t>
      </w:r>
      <w:r>
        <w:rPr>
          <w:rFonts w:hint="eastAsia"/>
          <w:sz w:val="24"/>
        </w:rPr>
        <w:t xml:space="preserve">. Temporal dynamics of the designated transmission clusters of 1K1 based on its importing source and year. </w:t>
      </w:r>
      <w:r>
        <w:rPr>
          <w:rFonts w:eastAsia="SimSun" w:cs="Times New Roman" w:hint="eastAsia"/>
          <w:kern w:val="0"/>
          <w:sz w:val="24"/>
        </w:rPr>
        <w:t xml:space="preserve">The inserted pie chart shows the composition ratio of the size of the clusters of </w:t>
      </w:r>
      <w:r>
        <w:rPr>
          <w:rFonts w:hint="eastAsia"/>
          <w:sz w:val="24"/>
        </w:rPr>
        <w:t>1K1</w:t>
      </w:r>
      <w:r>
        <w:rPr>
          <w:rFonts w:eastAsia="SimSun" w:cs="Times New Roman" w:hint="eastAsia"/>
          <w:kern w:val="0"/>
          <w:sz w:val="24"/>
        </w:rPr>
        <w:t xml:space="preserve">. </w:t>
      </w:r>
      <w:r>
        <w:rPr>
          <w:rFonts w:hint="eastAsia"/>
          <w:b/>
          <w:bCs/>
          <w:sz w:val="24"/>
        </w:rPr>
        <w:t>c</w:t>
      </w:r>
      <w:r>
        <w:rPr>
          <w:rFonts w:hint="eastAsia"/>
          <w:sz w:val="24"/>
        </w:rPr>
        <w:t>. Genome-wide SNPs analysis of the cluster 1K1-CN6. Only positions with specific SNPs found in the strains of cluster 1K1-CN6 isolated in mainland China were shown, the SNPs of non-synonymous (NS) in blue and synonymous (S) in red.</w:t>
      </w:r>
    </w:p>
    <w:p w14:paraId="783EA8C9" w14:textId="77777777" w:rsidR="0089025A" w:rsidRDefault="0089025A" w:rsidP="0089025A">
      <w:pPr>
        <w:widowControl/>
        <w:spacing w:line="240" w:lineRule="auto"/>
        <w:rPr>
          <w:sz w:val="24"/>
        </w:rPr>
      </w:pPr>
      <w:r>
        <w:rPr>
          <w:rFonts w:hint="eastAsia"/>
          <w:b/>
          <w:bCs/>
          <w:sz w:val="24"/>
        </w:rPr>
        <w:t>Additional file 15: Figure S10.</w:t>
      </w:r>
      <w:r>
        <w:rPr>
          <w:rFonts w:hint="eastAsia"/>
          <w:sz w:val="24"/>
        </w:rPr>
        <w:t xml:space="preserve"> </w:t>
      </w:r>
      <w:r>
        <w:rPr>
          <w:rFonts w:hint="eastAsia"/>
          <w:b/>
          <w:bCs/>
          <w:sz w:val="24"/>
        </w:rPr>
        <w:t>Invasion and diffusion of the COC 1E1 of DENV-1 in mainland China.</w:t>
      </w:r>
      <w:r>
        <w:rPr>
          <w:rFonts w:hint="eastAsia"/>
          <w:sz w:val="24"/>
        </w:rPr>
        <w:t xml:space="preserve"> </w:t>
      </w:r>
      <w:r>
        <w:rPr>
          <w:rFonts w:hint="eastAsia"/>
          <w:b/>
          <w:bCs/>
          <w:sz w:val="24"/>
        </w:rPr>
        <w:t>a</w:t>
      </w:r>
      <w:r>
        <w:rPr>
          <w:rFonts w:hint="eastAsia"/>
          <w:sz w:val="24"/>
        </w:rPr>
        <w:t xml:space="preserve">. Maximum clade credibility phylogeny of the COC 1E1 based on the genomes. </w:t>
      </w:r>
      <w:r>
        <w:rPr>
          <w:rFonts w:hint="eastAsia"/>
          <w:b/>
          <w:bCs/>
          <w:sz w:val="24"/>
        </w:rPr>
        <w:t>b</w:t>
      </w:r>
      <w:r>
        <w:rPr>
          <w:rFonts w:hint="eastAsia"/>
          <w:sz w:val="24"/>
        </w:rPr>
        <w:t xml:space="preserve">. Temporal dynamics of the designated transmission clusters of 1E1 based on its importing source and year. </w:t>
      </w:r>
      <w:r>
        <w:rPr>
          <w:rFonts w:eastAsia="SimSun" w:cs="Times New Roman" w:hint="eastAsia"/>
          <w:kern w:val="0"/>
          <w:sz w:val="24"/>
        </w:rPr>
        <w:t xml:space="preserve">The inserted pie chart shows the composition ratio of the size of the clusters of </w:t>
      </w:r>
      <w:r>
        <w:rPr>
          <w:rFonts w:hint="eastAsia"/>
          <w:sz w:val="24"/>
        </w:rPr>
        <w:t>1E1</w:t>
      </w:r>
      <w:r>
        <w:rPr>
          <w:rFonts w:eastAsia="SimSun" w:cs="Times New Roman" w:hint="eastAsia"/>
          <w:kern w:val="0"/>
          <w:sz w:val="24"/>
        </w:rPr>
        <w:t xml:space="preserve">. </w:t>
      </w:r>
      <w:r>
        <w:rPr>
          <w:rFonts w:hint="eastAsia"/>
          <w:b/>
          <w:bCs/>
          <w:sz w:val="24"/>
        </w:rPr>
        <w:t>c</w:t>
      </w:r>
      <w:r>
        <w:rPr>
          <w:rFonts w:hint="eastAsia"/>
          <w:sz w:val="24"/>
        </w:rPr>
        <w:t>. Genome-wide SNPs analysis of the cluster 1E1-CN16. Only positions with specific SNPs found in the strains of cluster 1E1-CN16 isolated in mainland China were shown, the SNPs of non-synonymous (NS) in blue and synonymous (S) in red.</w:t>
      </w:r>
    </w:p>
    <w:p w14:paraId="16DE123F" w14:textId="77777777" w:rsidR="0089025A" w:rsidRDefault="0089025A" w:rsidP="0089025A">
      <w:pPr>
        <w:widowControl/>
        <w:spacing w:line="240" w:lineRule="auto"/>
        <w:rPr>
          <w:sz w:val="24"/>
        </w:rPr>
      </w:pPr>
      <w:r>
        <w:rPr>
          <w:rFonts w:hint="eastAsia"/>
          <w:b/>
          <w:bCs/>
          <w:sz w:val="24"/>
        </w:rPr>
        <w:t>Additional file 16: Figure S11.</w:t>
      </w:r>
      <w:r>
        <w:rPr>
          <w:rFonts w:hint="eastAsia"/>
          <w:sz w:val="24"/>
        </w:rPr>
        <w:t xml:space="preserve"> </w:t>
      </w:r>
      <w:r>
        <w:rPr>
          <w:rFonts w:cs="Times New Roman" w:hint="eastAsia"/>
          <w:b/>
          <w:bCs/>
          <w:sz w:val="24"/>
        </w:rPr>
        <w:t>Characterizing the introduction sources and cross-year transmission of the seven COCs in mainland China. a</w:t>
      </w:r>
      <w:r>
        <w:rPr>
          <w:rFonts w:cs="Times New Roman" w:hint="eastAsia"/>
          <w:sz w:val="24"/>
        </w:rPr>
        <w:t xml:space="preserve">. Composition of introduction sources were inferred from the transmission clusters of the seven COCs from 2001 to2019. </w:t>
      </w:r>
      <w:r>
        <w:rPr>
          <w:rFonts w:cs="Times New Roman" w:hint="eastAsia"/>
          <w:b/>
          <w:bCs/>
          <w:sz w:val="24"/>
        </w:rPr>
        <w:t>b</w:t>
      </w:r>
      <w:r>
        <w:rPr>
          <w:rFonts w:cs="Times New Roman" w:hint="eastAsia"/>
          <w:sz w:val="24"/>
        </w:rPr>
        <w:t xml:space="preserve">. Schematic diagram of the transmission clusters of COCs with strains isolated in consecutive years from 2010 to 2019. The isolates number are indicated by pie chart size, and the provinces reported the isolates are showed by pie chart color. </w:t>
      </w:r>
    </w:p>
    <w:p w14:paraId="685600F7" w14:textId="77777777" w:rsidR="00F35240" w:rsidRDefault="00F35240"/>
    <w:sectPr w:rsidR="00F35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5A"/>
    <w:rsid w:val="00342DA6"/>
    <w:rsid w:val="005868F4"/>
    <w:rsid w:val="00703469"/>
    <w:rsid w:val="00753CA0"/>
    <w:rsid w:val="007D23AF"/>
    <w:rsid w:val="0089025A"/>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19264"/>
  <w15:chartTrackingRefBased/>
  <w15:docId w15:val="{95AAE07E-1127-4735-A3AD-862A1F13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89025A"/>
    <w:pPr>
      <w:widowControl w:val="0"/>
      <w:spacing w:after="0" w:line="360" w:lineRule="auto"/>
      <w:jc w:val="both"/>
    </w:pPr>
    <w:rPr>
      <w:rFonts w:ascii="Times New Roman" w:eastAsiaTheme="minorEastAsia" w:hAnsi="Times New Roman"/>
      <w:sz w:val="21"/>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5148</Characters>
  <Application>Microsoft Office Word</Application>
  <DocSecurity>0</DocSecurity>
  <Lines>42</Lines>
  <Paragraphs>12</Paragraphs>
  <ScaleCrop>false</ScaleCrop>
  <Company>Springer Nature</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2024-02-05T08:43:00Z</dcterms:created>
  <dcterms:modified xsi:type="dcterms:W3CDTF">2024-02-05T08:43:00Z</dcterms:modified>
</cp:coreProperties>
</file>