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Synthetic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poly (4-hydroxybutyrate) as </w:t>
      </w:r>
      <w:bookmarkStart w:id="0" w:name="OLE_LINK3"/>
      <w:r>
        <w:rPr>
          <w:rFonts w:ascii="Times New Roman" w:hAnsi="Times New Roman" w:cs="Times New Roman"/>
          <w:b/>
          <w:bCs/>
          <w:sz w:val="28"/>
          <w:szCs w:val="28"/>
        </w:rPr>
        <w:t>reinforc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ing additive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to manufacture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OLE_LINK9"/>
      <w:r>
        <w:rPr>
          <w:rFonts w:ascii="Times New Roman" w:hAnsi="Times New Roman" w:cs="Times New Roman"/>
          <w:b/>
          <w:bCs/>
          <w:sz w:val="28"/>
          <w:szCs w:val="28"/>
        </w:rPr>
        <w:t>high-performance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 and fully biodegradable PBAT composites for foaming applications</w:t>
      </w:r>
    </w:p>
    <w:p>
      <w:pPr>
        <w:pStyle w:val="8"/>
        <w:spacing w:before="156" w:beforeLines="50" w:after="156" w:afterLines="50" w:line="240" w:lineRule="auto"/>
        <w:jc w:val="center"/>
        <w:rPr>
          <w:rFonts w:hint="eastAsia" w:eastAsia="黑体"/>
          <w:lang w:val="en-US" w:eastAsia="zh-CN"/>
        </w:rPr>
      </w:pPr>
      <w:r>
        <w:rPr>
          <w:rFonts w:ascii="Times New Roman" w:hAnsi="Times New Roman" w:cs="Times New Roman"/>
          <w:sz w:val="21"/>
          <w:szCs w:val="20"/>
        </w:rPr>
        <w:t xml:space="preserve">Jinyun Cui, </w:t>
      </w:r>
      <w:r>
        <w:rPr>
          <w:rFonts w:hint="eastAsia" w:ascii="Times New Roman" w:hAnsi="Times New Roman" w:cs="Times New Roman"/>
          <w:sz w:val="21"/>
          <w:szCs w:val="20"/>
        </w:rPr>
        <w:t xml:space="preserve">Huaping Wang, Xinyi Chen, </w:t>
      </w:r>
      <w:r>
        <w:rPr>
          <w:rFonts w:ascii="Times New Roman" w:hAnsi="Times New Roman" w:cs="Times New Roman"/>
          <w:sz w:val="21"/>
          <w:szCs w:val="20"/>
        </w:rPr>
        <w:t>Ze Kan</w:t>
      </w:r>
      <w:r>
        <w:rPr>
          <w:rFonts w:hint="eastAsia" w:ascii="Times New Roman" w:hAnsi="Times New Roman" w:cs="Times New Roman"/>
          <w:sz w:val="21"/>
          <w:szCs w:val="20"/>
          <w:lang w:val="en-US" w:eastAsia="zh-CN"/>
        </w:rPr>
        <w:t>*</w:t>
      </w:r>
      <w:r>
        <w:rPr>
          <w:rFonts w:ascii="Times New Roman" w:hAnsi="Times New Roman" w:cs="Times New Roman"/>
          <w:sz w:val="21"/>
          <w:szCs w:val="20"/>
        </w:rPr>
        <w:t>, Zhibo Li</w:t>
      </w:r>
      <w:r>
        <w:rPr>
          <w:rFonts w:hint="eastAsia" w:ascii="Times New Roman" w:hAnsi="Times New Roman" w:cs="Times New Roman"/>
          <w:sz w:val="21"/>
          <w:szCs w:val="20"/>
          <w:lang w:val="en-US" w:eastAsia="zh-CN"/>
        </w:rPr>
        <w:t>*</w:t>
      </w:r>
    </w:p>
    <w:p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Key Laboratory of Biobased Polymer Materials, Shandong Provincial Education Department, College of Polymer Science and Engineering, Qingdao University of Science and Technology, Qingdao, China</w:t>
      </w:r>
    </w:p>
    <w:p>
      <w:pPr>
        <w:jc w:val="center"/>
        <w:rPr>
          <w:rFonts w:ascii="Times New Roman" w:hAnsi="Times New Roman" w:eastAsia="宋体" w:cs="Times New Roman"/>
          <w:color w:val="auto"/>
          <w:sz w:val="21"/>
          <w:szCs w:val="21"/>
        </w:rPr>
      </w:pPr>
    </w:p>
    <w:p>
      <w:pPr>
        <w:pStyle w:val="8"/>
        <w:jc w:val="center"/>
        <w:rPr>
          <w:rFonts w:ascii="Times New Roman" w:hAnsi="Times New Roman" w:eastAsia="宋体" w:cs="Times New Roman"/>
          <w:spacing w:val="2"/>
          <w:sz w:val="21"/>
          <w:szCs w:val="21"/>
        </w:rPr>
      </w:pPr>
      <w:r>
        <w:rPr>
          <w:rFonts w:ascii="Times New Roman" w:hAnsi="Times New Roman" w:eastAsia="宋体" w:cs="Times New Roman"/>
          <w:spacing w:val="2"/>
          <w:sz w:val="21"/>
          <w:szCs w:val="21"/>
        </w:rPr>
        <w:drawing>
          <wp:inline distT="0" distB="0" distL="0" distR="0">
            <wp:extent cx="5274310" cy="2192020"/>
            <wp:effectExtent l="0" t="0" r="13970" b="2540"/>
            <wp:docPr id="12863613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6137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>Figure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>1</w:t>
      </w:r>
      <w:r>
        <w:rPr>
          <w:rFonts w:ascii="Times New Roman" w:hAnsi="Times New Roman" w:eastAsia="宋体" w:cs="Times New Roman"/>
          <w:sz w:val="21"/>
          <w:szCs w:val="21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Tan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δ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(a) and storage modulus (b) of PBAT, P4HB and PBAT/P4HB blend.</w:t>
      </w:r>
    </w:p>
    <w:p>
      <w:pPr>
        <w:rPr>
          <w:rFonts w:ascii="Times New Roman" w:hAnsi="Times New Roman" w:eastAsia="宋体" w:cs="Times New Roman"/>
          <w:sz w:val="18"/>
          <w:szCs w:val="18"/>
        </w:rPr>
      </w:pPr>
    </w:p>
    <w:p>
      <w:r>
        <w:rPr>
          <w:rFonts w:hint="eastAsia"/>
        </w:rPr>
        <w:drawing>
          <wp:inline distT="0" distB="0" distL="0" distR="0">
            <wp:extent cx="5274310" cy="1896745"/>
            <wp:effectExtent l="0" t="0" r="13970" b="8255"/>
            <wp:docPr id="8609859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85939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sz w:val="18"/>
          <w:szCs w:val="18"/>
          <w:vertAlign w:val="subscript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>Figure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>2</w:t>
      </w:r>
      <w:r>
        <w:rPr>
          <w:rFonts w:ascii="Times New Roman" w:hAnsi="Times New Roman" w:eastAsia="宋体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SEM images of the cryo-fractured surface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for </w:t>
      </w:r>
      <w:r>
        <w:rPr>
          <w:rFonts w:ascii="Times New Roman" w:hAnsi="Times New Roman" w:eastAsia="宋体" w:cs="Times New Roman"/>
          <w:sz w:val="18"/>
          <w:szCs w:val="18"/>
        </w:rPr>
        <w:t>PBAT/P4HB (a</w:t>
      </w:r>
      <w:r>
        <w:rPr>
          <w:rFonts w:ascii="Times New Roman" w:hAnsi="Times New Roman" w:eastAsia="宋体" w:cs="Times New Roman"/>
          <w:sz w:val="18"/>
          <w:szCs w:val="18"/>
          <w:vertAlign w:val="subscript"/>
        </w:rPr>
        <w:t>1</w:t>
      </w:r>
      <w:r>
        <w:rPr>
          <w:rFonts w:ascii="Times New Roman" w:hAnsi="Times New Roman" w:eastAsia="宋体" w:cs="Times New Roman"/>
          <w:sz w:val="18"/>
          <w:szCs w:val="18"/>
        </w:rPr>
        <w:t>5</w:t>
      </w:r>
      <w:r>
        <w:rPr>
          <w:rFonts w:hint="eastAsia" w:ascii="Times New Roman" w:hAnsi="Times New Roman" w:eastAsia="宋体" w:cs="Times New Roman"/>
          <w:sz w:val="18"/>
          <w:szCs w:val="18"/>
        </w:rPr>
        <w:t>00</w:t>
      </w:r>
      <w:r>
        <w:rPr>
          <w:rFonts w:ascii="Times New Roman" w:hAnsi="Times New Roman" w:eastAsia="宋体" w:cs="Times New Roman"/>
          <w:sz w:val="18"/>
          <w:szCs w:val="18"/>
        </w:rPr>
        <w:t>0</w:t>
      </w:r>
      <w:bookmarkStart w:id="2" w:name="OLE_LINK1"/>
      <w:r>
        <w:rPr>
          <w:rFonts w:ascii="Times New Roman" w:hAnsi="Times New Roman" w:eastAsia="宋体" w:cs="Times New Roman"/>
          <w:b/>
          <w:bCs/>
          <w:sz w:val="18"/>
          <w:szCs w:val="18"/>
        </w:rPr>
        <w:t>×</w:t>
      </w:r>
      <w:bookmarkEnd w:id="2"/>
      <w:r>
        <w:rPr>
          <w:rFonts w:ascii="Times New Roman" w:hAnsi="Times New Roman" w:eastAsia="宋体" w:cs="Times New Roman"/>
          <w:b/>
          <w:bCs/>
          <w:sz w:val="18"/>
          <w:szCs w:val="18"/>
          <w:vertAlign w:val="subscript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, a</w:t>
      </w:r>
      <w:r>
        <w:rPr>
          <w:rFonts w:ascii="Times New Roman" w:hAnsi="Times New Roman" w:eastAsia="宋体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eastAsia="宋体" w:cs="Times New Roman"/>
          <w:sz w:val="18"/>
          <w:szCs w:val="18"/>
        </w:rPr>
        <w:t>10000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>×</w:t>
      </w:r>
      <w:r>
        <w:rPr>
          <w:rFonts w:ascii="Times New Roman" w:hAnsi="Times New Roman" w:eastAsia="宋体" w:cs="Times New Roman"/>
          <w:sz w:val="18"/>
          <w:szCs w:val="18"/>
        </w:rPr>
        <w:t>).</w:t>
      </w:r>
    </w:p>
    <w:p>
      <w:pPr>
        <w:jc w:val="center"/>
        <w:rPr>
          <w:rFonts w:ascii="Times New Roman" w:hAnsi="Times New Roman" w:eastAsia="宋体" w:cs="Times New Roman"/>
          <w:b/>
          <w:bCs/>
          <w:sz w:val="21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 w:val="21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 w:val="21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 w:val="21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 w:val="21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 w:val="21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 w:val="21"/>
          <w:szCs w:val="21"/>
        </w:rPr>
      </w:pPr>
    </w:p>
    <w:p>
      <w:pPr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>Table S1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Mechanical properties of PBAT</w:t>
      </w:r>
      <w:r>
        <w:rPr>
          <w:rFonts w:hint="eastAsia" w:ascii="Times New Roman" w:hAnsi="Times New Roman" w:eastAsia="宋体" w:cs="Times New Roman"/>
          <w:sz w:val="18"/>
          <w:szCs w:val="18"/>
        </w:rPr>
        <w:t>,</w:t>
      </w:r>
      <w:r>
        <w:rPr>
          <w:rFonts w:ascii="Times New Roman" w:hAnsi="Times New Roman" w:eastAsia="宋体" w:cs="Times New Roman"/>
          <w:sz w:val="18"/>
          <w:szCs w:val="18"/>
        </w:rPr>
        <w:t xml:space="preserve"> P4HB and PBAT/P4HB/ P4HB-g-GMA blends.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599"/>
        <w:gridCol w:w="1599"/>
        <w:gridCol w:w="1599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9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bookmarkStart w:id="3" w:name="_Hlk152680816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Sample</w:t>
            </w:r>
          </w:p>
        </w:tc>
        <w:tc>
          <w:tcPr>
            <w:tcW w:w="159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Yield strength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(MPa)</w:t>
            </w:r>
          </w:p>
        </w:tc>
        <w:tc>
          <w:tcPr>
            <w:tcW w:w="159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 xml:space="preserve">Tensile </w:t>
            </w:r>
            <w:bookmarkStart w:id="4" w:name="OLE_LINK24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breaking</w:t>
            </w:r>
            <w:bookmarkEnd w:id="4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 xml:space="preserve"> </w:t>
            </w:r>
            <w:bookmarkStart w:id="5" w:name="OLE_LINK23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strength</w:t>
            </w:r>
            <w:bookmarkEnd w:id="5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(MPa)</w:t>
            </w:r>
          </w:p>
        </w:tc>
        <w:tc>
          <w:tcPr>
            <w:tcW w:w="159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Elongation at break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(%)</w:t>
            </w:r>
          </w:p>
        </w:tc>
        <w:tc>
          <w:tcPr>
            <w:tcW w:w="16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Izod notched impact strength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(kJ/m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59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PBAT</w:t>
            </w:r>
          </w:p>
        </w:tc>
        <w:tc>
          <w:tcPr>
            <w:tcW w:w="159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5.9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±0.8</w:t>
            </w:r>
          </w:p>
        </w:tc>
        <w:tc>
          <w:tcPr>
            <w:tcW w:w="159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21.8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±2.8</w:t>
            </w:r>
          </w:p>
        </w:tc>
        <w:tc>
          <w:tcPr>
            <w:tcW w:w="159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689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±63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±1.4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P4HB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16.4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1.0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52.4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3.0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466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50.1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PBAT/P4HB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±0.2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17.8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±1.0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48</w:t>
            </w:r>
            <w:bookmarkStart w:id="7" w:name="_GoBack"/>
            <w:bookmarkEnd w:id="7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14.1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PBAT/P4HB/G1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7.4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±1.1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20.4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±1.7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564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22.6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PBAT/P4HB/G2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8.4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±0.4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±1.6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641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23.6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bscript"/>
              </w:rPr>
              <w:t>±0.2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PBAT/P4HB/G4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8.7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±2.1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25.3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±3.0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656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23.8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PBAT/P4HB/G6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9.4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±1.3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27.5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±2.1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635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31.9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±1.6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159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PBAT/P4HB/G8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12.1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±0.3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29.2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±1.3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588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±31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30.3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bscript"/>
              </w:rPr>
              <w:t>±1.9</w:t>
            </w:r>
          </w:p>
        </w:tc>
      </w:tr>
    </w:tbl>
    <w:p/>
    <w:p>
      <w:pPr>
        <w:jc w:val="center"/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 xml:space="preserve">Table S2 </w:t>
      </w:r>
      <w:r>
        <w:rPr>
          <w:rFonts w:hint="eastAsia" w:ascii="Times New Roman" w:hAnsi="Times New Roman" w:eastAsia="宋体" w:cs="Times New Roman"/>
          <w:sz w:val="18"/>
          <w:szCs w:val="18"/>
        </w:rPr>
        <w:t>DSC</w:t>
      </w:r>
      <w:r>
        <w:rPr>
          <w:rFonts w:ascii="Times New Roman" w:hAnsi="Times New Roman" w:eastAsia="宋体" w:cs="Times New Roman"/>
          <w:sz w:val="18"/>
          <w:szCs w:val="18"/>
        </w:rPr>
        <w:t xml:space="preserve"> data of </w:t>
      </w:r>
      <w:bookmarkStart w:id="6" w:name="OLE_LINK37"/>
      <w:r>
        <w:rPr>
          <w:rFonts w:ascii="Times New Roman" w:hAnsi="Times New Roman" w:eastAsia="宋体" w:cs="Times New Roman"/>
          <w:sz w:val="18"/>
          <w:szCs w:val="18"/>
        </w:rPr>
        <w:t>PBAT/P4HB/P4HB-g-GMA</w:t>
      </w:r>
      <w:bookmarkEnd w:id="6"/>
      <w:r>
        <w:rPr>
          <w:rFonts w:ascii="Times New Roman" w:hAnsi="Times New Roman" w:eastAsia="宋体" w:cs="Times New Roman"/>
          <w:sz w:val="18"/>
          <w:szCs w:val="18"/>
        </w:rPr>
        <w:t xml:space="preserve"> blends.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970"/>
        <w:gridCol w:w="970"/>
        <w:gridCol w:w="970"/>
        <w:gridCol w:w="970"/>
        <w:gridCol w:w="902"/>
        <w:gridCol w:w="902"/>
        <w:gridCol w:w="90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Sample</w:t>
            </w:r>
          </w:p>
        </w:tc>
        <w:tc>
          <w:tcPr>
            <w:tcW w:w="9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ΔHm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(PBAT)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(J/g)</w:t>
            </w:r>
          </w:p>
        </w:tc>
        <w:tc>
          <w:tcPr>
            <w:tcW w:w="9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Xc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(PBAT)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(%)</w:t>
            </w:r>
          </w:p>
        </w:tc>
        <w:tc>
          <w:tcPr>
            <w:tcW w:w="9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Tm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(PBAT)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(℃)</w:t>
            </w:r>
          </w:p>
        </w:tc>
        <w:tc>
          <w:tcPr>
            <w:tcW w:w="9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Tc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(PBAT)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(℃)</w:t>
            </w:r>
          </w:p>
        </w:tc>
        <w:tc>
          <w:tcPr>
            <w:tcW w:w="90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ΔHm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(P4HB)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(J/g)</w:t>
            </w:r>
          </w:p>
        </w:tc>
        <w:tc>
          <w:tcPr>
            <w:tcW w:w="90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Tm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(P4HB)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(℃)</w:t>
            </w:r>
          </w:p>
        </w:tc>
        <w:tc>
          <w:tcPr>
            <w:tcW w:w="90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Tc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(P4HB)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(℃)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PBAT/P4HB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5.9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7.5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122.9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73.9</w:t>
            </w:r>
          </w:p>
        </w:tc>
        <w:tc>
          <w:tcPr>
            <w:tcW w:w="90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10.1</w:t>
            </w:r>
          </w:p>
        </w:tc>
        <w:tc>
          <w:tcPr>
            <w:tcW w:w="90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60.5</w:t>
            </w:r>
          </w:p>
        </w:tc>
        <w:tc>
          <w:tcPr>
            <w:tcW w:w="90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-12.9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PBAT/P4HB/G1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6.3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7.9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122.8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76.7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12.5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60.4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22.8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PBAT/P4HB/G2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7.0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8.8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122.2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77.4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13.5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60.4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23.3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PBAT/P4HB/G4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7.2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9.0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123.4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78.6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15.3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61.3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24.9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PBAT/P4HB/G6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7.0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8.9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122.7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76.2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14.7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60.6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25.2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PBAT/P4HB/G8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7.5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9.4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122.4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77.2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15.7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60.1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25.3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mMDhjNWNjNzFiMzhmODk3MDcwNDNmMzU5YWJkMDcifQ=="/>
  </w:docVars>
  <w:rsids>
    <w:rsidRoot w:val="00213C52"/>
    <w:rsid w:val="0009369B"/>
    <w:rsid w:val="001547B6"/>
    <w:rsid w:val="00213C52"/>
    <w:rsid w:val="00267AEA"/>
    <w:rsid w:val="005365CC"/>
    <w:rsid w:val="0066589D"/>
    <w:rsid w:val="00680729"/>
    <w:rsid w:val="009A6145"/>
    <w:rsid w:val="00A61DD8"/>
    <w:rsid w:val="00D33258"/>
    <w:rsid w:val="00DE0A3B"/>
    <w:rsid w:val="01472DAC"/>
    <w:rsid w:val="1D5C05C8"/>
    <w:rsid w:val="21BA014A"/>
    <w:rsid w:val="221A1E6E"/>
    <w:rsid w:val="28440607"/>
    <w:rsid w:val="2BC93191"/>
    <w:rsid w:val="2D6C14C5"/>
    <w:rsid w:val="32BD09BA"/>
    <w:rsid w:val="34C6511F"/>
    <w:rsid w:val="7AAB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4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论文正文小节标题"/>
    <w:basedOn w:val="1"/>
    <w:next w:val="1"/>
    <w:qFormat/>
    <w:uiPriority w:val="0"/>
    <w:pPr>
      <w:spacing w:line="300" w:lineRule="auto"/>
    </w:pPr>
    <w:rPr>
      <w:rFonts w:ascii="Calibri" w:hAnsi="Calibri" w:eastAsia="黑体"/>
    </w:rPr>
  </w:style>
  <w:style w:type="character" w:customStyle="1" w:styleId="9">
    <w:name w:val="标题 1 字符"/>
    <w:basedOn w:val="7"/>
    <w:link w:val="2"/>
    <w:qFormat/>
    <w:uiPriority w:val="9"/>
    <w:rPr>
      <w:b/>
      <w:bCs/>
      <w:color w:val="000000" w:themeColor="text1"/>
      <w:kern w:val="44"/>
      <w:sz w:val="44"/>
      <w:szCs w:val="44"/>
      <w14:textFill>
        <w14:solidFill>
          <w14:schemeClr w14:val="tx1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color w:val="000000" w:themeColor="text1"/>
      <w:kern w:val="2"/>
      <w:sz w:val="18"/>
      <w:szCs w:val="18"/>
      <w14:textFill>
        <w14:solidFill>
          <w14:schemeClr w14:val="tx1"/>
        </w14:solidFill>
      </w14:textFill>
    </w:rPr>
  </w:style>
  <w:style w:type="character" w:customStyle="1" w:styleId="11">
    <w:name w:val="页脚 字符"/>
    <w:basedOn w:val="7"/>
    <w:link w:val="3"/>
    <w:qFormat/>
    <w:uiPriority w:val="99"/>
    <w:rPr>
      <w:color w:val="000000" w:themeColor="text1"/>
      <w:kern w:val="2"/>
      <w:sz w:val="18"/>
      <w:szCs w:val="1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236</Words>
  <Characters>1351</Characters>
  <Lines>11</Lines>
  <Paragraphs>3</Paragraphs>
  <TotalTime>2</TotalTime>
  <ScaleCrop>false</ScaleCrop>
  <LinksUpToDate>false</LinksUpToDate>
  <CharactersWithSpaces>1584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2023-12-06T07:49:00Z</dcterms:created>
  <dc:creator>金云 崔</dc:creator>
  <cp:lastModifiedBy>kz</cp:lastModifiedBy>
  <dcterms:modified xsi:type="dcterms:W3CDTF">2023-12-17T12:02:37Z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409426ba-39bf-48ba-b2af-a3983e33bda7</vt:lpwstr>
  </property>
  <property fmtid="{D5CDD505-2E9C-101B-9397-08002B2CF9AE}" pid="3" name="KSOProductBuildVer">
    <vt:lpwstr>2052-12.1.0.15990</vt:lpwstr>
  </property>
  <property fmtid="{D5CDD505-2E9C-101B-9397-08002B2CF9AE}" pid="4" name="ICV">
    <vt:lpwstr>9E086B2E7B514B66A638D6E05B8DDA59_12</vt:lpwstr>
  </property>
</Properties>
</file>