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2412"/>
        <w:tblOverlap w:val="never"/>
        <w:tblW w:w="107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000"/>
        <w:gridCol w:w="892"/>
        <w:gridCol w:w="723"/>
        <w:gridCol w:w="1062"/>
        <w:gridCol w:w="1438"/>
        <w:gridCol w:w="1369"/>
        <w:gridCol w:w="1139"/>
        <w:gridCol w:w="1061"/>
        <w:gridCol w:w="1015"/>
      </w:tblGrid>
      <w:tr>
        <w:trPr>
          <w:trHeight w:val="1409" w:hRule="atLeast"/>
          <w:jc w:val="center"/>
        </w:trPr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atient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N0.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Age</w:t>
            </w: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 xml:space="preserve"> (Year)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Stage</w:t>
            </w: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s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CRS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Pathology</w:t>
            </w: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Histological grade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Platinum resistant recurrence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CA125 before NACT</w:t>
            </w: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 xml:space="preserve"> (U/ml)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HE4 before NACT</w:t>
            </w: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 xml:space="preserve"> (U/ml)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CFCECE" w:themeFill="background2" w:themeFillShade="E5"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sz w:val="24"/>
                <w:szCs w:val="24"/>
                <w:highlight w:val="none"/>
                <w:lang w:val="en-US" w:eastAsia="zh-CN"/>
              </w:rPr>
              <w:t>Chemo cycles total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1" w:hRule="atLeast"/>
          <w:jc w:val="center"/>
        </w:trPr>
        <w:tc>
          <w:tcPr>
            <w:tcW w:w="10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977.7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1238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369.9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457.8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&gt;5000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1041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2441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415.8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1233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1195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1163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785.5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1085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1043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2327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572.9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228.5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944.4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3237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&gt;1500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1612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972.8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2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o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&gt;1000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NA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1" w:hRule="atLeast"/>
          <w:jc w:val="center"/>
        </w:trPr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IIIB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NA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Serous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High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N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o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&gt;1000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NA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spacing w:line="360" w:lineRule="auto"/>
        <w:jc w:val="center"/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highlight w:val="none"/>
          <w:lang w:val="en-US" w:eastAsia="zh-CN"/>
        </w:rPr>
        <w:t xml:space="preserve">Table 2. The detailed information of paitents who received neosdjuvant chemotherapy (NACT).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7030605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93785"/>
    <w:rsid w:val="A2F963E6"/>
    <w:rsid w:val="FFE9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2023-12-25T19:54:00Z</dcterms:created>
  <dc:creator>Hu</dc:creator>
  <cp:lastModifiedBy>Li Yun</cp:lastModifiedBy>
  <dcterms:modified xsi:type="dcterms:W3CDTF">2024-01-26T23:20:50Z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A4BBB918C457C97D09FD8865DBEB4A02_41</vt:lpwstr>
  </property>
</Properties>
</file>