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50" w:tblpY="2474"/>
        <w:tblOverlap w:val="never"/>
        <w:tblW w:w="88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122"/>
        <w:gridCol w:w="2649"/>
        <w:gridCol w:w="3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4A4A4" w:themeFill="background1" w:themeFillShade="A5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highlight w:val="none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highlight w:val="none"/>
                <w:vertAlign w:val="baseline"/>
                <w:lang w:val="en-US" w:eastAsia="zh-Hans"/>
              </w:rPr>
              <w:t>Expression trend upon NACT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 w:themeFill="background1" w:themeFillShade="A5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highlight w:val="none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highlight w:val="none"/>
                <w:vertAlign w:val="baseline"/>
                <w:lang w:val="en-US" w:eastAsia="zh-Hans"/>
              </w:rPr>
              <w:t>Gene name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4A4A4" w:themeFill="background1" w:themeFillShade="A5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highlight w:val="none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highlight w:val="none"/>
                <w:vertAlign w:val="baseline"/>
                <w:lang w:val="en-US" w:eastAsia="zh-Hans"/>
              </w:rPr>
              <w:t>Gene full name</w:t>
            </w: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4A4A4" w:themeFill="background1" w:themeFillShade="A5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highlight w:val="none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auto"/>
                <w:sz w:val="24"/>
                <w:szCs w:val="24"/>
                <w:highlight w:val="none"/>
                <w:vertAlign w:val="baseline"/>
                <w:lang w:val="en-US" w:eastAsia="zh-Hans"/>
              </w:rPr>
              <w:t>Function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9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Up-regulated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  <w:szCs w:val="24"/>
                <w:highlight w:val="none"/>
                <w:vertAlign w:val="baseline"/>
                <w:lang w:eastAsia="zh-Hans"/>
              </w:rPr>
              <w:t>EPCAM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eastAsia="zh-Hans"/>
              </w:rPr>
              <w:t>Epithelial cell adhesion molecule</w:t>
            </w: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eastAsia="zh-Hans"/>
              </w:rPr>
              <w:t>Carcinoma-associated antigen, function as a homotypic calcium independent cell adhesion molecule.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112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  <w:szCs w:val="24"/>
                <w:highlight w:val="none"/>
                <w:vertAlign w:val="baseline"/>
                <w:lang w:eastAsia="zh-Hans"/>
              </w:rPr>
              <w:t>UBE2C</w:t>
            </w:r>
          </w:p>
        </w:tc>
        <w:tc>
          <w:tcPr>
            <w:tcW w:w="264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eastAsia="zh-Hans"/>
              </w:rPr>
              <w:t>Ubiquitin-conjugating enzyme E2C</w:t>
            </w:r>
          </w:p>
        </w:tc>
        <w:tc>
          <w:tcPr>
            <w:tcW w:w="339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eastAsia="zh-Hans"/>
              </w:rPr>
              <w:t>Destruction of mitotic cyclins and for cell cycle progression.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112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  <w:szCs w:val="24"/>
                <w:highlight w:val="none"/>
                <w:vertAlign w:val="baseline"/>
                <w:lang w:eastAsia="zh-Hans"/>
              </w:rPr>
              <w:t>CCNB1</w:t>
            </w:r>
          </w:p>
        </w:tc>
        <w:tc>
          <w:tcPr>
            <w:tcW w:w="264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eastAsia="zh-Hans"/>
              </w:rPr>
              <w:t>Cyclin B1</w:t>
            </w:r>
          </w:p>
        </w:tc>
        <w:tc>
          <w:tcPr>
            <w:tcW w:w="339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eastAsia="zh-Hans"/>
              </w:rPr>
              <w:t>Mitosis, cell cycle regulation, for G2/M transition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112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Italic" w:hAnsi="Times New Roman Italic" w:cs="Times New Roman Italic" w:eastAsiaTheme="minorEastAsia"/>
                <w:i/>
                <w:iCs/>
                <w:kern w:val="2"/>
                <w:sz w:val="24"/>
                <w:szCs w:val="24"/>
                <w:highlight w:val="none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  <w:szCs w:val="24"/>
                <w:highlight w:val="none"/>
                <w:vertAlign w:val="baseline"/>
                <w:lang w:eastAsia="zh-Hans"/>
              </w:rPr>
              <w:t>MKI67</w:t>
            </w:r>
          </w:p>
        </w:tc>
        <w:tc>
          <w:tcPr>
            <w:tcW w:w="264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eastAsia="zh-Hans"/>
              </w:rPr>
              <w:t>Marker of proliferation Ki-67</w:t>
            </w:r>
          </w:p>
        </w:tc>
        <w:tc>
          <w:tcPr>
            <w:tcW w:w="339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eastAsia="zh-Hans"/>
              </w:rPr>
              <w:t>Cell proliferation.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1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Italic" w:hAnsi="Times New Roman Italic" w:cs="Times New Roman Italic" w:eastAsiaTheme="minorEastAsia"/>
                <w:i/>
                <w:iCs/>
                <w:kern w:val="2"/>
                <w:sz w:val="24"/>
                <w:szCs w:val="24"/>
                <w:highlight w:val="none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  <w:szCs w:val="24"/>
                <w:highlight w:val="none"/>
                <w:vertAlign w:val="baseline"/>
                <w:lang w:eastAsia="zh-Hans"/>
              </w:rPr>
              <w:t>BIRC5</w:t>
            </w:r>
          </w:p>
        </w:tc>
        <w:tc>
          <w:tcPr>
            <w:tcW w:w="26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eastAsia="zh-Hans"/>
              </w:rPr>
              <w:t>Baculoviral IAP repeat containing 5</w:t>
            </w:r>
          </w:p>
        </w:tc>
        <w:tc>
          <w:tcPr>
            <w:tcW w:w="339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highlight w:val="none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  <w:vertAlign w:val="baseline"/>
                <w:lang w:eastAsia="zh-Hans"/>
              </w:rPr>
              <w:t xml:space="preserve">Encode negative regulatory proteins that prevent apoptotic cell death.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9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Down-regulated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Italic" w:hAnsi="Times New Roman Italic" w:cs="Times New Roman Italic" w:eastAsiaTheme="minorEastAsia"/>
                <w:i/>
                <w:iCs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  <w:szCs w:val="24"/>
                <w:vertAlign w:val="baseline"/>
                <w:lang w:eastAsia="zh-Hans"/>
              </w:rPr>
              <w:t>C7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Complement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component 7</w:t>
            </w: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Participate in the formation of membrane attack complex. Deficiency results in bacterial infection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112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Italic" w:hAnsi="Times New Roman Italic" w:cs="Times New Roman Italic" w:eastAsiaTheme="minorEastAsia"/>
                <w:i/>
                <w:iCs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  <w:szCs w:val="24"/>
                <w:vertAlign w:val="baseline"/>
                <w:lang w:eastAsia="zh-Hans"/>
              </w:rPr>
              <w:t>EGR1</w:t>
            </w:r>
          </w:p>
        </w:tc>
        <w:tc>
          <w:tcPr>
            <w:tcW w:w="264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Early growth response 1</w:t>
            </w:r>
          </w:p>
        </w:tc>
        <w:tc>
          <w:tcPr>
            <w:tcW w:w="339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Transcriptional regulator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112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Italic" w:hAnsi="Times New Roman Italic" w:cs="Times New Roman Italic" w:eastAsiaTheme="minorEastAsia"/>
                <w:i/>
                <w:iCs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  <w:szCs w:val="24"/>
                <w:vertAlign w:val="baseline"/>
                <w:lang w:eastAsia="zh-Hans"/>
              </w:rPr>
              <w:t>DUSP1</w:t>
            </w:r>
          </w:p>
        </w:tc>
        <w:tc>
          <w:tcPr>
            <w:tcW w:w="264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Dual specificity phosphatase 1</w:t>
            </w:r>
          </w:p>
        </w:tc>
        <w:tc>
          <w:tcPr>
            <w:tcW w:w="339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 xml:space="preserve">Inactivates mitogen-activated protein (MAP) kinase.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112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Italic" w:hAnsi="Times New Roman Italic" w:cs="Times New Roman Italic" w:eastAsiaTheme="minorEastAsia"/>
                <w:i/>
                <w:iCs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  <w:szCs w:val="24"/>
                <w:vertAlign w:val="baseline"/>
                <w:lang w:eastAsia="zh-Hans"/>
              </w:rPr>
              <w:t>SFRP4</w:t>
            </w:r>
          </w:p>
        </w:tc>
        <w:tc>
          <w:tcPr>
            <w:tcW w:w="264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Secreted frizzled-related protein 4</w:t>
            </w:r>
          </w:p>
        </w:tc>
        <w:tc>
          <w:tcPr>
            <w:tcW w:w="339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Modulates the Wnt signaling pathway.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1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Italic" w:hAnsi="Times New Roman Italic" w:cs="Times New Roman Italic" w:eastAsiaTheme="minorEastAsia"/>
                <w:i/>
                <w:iCs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  <w:szCs w:val="24"/>
                <w:vertAlign w:val="baseline"/>
                <w:lang w:eastAsia="zh-Hans"/>
              </w:rPr>
              <w:t>PPARG</w:t>
            </w:r>
          </w:p>
        </w:tc>
        <w:tc>
          <w:tcPr>
            <w:tcW w:w="26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PPAR gamma</w:t>
            </w:r>
          </w:p>
        </w:tc>
        <w:tc>
          <w:tcPr>
            <w:tcW w:w="339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 Regular" w:hAnsi="Times New Roman Regular" w:cs="Times New Roman Regular" w:eastAsiaTheme="minorEastAsia"/>
                <w:kern w:val="2"/>
                <w:sz w:val="24"/>
                <w:szCs w:val="24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A member of PPAR subfamily of nuclear receptors. Regulate adipocyte differentiation.</w:t>
            </w:r>
          </w:p>
        </w:tc>
      </w:tr>
    </w:tbl>
    <w:p>
      <w:pPr>
        <w:rPr>
          <w:rFonts w:hint="default" w:ascii="Times New Roman Regular" w:hAnsi="Times New Roman Regular" w:cs="Times New Roman Regular"/>
          <w:sz w:val="24"/>
          <w:szCs w:val="24"/>
          <w:highlight w:val="none"/>
          <w:vertAlign w:val="baseline"/>
          <w:lang w:val="en-US" w:eastAsia="zh-Hans"/>
        </w:rPr>
      </w:pP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vertAlign w:val="baseline"/>
          <w:lang w:val="en-US" w:eastAsia="zh-Hans"/>
        </w:rPr>
        <w:t xml:space="preserve">Supplement Table I: The detailed information of differentially expressed genes of EOC tissues before and after neoadjuvant chemotherapy (NACT).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Italic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E137D"/>
    <w:rsid w:val="5FEF49F4"/>
    <w:rsid w:val="7FEE137D"/>
    <w:rsid w:val="DEBF7016"/>
    <w:rsid w:val="FDFDE598"/>
    <w:rsid w:val="FFCEF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2024-01-26T09:39:00Z</dcterms:created>
  <dc:creator>Li Yun</dc:creator>
  <cp:lastModifiedBy>Li Yun</cp:lastModifiedBy>
  <dcterms:modified xsi:type="dcterms:W3CDTF">2024-01-26T17:01:02Z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0BCEF75842BC4D1CCE74B365214088B5_43</vt:lpwstr>
  </property>
</Properties>
</file>