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964" w:rsidRDefault="00C24964" w:rsidP="00C24964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Su</w:t>
      </w:r>
      <w:r>
        <w:rPr>
          <w:rFonts w:ascii="Times New Roman" w:hAnsi="Times New Roman" w:cs="Times New Roman"/>
          <w:b/>
        </w:rPr>
        <w:t>pporting information</w:t>
      </w:r>
    </w:p>
    <w:p w:rsidR="007B16B4" w:rsidRPr="00E54980" w:rsidRDefault="007B16B4" w:rsidP="007B16B4">
      <w:pPr>
        <w:pStyle w:val="a3"/>
        <w:adjustRightInd w:val="0"/>
        <w:snapToGrid w:val="0"/>
        <w:spacing w:line="360" w:lineRule="auto"/>
        <w:ind w:leftChars="0" w:left="0"/>
        <w:jc w:val="both"/>
        <w:rPr>
          <w:rStyle w:val="a4"/>
          <w:b/>
          <w:bCs/>
          <w:i w:val="0"/>
          <w:iCs w:val="0"/>
        </w:rPr>
      </w:pPr>
      <w:r w:rsidRPr="00E54980">
        <w:rPr>
          <w:rStyle w:val="a4"/>
          <w:b/>
          <w:bCs/>
        </w:rPr>
        <w:t>Activation of STING by the Novel Liposomal TLC388 Enhances the Therapeutic Response to Anti-PD-1 Antibodies in Combination with Radiotherapy</w:t>
      </w:r>
    </w:p>
    <w:p w:rsidR="00C24964" w:rsidRPr="001A44EC" w:rsidRDefault="00C24964" w:rsidP="00C24964">
      <w:pPr>
        <w:autoSpaceDE w:val="0"/>
        <w:autoSpaceDN w:val="0"/>
        <w:adjustRightInd w:val="0"/>
        <w:snapToGrid w:val="0"/>
        <w:jc w:val="both"/>
        <w:rPr>
          <w:rStyle w:val="a4"/>
          <w:rFonts w:ascii="Arial" w:hAnsi="Arial" w:cs="Arial"/>
          <w:b/>
          <w:bCs/>
          <w:i w:val="0"/>
          <w:iCs w:val="0"/>
          <w:color w:val="000000"/>
          <w:kern w:val="0"/>
          <w:sz w:val="14"/>
          <w:szCs w:val="14"/>
        </w:rPr>
      </w:pPr>
      <w:r w:rsidRPr="00DB37A1">
        <w:rPr>
          <w:rFonts w:ascii="Arial" w:hAnsi="Arial" w:cs="Arial"/>
          <w:b/>
          <w:bCs/>
          <w:color w:val="000000"/>
          <w:kern w:val="0"/>
          <w:sz w:val="14"/>
          <w:szCs w:val="14"/>
        </w:rPr>
        <w:t>Table S</w:t>
      </w:r>
      <w:r>
        <w:rPr>
          <w:rFonts w:ascii="Arial" w:hAnsi="Arial" w:cs="Arial"/>
          <w:b/>
          <w:bCs/>
          <w:color w:val="000000"/>
          <w:kern w:val="0"/>
          <w:sz w:val="14"/>
          <w:szCs w:val="14"/>
        </w:rPr>
        <w:t>1</w:t>
      </w:r>
      <w:r w:rsidRPr="00DB37A1">
        <w:rPr>
          <w:rFonts w:ascii="Arial" w:hAnsi="Arial" w:cs="Arial"/>
          <w:b/>
          <w:bCs/>
          <w:color w:val="000000"/>
          <w:kern w:val="0"/>
          <w:sz w:val="14"/>
          <w:szCs w:val="14"/>
        </w:rPr>
        <w:t>. Clinicopathological parameters of colon carcinoma patients (n=</w:t>
      </w:r>
      <w:r>
        <w:rPr>
          <w:rFonts w:ascii="Arial" w:hAnsi="Arial" w:cs="Arial"/>
          <w:b/>
          <w:bCs/>
          <w:color w:val="000000"/>
          <w:kern w:val="0"/>
          <w:sz w:val="14"/>
          <w:szCs w:val="14"/>
        </w:rPr>
        <w:t>115</w:t>
      </w:r>
      <w:r w:rsidRPr="00DB37A1">
        <w:rPr>
          <w:rFonts w:ascii="Arial" w:hAnsi="Arial" w:cs="Arial"/>
          <w:b/>
          <w:bCs/>
          <w:color w:val="000000"/>
          <w:kern w:val="0"/>
          <w:sz w:val="14"/>
          <w:szCs w:val="14"/>
        </w:rPr>
        <w:t>)</w:t>
      </w:r>
    </w:p>
    <w:tbl>
      <w:tblPr>
        <w:tblW w:w="44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9"/>
        <w:gridCol w:w="508"/>
        <w:gridCol w:w="1017"/>
        <w:gridCol w:w="920"/>
        <w:gridCol w:w="567"/>
      </w:tblGrid>
      <w:tr w:rsidR="00C24964" w:rsidRPr="001A44EC" w:rsidTr="00EC0147">
        <w:trPr>
          <w:trHeight w:val="557"/>
        </w:trPr>
        <w:tc>
          <w:tcPr>
            <w:tcW w:w="14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Clinicopathological parameters</w:t>
            </w:r>
          </w:p>
        </w:tc>
        <w:tc>
          <w:tcPr>
            <w:tcW w:w="50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Total no.</w:t>
            </w:r>
          </w:p>
        </w:tc>
        <w:tc>
          <w:tcPr>
            <w:tcW w:w="1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Tumor STING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24964" w:rsidRPr="001A44EC" w:rsidRDefault="00C24964" w:rsidP="00EC0147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24964" w:rsidRPr="001A44EC" w:rsidRDefault="00C24964" w:rsidP="00EC0147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High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24964" w:rsidRPr="001A44EC" w:rsidRDefault="00C24964" w:rsidP="00EC0147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0.71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17 (40.5%)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27 (37%)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25 (59.5%)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46 (63%)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64" w:rsidRPr="001A44EC" w:rsidRDefault="00C24964" w:rsidP="00EC0147">
            <w:pPr>
              <w:widowControl/>
              <w:jc w:val="right"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kern w:val="0"/>
                <w:sz w:val="16"/>
                <w:szCs w:val="16"/>
              </w:rPr>
              <w:t>0.21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&lt;65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20 (47.6%)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26 (35.6%)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≥65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22 (52.4%)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47 (64.4%)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pT</w:t>
            </w:r>
            <w:proofErr w:type="spellEnd"/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 stage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0.61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pT1-2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39 (37.5%)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65 (62.5%)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pT3-4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 (50%)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 (50%)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Undefined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5(71.4%)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 (28.6%)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477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Tumor differentiation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0.30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Well to moderate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39 (90.7%)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66(91.7%)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Poor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 (4.6%)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 (1.4%)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Unknown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2(4.7%)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5(6.9%)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477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Lymphovascular</w:t>
            </w:r>
            <w:proofErr w:type="spellEnd"/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 invasion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0.996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Absent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31 (73.8%)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55 (75.3%)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Present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9 (21.4%)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16 (21.9%)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Unknown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 (4.8%)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 (2.7%)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Perineural invasion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0.97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Absent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31 (73.8%)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54 (74%)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Present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9 (21.4%)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17 (23.3%)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unknown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 (4.8%)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 (2.7%)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MMR status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0.5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MMR-proficient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24 (43.6%)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11 (18.3%)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MMR-deficient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 (1.8%)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0 (0%)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24964" w:rsidRPr="001A44EC" w:rsidTr="00EC0147">
        <w:trPr>
          <w:trHeight w:val="29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Unknown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30 (54.5%)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49 (81.7%)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24964" w:rsidRPr="001A44EC" w:rsidRDefault="00C24964" w:rsidP="00EC014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1A44EC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C24964" w:rsidRDefault="00C24964"/>
    <w:p w:rsidR="00C24964" w:rsidRDefault="00C24964">
      <w:pPr>
        <w:widowControl/>
      </w:pPr>
      <w:r>
        <w:br w:type="page"/>
      </w:r>
    </w:p>
    <w:p w:rsidR="00C24964" w:rsidRPr="00E55AF3" w:rsidRDefault="00C24964" w:rsidP="00C2496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</w:rPr>
      </w:pPr>
      <w:r w:rsidRPr="001A44EC">
        <w:rPr>
          <w:noProof/>
        </w:rPr>
        <w:lastRenderedPageBreak/>
        <w:drawing>
          <wp:inline distT="0" distB="0" distL="0" distR="0" wp14:anchorId="3DD3A538" wp14:editId="7B762224">
            <wp:extent cx="4331570" cy="5769864"/>
            <wp:effectExtent l="0" t="0" r="0" b="0"/>
            <wp:docPr id="166757722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5772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0816" cy="580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691B3C">
        <w:rPr>
          <w:rFonts w:ascii="Times New Roman" w:hAnsi="Times New Roman" w:cs="Times New Roman"/>
          <w:b/>
        </w:rPr>
        <w:t xml:space="preserve">Figure S1. </w:t>
      </w:r>
      <w:r>
        <w:rPr>
          <w:rFonts w:ascii="Times New Roman" w:hAnsi="Times New Roman" w:cs="Times New Roman" w:hint="eastAsia"/>
          <w:b/>
        </w:rPr>
        <w:t>Th</w:t>
      </w:r>
      <w:r>
        <w:rPr>
          <w:rFonts w:ascii="Times New Roman" w:hAnsi="Times New Roman" w:cs="Times New Roman"/>
          <w:b/>
        </w:rPr>
        <w:t>ere is no significant correlation between TOP2A/TOP2B mRNA and</w:t>
      </w:r>
      <w:r w:rsidRPr="00E55AF3">
        <w:rPr>
          <w:rFonts w:ascii="Times New Roman" w:hAnsi="Times New Roman" w:cs="Times New Roman"/>
          <w:b/>
        </w:rPr>
        <w:t xml:space="preserve"> T cell signatures.</w:t>
      </w:r>
    </w:p>
    <w:p w:rsidR="00C24964" w:rsidRPr="00E55AF3" w:rsidRDefault="00C24964" w:rsidP="00C24964">
      <w:pPr>
        <w:pStyle w:val="a3"/>
        <w:widowControl/>
        <w:numPr>
          <w:ilvl w:val="0"/>
          <w:numId w:val="1"/>
        </w:numPr>
        <w:adjustRightInd w:val="0"/>
        <w:snapToGrid w:val="0"/>
        <w:spacing w:line="360" w:lineRule="auto"/>
        <w:ind w:leftChars="0"/>
        <w:jc w:val="both"/>
        <w:rPr>
          <w:rFonts w:ascii="Times New Roman" w:hAnsi="Times New Roman" w:cs="Times New Roman"/>
          <w:b/>
          <w:bCs/>
          <w:noProof/>
        </w:rPr>
      </w:pPr>
      <w:r w:rsidRPr="00E55AF3">
        <w:rPr>
          <w:rFonts w:ascii="Times New Roman" w:hAnsi="Times New Roman" w:cs="Times New Roman"/>
        </w:rPr>
        <w:t xml:space="preserve">The relationship between </w:t>
      </w:r>
      <w:r w:rsidRPr="00E55AF3">
        <w:rPr>
          <w:rFonts w:ascii="Times New Roman" w:hAnsi="Times New Roman" w:cs="Times New Roman"/>
          <w:i/>
        </w:rPr>
        <w:t>TOP2A/TOP2B</w:t>
      </w:r>
      <w:r w:rsidRPr="00E55AF3">
        <w:rPr>
          <w:rFonts w:ascii="Times New Roman" w:hAnsi="Times New Roman" w:cs="Times New Roman"/>
        </w:rPr>
        <w:t xml:space="preserve"> mRNA and T cell signatures.</w:t>
      </w:r>
    </w:p>
    <w:p w:rsidR="00C24964" w:rsidRPr="00E55AF3" w:rsidRDefault="00C24964" w:rsidP="00C24964">
      <w:pPr>
        <w:numPr>
          <w:ilvl w:val="0"/>
          <w:numId w:val="1"/>
        </w:numPr>
        <w:adjustRightInd w:val="0"/>
        <w:snapToGrid w:val="0"/>
        <w:spacing w:line="360" w:lineRule="auto"/>
        <w:ind w:rightChars="-9" w:right="-22"/>
        <w:jc w:val="both"/>
        <w:rPr>
          <w:rFonts w:ascii="Times New Roman" w:hAnsi="Times New Roman" w:cs="Times New Roman"/>
        </w:rPr>
      </w:pPr>
      <w:r w:rsidRPr="00E55AF3">
        <w:rPr>
          <w:rFonts w:ascii="Times New Roman" w:hAnsi="Times New Roman" w:cs="Times New Roman"/>
        </w:rPr>
        <w:t>HT29, CoLo320</w:t>
      </w:r>
      <w:r>
        <w:rPr>
          <w:rFonts w:ascii="Times New Roman" w:hAnsi="Times New Roman" w:cs="Times New Roman"/>
        </w:rPr>
        <w:t>DM</w:t>
      </w:r>
      <w:r w:rsidRPr="00E55AF3">
        <w:rPr>
          <w:rFonts w:ascii="Times New Roman" w:hAnsi="Times New Roman" w:cs="Times New Roman"/>
        </w:rPr>
        <w:t xml:space="preserve">, CT26 and HCT116 cells were treated with </w:t>
      </w:r>
      <w:r>
        <w:rPr>
          <w:rFonts w:ascii="Times New Roman" w:hAnsi="Times New Roman" w:cs="Times New Roman"/>
        </w:rPr>
        <w:t>TLC388 (0.5</w:t>
      </w:r>
      <w:r w:rsidRPr="00E55AF3">
        <w:rPr>
          <w:rFonts w:ascii="Times New Roman" w:hAnsi="Times New Roman" w:cs="Times New Roman"/>
        </w:rPr>
        <w:sym w:font="Symbol" w:char="F06D"/>
      </w:r>
      <w:r w:rsidRPr="00E55AF3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) at various </w:t>
      </w:r>
      <w:r w:rsidRPr="00E55AF3">
        <w:rPr>
          <w:rFonts w:ascii="Times New Roman" w:hAnsi="Times New Roman" w:cs="Times New Roman"/>
        </w:rPr>
        <w:t>time</w:t>
      </w:r>
      <w:r>
        <w:rPr>
          <w:rFonts w:ascii="Times New Roman" w:hAnsi="Times New Roman" w:cs="Times New Roman"/>
        </w:rPr>
        <w:t xml:space="preserve"> point</w:t>
      </w:r>
      <w:r w:rsidRPr="00E55AF3">
        <w:rPr>
          <w:rFonts w:ascii="Times New Roman" w:hAnsi="Times New Roman" w:cs="Times New Roman"/>
        </w:rPr>
        <w:t xml:space="preserve">. The </w:t>
      </w:r>
      <w:r>
        <w:rPr>
          <w:rFonts w:ascii="Times New Roman" w:hAnsi="Times New Roman" w:cs="Times New Roman"/>
        </w:rPr>
        <w:t xml:space="preserve">mRNA </w:t>
      </w:r>
      <w:r w:rsidRPr="00E55AF3">
        <w:rPr>
          <w:rFonts w:ascii="Times New Roman" w:hAnsi="Times New Roman" w:cs="Times New Roman"/>
        </w:rPr>
        <w:t xml:space="preserve">level of </w:t>
      </w:r>
      <w:r>
        <w:rPr>
          <w:rFonts w:ascii="Times New Roman" w:hAnsi="Times New Roman" w:cs="Times New Roman"/>
          <w:i/>
        </w:rPr>
        <w:t>IL12A</w:t>
      </w:r>
      <w:r w:rsidRPr="00E55A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was</w:t>
      </w:r>
      <w:r w:rsidRPr="00E55AF3">
        <w:rPr>
          <w:rFonts w:ascii="Times New Roman" w:hAnsi="Times New Roman" w:cs="Times New Roman"/>
        </w:rPr>
        <w:t xml:space="preserve"> analyzed by </w:t>
      </w:r>
      <w:proofErr w:type="spellStart"/>
      <w:r w:rsidRPr="00E55AF3">
        <w:rPr>
          <w:rFonts w:ascii="Times New Roman" w:hAnsi="Times New Roman" w:cs="Times New Roman"/>
        </w:rPr>
        <w:t>qRT</w:t>
      </w:r>
      <w:proofErr w:type="spellEnd"/>
      <w:r w:rsidRPr="00E55AF3">
        <w:rPr>
          <w:rFonts w:ascii="Times New Roman" w:hAnsi="Times New Roman" w:cs="Times New Roman"/>
        </w:rPr>
        <w:t>-PCR (</w:t>
      </w:r>
      <w:r w:rsidRPr="00E55AF3">
        <w:rPr>
          <w:rFonts w:ascii="Times New Roman" w:hAnsi="Times New Roman" w:cs="Times New Roman"/>
          <w:i/>
        </w:rPr>
        <w:t>n</w:t>
      </w:r>
      <w:r w:rsidRPr="00E55AF3">
        <w:rPr>
          <w:rFonts w:ascii="Times New Roman" w:hAnsi="Times New Roman" w:cs="Times New Roman"/>
        </w:rPr>
        <w:t xml:space="preserve">=3). </w:t>
      </w:r>
      <w:r w:rsidRPr="00E55AF3">
        <w:rPr>
          <w:rFonts w:ascii="Times New Roman" w:eastAsia="Arial Unicode MS" w:hAnsi="Times New Roman" w:cs="Times New Roman"/>
          <w:u w:color="000000"/>
        </w:rPr>
        <w:t>*</w:t>
      </w:r>
      <w:r w:rsidRPr="00E55AF3">
        <w:rPr>
          <w:rFonts w:ascii="Times New Roman" w:eastAsia="Arial Unicode MS" w:hAnsi="Times New Roman" w:cs="Times New Roman"/>
          <w:i/>
          <w:u w:color="000000"/>
        </w:rPr>
        <w:t>p</w:t>
      </w:r>
      <w:r w:rsidRPr="00E55AF3">
        <w:rPr>
          <w:rFonts w:ascii="Times New Roman" w:eastAsia="Arial Unicode MS" w:hAnsi="Times New Roman" w:cs="Times New Roman"/>
          <w:u w:color="000000"/>
        </w:rPr>
        <w:t>&lt;0.05 and **</w:t>
      </w:r>
      <w:r w:rsidRPr="00E55AF3">
        <w:rPr>
          <w:rFonts w:ascii="Times New Roman" w:eastAsia="Arial Unicode MS" w:hAnsi="Times New Roman" w:cs="Times New Roman"/>
          <w:i/>
          <w:u w:color="000000"/>
        </w:rPr>
        <w:t>p</w:t>
      </w:r>
      <w:r w:rsidRPr="00E55AF3">
        <w:rPr>
          <w:rFonts w:ascii="Times New Roman" w:eastAsia="Arial Unicode MS" w:hAnsi="Times New Roman" w:cs="Times New Roman"/>
          <w:u w:color="000000"/>
        </w:rPr>
        <w:t>&lt;0.01.</w:t>
      </w:r>
    </w:p>
    <w:p w:rsidR="00C24964" w:rsidRDefault="00C24964">
      <w:pPr>
        <w:widowControl/>
      </w:pPr>
      <w:r>
        <w:br w:type="page"/>
      </w:r>
    </w:p>
    <w:p w:rsidR="00C24964" w:rsidRPr="00E55AF3" w:rsidRDefault="00C24964" w:rsidP="00C2496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</w:rPr>
      </w:pPr>
      <w:r w:rsidRPr="00E5011F">
        <w:rPr>
          <w:noProof/>
        </w:rPr>
        <w:lastRenderedPageBreak/>
        <w:drawing>
          <wp:inline distT="0" distB="0" distL="0" distR="0" wp14:anchorId="55DBADAC" wp14:editId="67A293EC">
            <wp:extent cx="5274310" cy="3908425"/>
            <wp:effectExtent l="0" t="0" r="0" b="3175"/>
            <wp:docPr id="3139163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9163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E55AF3">
        <w:rPr>
          <w:rFonts w:ascii="Times New Roman" w:hAnsi="Times New Roman" w:cs="Times New Roman"/>
          <w:b/>
        </w:rPr>
        <w:t>Figure S2. The gating strategies of immune cell profiles within resected tumors</w:t>
      </w:r>
      <w:r w:rsidR="00210A79">
        <w:rPr>
          <w:rFonts w:ascii="Times New Roman" w:hAnsi="Times New Roman" w:cs="Times New Roman"/>
          <w:b/>
        </w:rPr>
        <w:t>.</w:t>
      </w:r>
    </w:p>
    <w:p w:rsidR="00C24964" w:rsidRPr="00E40AAF" w:rsidRDefault="00C24964" w:rsidP="00C24964">
      <w:pPr>
        <w:widowControl/>
        <w:adjustRightInd w:val="0"/>
        <w:snapToGrid w:val="0"/>
        <w:spacing w:line="360" w:lineRule="auto"/>
        <w:jc w:val="both"/>
        <w:rPr>
          <w:rFonts w:ascii="Times New Roman" w:hAnsi="Times New Roman" w:cs="Times New Roman"/>
        </w:rPr>
      </w:pPr>
      <w:r w:rsidRPr="00E40AAF">
        <w:rPr>
          <w:rFonts w:ascii="Times New Roman" w:hAnsi="Times New Roman" w:cs="Times New Roman" w:hint="eastAsia"/>
        </w:rPr>
        <w:t>T</w:t>
      </w:r>
      <w:r w:rsidRPr="00E40AAF">
        <w:rPr>
          <w:rFonts w:ascii="Times New Roman" w:hAnsi="Times New Roman" w:cs="Times New Roman"/>
        </w:rPr>
        <w:t>he gating strategy for dendritic cells</w:t>
      </w:r>
      <w:r>
        <w:rPr>
          <w:rFonts w:ascii="Times New Roman" w:hAnsi="Times New Roman" w:cs="Times New Roman"/>
        </w:rPr>
        <w:t xml:space="preserve"> (A), </w:t>
      </w:r>
      <w:r w:rsidRPr="00E55AF3">
        <w:rPr>
          <w:rFonts w:ascii="Times New Roman" w:hAnsi="Times New Roman" w:cs="Times New Roman"/>
        </w:rPr>
        <w:t>CD4 and CD8 T cells</w:t>
      </w:r>
      <w:r>
        <w:rPr>
          <w:rFonts w:ascii="Times New Roman" w:hAnsi="Times New Roman" w:cs="Times New Roman"/>
        </w:rPr>
        <w:t xml:space="preserve"> (B),</w:t>
      </w:r>
      <w:r w:rsidRPr="00E40AAF">
        <w:rPr>
          <w:rFonts w:ascii="Times New Roman" w:hAnsi="Times New Roman" w:cs="Times New Roman"/>
          <w:color w:val="000000" w:themeColor="text1"/>
        </w:rPr>
        <w:t xml:space="preserve"> </w:t>
      </w:r>
      <w:r w:rsidRPr="00E55AF3">
        <w:rPr>
          <w:rFonts w:ascii="Times New Roman" w:hAnsi="Times New Roman" w:cs="Times New Roman"/>
          <w:color w:val="000000" w:themeColor="text1"/>
        </w:rPr>
        <w:t>IFN</w:t>
      </w:r>
      <w:r w:rsidRPr="00E55AF3">
        <w:rPr>
          <w:rFonts w:ascii="Symbol" w:hAnsi="Symbol" w:cs="Times New Roman"/>
          <w:color w:val="000000" w:themeColor="text1"/>
        </w:rPr>
        <w:sym w:font="Symbol" w:char="F067"/>
      </w:r>
      <w:r w:rsidRPr="00E55AF3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E55AF3">
        <w:rPr>
          <w:rFonts w:ascii="Times New Roman" w:hAnsi="Times New Roman" w:cs="Times New Roman"/>
          <w:color w:val="000000" w:themeColor="text1"/>
        </w:rPr>
        <w:t>CD8</w:t>
      </w:r>
      <w:r w:rsidRPr="00E55AF3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E55AF3">
        <w:rPr>
          <w:rFonts w:ascii="Times New Roman" w:hAnsi="Times New Roman" w:cs="Times New Roman"/>
          <w:color w:val="000000" w:themeColor="text1"/>
        </w:rPr>
        <w:t>CD3</w:t>
      </w:r>
      <w:r w:rsidRPr="00E55AF3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E55AF3">
        <w:rPr>
          <w:rFonts w:ascii="Times New Roman" w:hAnsi="Times New Roman" w:cs="Times New Roman"/>
          <w:color w:val="000000" w:themeColor="text1"/>
        </w:rPr>
        <w:t xml:space="preserve"> T cells</w:t>
      </w:r>
      <w:r>
        <w:rPr>
          <w:rFonts w:ascii="Times New Roman" w:hAnsi="Times New Roman" w:cs="Times New Roman"/>
          <w:color w:val="000000" w:themeColor="text1"/>
        </w:rPr>
        <w:t xml:space="preserve"> (C),</w:t>
      </w:r>
      <w:r w:rsidRPr="00E40AA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and </w:t>
      </w:r>
      <w:r w:rsidRPr="00E55AF3">
        <w:rPr>
          <w:rFonts w:ascii="Times New Roman" w:hAnsi="Times New Roman" w:cs="Times New Roman"/>
          <w:color w:val="000000" w:themeColor="text1"/>
        </w:rPr>
        <w:t>FoxP3</w:t>
      </w:r>
      <w:r w:rsidRPr="00E55AF3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E55AF3">
        <w:rPr>
          <w:rFonts w:ascii="Times New Roman" w:hAnsi="Times New Roman" w:cs="Times New Roman"/>
          <w:color w:val="000000" w:themeColor="text1"/>
        </w:rPr>
        <w:t>CD25</w:t>
      </w:r>
      <w:r w:rsidRPr="00E55AF3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E55AF3">
        <w:rPr>
          <w:rFonts w:ascii="Times New Roman" w:hAnsi="Times New Roman" w:cs="Times New Roman"/>
          <w:color w:val="000000" w:themeColor="text1"/>
        </w:rPr>
        <w:t>CD4</w:t>
      </w:r>
      <w:r w:rsidRPr="00E55AF3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E55AF3">
        <w:rPr>
          <w:rFonts w:ascii="Times New Roman" w:hAnsi="Times New Roman" w:cs="Times New Roman"/>
          <w:color w:val="000000" w:themeColor="text1"/>
        </w:rPr>
        <w:t>CD3</w:t>
      </w:r>
      <w:r w:rsidRPr="00E55AF3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E55AF3">
        <w:rPr>
          <w:rFonts w:ascii="Times New Roman" w:hAnsi="Times New Roman" w:cs="Times New Roman"/>
          <w:color w:val="000000" w:themeColor="text1"/>
        </w:rPr>
        <w:t>CD45</w:t>
      </w:r>
      <w:r w:rsidRPr="00E55AF3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E55AF3">
        <w:rPr>
          <w:rFonts w:ascii="Times New Roman" w:hAnsi="Times New Roman" w:cs="Times New Roman"/>
          <w:color w:val="000000" w:themeColor="text1"/>
        </w:rPr>
        <w:t xml:space="preserve"> Treg cells</w:t>
      </w:r>
      <w:r>
        <w:rPr>
          <w:rFonts w:ascii="Times New Roman" w:hAnsi="Times New Roman" w:cs="Times New Roman"/>
          <w:color w:val="000000" w:themeColor="text1"/>
        </w:rPr>
        <w:t xml:space="preserve"> (D)</w:t>
      </w:r>
      <w:r w:rsidRPr="00E40AAF">
        <w:rPr>
          <w:rFonts w:ascii="Times New Roman" w:hAnsi="Times New Roman" w:cs="Times New Roman"/>
        </w:rPr>
        <w:t>.</w:t>
      </w:r>
    </w:p>
    <w:p w:rsidR="00C24964" w:rsidRDefault="00C24964">
      <w:pPr>
        <w:widowControl/>
      </w:pPr>
      <w:r>
        <w:br w:type="page"/>
      </w:r>
    </w:p>
    <w:p w:rsidR="00C24964" w:rsidRPr="00E40AAF" w:rsidRDefault="00C24964" w:rsidP="00C24964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E5011F">
        <w:rPr>
          <w:noProof/>
        </w:rPr>
        <w:lastRenderedPageBreak/>
        <w:drawing>
          <wp:inline distT="0" distB="0" distL="0" distR="0" wp14:anchorId="262827D9" wp14:editId="6D8D7CB5">
            <wp:extent cx="5274310" cy="3124835"/>
            <wp:effectExtent l="0" t="0" r="0" b="0"/>
            <wp:docPr id="7539982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9982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E40AAF">
        <w:rPr>
          <w:rFonts w:ascii="Times New Roman" w:hAnsi="Times New Roman" w:cs="Times New Roman"/>
          <w:b/>
        </w:rPr>
        <w:t>Figure S3. Combinational therapies significantly altered the tumor</w:t>
      </w:r>
      <w:r>
        <w:rPr>
          <w:rFonts w:ascii="Times New Roman" w:hAnsi="Times New Roman" w:cs="Times New Roman"/>
          <w:b/>
        </w:rPr>
        <w:t xml:space="preserve"> </w:t>
      </w:r>
      <w:r w:rsidRPr="00E40AAF">
        <w:rPr>
          <w:rFonts w:ascii="Times New Roman" w:hAnsi="Times New Roman" w:cs="Times New Roman"/>
          <w:b/>
        </w:rPr>
        <w:t xml:space="preserve">microenvironment, leading to the recruitment of </w:t>
      </w:r>
      <w:r>
        <w:rPr>
          <w:rFonts w:ascii="Times New Roman" w:hAnsi="Times New Roman" w:cs="Times New Roman"/>
          <w:b/>
        </w:rPr>
        <w:t>immune</w:t>
      </w:r>
      <w:r w:rsidRPr="00E40AAF">
        <w:rPr>
          <w:rFonts w:ascii="Times New Roman" w:hAnsi="Times New Roman" w:cs="Times New Roman"/>
          <w:b/>
        </w:rPr>
        <w:t xml:space="preserve"> cells</w:t>
      </w:r>
      <w:r>
        <w:rPr>
          <w:rFonts w:ascii="Times New Roman" w:hAnsi="Times New Roman" w:cs="Times New Roman"/>
          <w:b/>
        </w:rPr>
        <w:t>.</w:t>
      </w:r>
    </w:p>
    <w:p w:rsidR="00C24964" w:rsidRDefault="00C24964" w:rsidP="00C24964">
      <w:pPr>
        <w:rPr>
          <w:rFonts w:ascii="Times New Roman" w:hAnsi="Times New Roman" w:cs="Times New Roman"/>
        </w:rPr>
      </w:pPr>
      <w:r w:rsidRPr="00E40AAF">
        <w:rPr>
          <w:rFonts w:ascii="Times New Roman" w:hAnsi="Times New Roman" w:cs="Times New Roman"/>
        </w:rPr>
        <w:t>The tumor-infiltrating MHC-</w:t>
      </w:r>
      <w:proofErr w:type="spellStart"/>
      <w:r w:rsidRPr="00E40AAF">
        <w:rPr>
          <w:rFonts w:ascii="Times New Roman" w:hAnsi="Times New Roman" w:cs="Times New Roman"/>
        </w:rPr>
        <w:t>II</w:t>
      </w:r>
      <w:r w:rsidRPr="00E40AAF">
        <w:rPr>
          <w:rFonts w:ascii="Times New Roman" w:hAnsi="Times New Roman" w:cs="Times New Roman"/>
          <w:vertAlign w:val="superscript"/>
        </w:rPr>
        <w:t>Hi</w:t>
      </w:r>
      <w:proofErr w:type="spellEnd"/>
      <w:r w:rsidRPr="00E40AAF">
        <w:rPr>
          <w:rFonts w:ascii="Times New Roman" w:hAnsi="Times New Roman" w:cs="Times New Roman"/>
          <w:vertAlign w:val="superscript"/>
        </w:rPr>
        <w:t xml:space="preserve"> </w:t>
      </w:r>
      <w:r w:rsidRPr="00E40AAF">
        <w:rPr>
          <w:rFonts w:ascii="Times New Roman" w:hAnsi="Times New Roman" w:cs="Times New Roman"/>
        </w:rPr>
        <w:t>CD11c</w:t>
      </w:r>
      <w:r w:rsidRPr="00E40AAF">
        <w:rPr>
          <w:rFonts w:ascii="Times New Roman" w:hAnsi="Times New Roman" w:cs="Times New Roman"/>
          <w:vertAlign w:val="superscript"/>
        </w:rPr>
        <w:t>+</w:t>
      </w:r>
      <w:r w:rsidRPr="00E40AAF">
        <w:rPr>
          <w:rFonts w:ascii="Times New Roman" w:hAnsi="Times New Roman" w:cs="Times New Roman"/>
        </w:rPr>
        <w:t xml:space="preserve"> DCs</w:t>
      </w:r>
      <w:r>
        <w:rPr>
          <w:rFonts w:ascii="Times New Roman" w:hAnsi="Times New Roman" w:cs="Times New Roman"/>
        </w:rPr>
        <w:t xml:space="preserve"> (A), </w:t>
      </w:r>
      <w:r w:rsidRPr="00E40AAF">
        <w:rPr>
          <w:rFonts w:ascii="Times New Roman" w:hAnsi="Times New Roman" w:cs="Times New Roman"/>
        </w:rPr>
        <w:t>CD86</w:t>
      </w:r>
      <w:r w:rsidRPr="00E40AAF">
        <w:rPr>
          <w:rFonts w:ascii="Times New Roman" w:hAnsi="Times New Roman" w:cs="Times New Roman"/>
          <w:vertAlign w:val="superscript"/>
        </w:rPr>
        <w:t xml:space="preserve">Hi </w:t>
      </w:r>
      <w:r w:rsidRPr="00E40AAF">
        <w:rPr>
          <w:rFonts w:ascii="Times New Roman" w:hAnsi="Times New Roman" w:cs="Times New Roman"/>
        </w:rPr>
        <w:t>CD11c</w:t>
      </w:r>
      <w:r w:rsidRPr="00E40AAF">
        <w:rPr>
          <w:rFonts w:ascii="Times New Roman" w:hAnsi="Times New Roman" w:cs="Times New Roman"/>
          <w:vertAlign w:val="superscript"/>
        </w:rPr>
        <w:t>+</w:t>
      </w:r>
      <w:r w:rsidRPr="00E40AAF">
        <w:rPr>
          <w:rFonts w:ascii="Times New Roman" w:hAnsi="Times New Roman" w:cs="Times New Roman"/>
        </w:rPr>
        <w:t xml:space="preserve"> DCs</w:t>
      </w:r>
      <w:r>
        <w:rPr>
          <w:rFonts w:ascii="Times New Roman" w:hAnsi="Times New Roman" w:cs="Times New Roman"/>
        </w:rPr>
        <w:t xml:space="preserve"> (B), and </w:t>
      </w:r>
      <w:r w:rsidRPr="00E40AAF">
        <w:rPr>
          <w:rFonts w:ascii="Times New Roman" w:hAnsi="Times New Roman" w:cs="Times New Roman"/>
        </w:rPr>
        <w:t>PD-L1</w:t>
      </w:r>
      <w:r w:rsidRPr="00E40AAF">
        <w:rPr>
          <w:rFonts w:ascii="Times New Roman" w:hAnsi="Times New Roman" w:cs="Times New Roman"/>
          <w:vertAlign w:val="superscript"/>
        </w:rPr>
        <w:t xml:space="preserve">Hi </w:t>
      </w:r>
      <w:r w:rsidRPr="00E40AAF">
        <w:rPr>
          <w:rFonts w:ascii="Times New Roman" w:hAnsi="Times New Roman" w:cs="Times New Roman"/>
        </w:rPr>
        <w:t>CD11c</w:t>
      </w:r>
      <w:r w:rsidRPr="00E40AAF">
        <w:rPr>
          <w:rFonts w:ascii="Times New Roman" w:hAnsi="Times New Roman" w:cs="Times New Roman"/>
          <w:vertAlign w:val="superscript"/>
        </w:rPr>
        <w:t>+</w:t>
      </w:r>
      <w:r w:rsidRPr="00E40AAF">
        <w:rPr>
          <w:rFonts w:ascii="Times New Roman" w:hAnsi="Times New Roman" w:cs="Times New Roman"/>
        </w:rPr>
        <w:t xml:space="preserve"> DCs </w:t>
      </w:r>
      <w:r>
        <w:rPr>
          <w:rFonts w:ascii="Times New Roman" w:hAnsi="Times New Roman" w:cs="Times New Roman"/>
        </w:rPr>
        <w:t xml:space="preserve">(C) </w:t>
      </w:r>
      <w:r w:rsidRPr="00E40AAF">
        <w:rPr>
          <w:rFonts w:ascii="Times New Roman" w:hAnsi="Times New Roman" w:cs="Times New Roman"/>
        </w:rPr>
        <w:t>in resected tumors were analyzed by flow cytometry (n=5).</w:t>
      </w:r>
    </w:p>
    <w:p w:rsidR="00C24964" w:rsidRDefault="00C24964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24964" w:rsidRDefault="00C24964" w:rsidP="00C24964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E5011F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3CFD411D" wp14:editId="5AB7D1EC">
            <wp:extent cx="5274310" cy="2105660"/>
            <wp:effectExtent l="0" t="0" r="0" b="2540"/>
            <wp:docPr id="20054324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324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A374D0">
        <w:rPr>
          <w:rFonts w:ascii="Times New Roman" w:hAnsi="Times New Roman" w:cs="Times New Roman"/>
          <w:b/>
        </w:rPr>
        <w:t>Fig. S4. Com</w:t>
      </w:r>
      <w:r w:rsidRPr="00E40AAF">
        <w:rPr>
          <w:rFonts w:ascii="Times New Roman" w:hAnsi="Times New Roman" w:cs="Times New Roman"/>
          <w:b/>
        </w:rPr>
        <w:t>binational therapies significantly altered the tumor</w:t>
      </w:r>
      <w:r>
        <w:rPr>
          <w:rFonts w:ascii="Times New Roman" w:hAnsi="Times New Roman" w:cs="Times New Roman"/>
          <w:b/>
        </w:rPr>
        <w:t xml:space="preserve"> </w:t>
      </w:r>
      <w:r w:rsidRPr="00E40AAF">
        <w:rPr>
          <w:rFonts w:ascii="Times New Roman" w:hAnsi="Times New Roman" w:cs="Times New Roman"/>
          <w:b/>
        </w:rPr>
        <w:t xml:space="preserve">microenvironment, leading to the recruitment of </w:t>
      </w:r>
      <w:r>
        <w:rPr>
          <w:rFonts w:ascii="Times New Roman" w:hAnsi="Times New Roman" w:cs="Times New Roman"/>
          <w:b/>
        </w:rPr>
        <w:t>immune</w:t>
      </w:r>
      <w:r w:rsidRPr="00E40AAF">
        <w:rPr>
          <w:rFonts w:ascii="Times New Roman" w:hAnsi="Times New Roman" w:cs="Times New Roman"/>
          <w:b/>
        </w:rPr>
        <w:t xml:space="preserve"> cells</w:t>
      </w:r>
      <w:r>
        <w:rPr>
          <w:rFonts w:ascii="Times New Roman" w:hAnsi="Times New Roman" w:cs="Times New Roman"/>
          <w:b/>
        </w:rPr>
        <w:t>.</w:t>
      </w:r>
    </w:p>
    <w:p w:rsidR="00C24964" w:rsidRPr="00E40AAF" w:rsidRDefault="00C24964" w:rsidP="00C24964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E40AAF">
        <w:rPr>
          <w:rFonts w:ascii="Times New Roman" w:hAnsi="Times New Roman" w:cs="Times New Roman"/>
        </w:rPr>
        <w:t xml:space="preserve">The tumor-infiltrating </w:t>
      </w:r>
      <w:r>
        <w:rPr>
          <w:rFonts w:ascii="Times New Roman" w:hAnsi="Times New Roman" w:cs="Times New Roman"/>
        </w:rPr>
        <w:t>CD4</w:t>
      </w:r>
      <w:r w:rsidRPr="00E40AAF">
        <w:rPr>
          <w:rFonts w:ascii="Times New Roman" w:hAnsi="Times New Roman" w:cs="Times New Roman"/>
          <w:vertAlign w:val="superscript"/>
        </w:rPr>
        <w:t>+</w:t>
      </w:r>
      <w:r w:rsidRPr="00E40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 cell and CD8</w:t>
      </w:r>
      <w:r w:rsidRPr="00A374D0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 (A) and </w:t>
      </w:r>
      <w:r w:rsidRPr="00A374D0">
        <w:rPr>
          <w:rFonts w:ascii="Times New Roman" w:eastAsia="標楷體" w:hAnsi="Times New Roman" w:cs="Times New Roman"/>
        </w:rPr>
        <w:t>effector/memory CD44</w:t>
      </w:r>
      <w:r w:rsidRPr="00A374D0">
        <w:rPr>
          <w:rFonts w:ascii="Times New Roman" w:eastAsia="標楷體" w:hAnsi="Times New Roman" w:cs="Times New Roman"/>
          <w:vertAlign w:val="superscript"/>
        </w:rPr>
        <w:t>+</w:t>
      </w:r>
      <w:r w:rsidRPr="00A374D0">
        <w:rPr>
          <w:rFonts w:ascii="Times New Roman" w:eastAsia="標楷體" w:hAnsi="Times New Roman" w:cs="Times New Roman"/>
        </w:rPr>
        <w:t>CD62L</w:t>
      </w:r>
      <w:r w:rsidRPr="00A374D0">
        <w:rPr>
          <w:rFonts w:ascii="Times New Roman" w:eastAsia="標楷體" w:hAnsi="Times New Roman" w:cs="Times New Roman"/>
          <w:vertAlign w:val="superscript"/>
        </w:rPr>
        <w:t>-</w:t>
      </w:r>
      <w:r w:rsidRPr="00A374D0">
        <w:rPr>
          <w:rFonts w:ascii="Times New Roman" w:eastAsia="標楷體" w:hAnsi="Times New Roman" w:cs="Times New Roman"/>
        </w:rPr>
        <w:t>CD8</w:t>
      </w:r>
      <w:r w:rsidRPr="00A374D0">
        <w:rPr>
          <w:rFonts w:ascii="Times New Roman" w:eastAsia="標楷體" w:hAnsi="Times New Roman" w:cs="Times New Roman"/>
          <w:vertAlign w:val="superscript"/>
        </w:rPr>
        <w:t>+</w:t>
      </w:r>
      <w:r w:rsidRPr="00A374D0">
        <w:rPr>
          <w:rFonts w:ascii="Times New Roman" w:eastAsia="標楷體" w:hAnsi="Times New Roman" w:cs="Times New Roman"/>
        </w:rPr>
        <w:t xml:space="preserve"> T</w:t>
      </w:r>
      <w:r w:rsidRPr="00A374D0">
        <w:rPr>
          <w:rFonts w:ascii="Times New Roman" w:eastAsia="標楷體" w:hAnsi="Times New Roman" w:cs="Times New Roman"/>
          <w:vertAlign w:val="subscript"/>
        </w:rPr>
        <w:t>EM</w:t>
      </w:r>
      <w:r w:rsidRPr="00A374D0">
        <w:rPr>
          <w:rFonts w:ascii="Times New Roman" w:eastAsia="標楷體" w:hAnsi="Times New Roman" w:cs="Times New Roman"/>
        </w:rPr>
        <w:t xml:space="preserve"> cells</w:t>
      </w:r>
      <w:r>
        <w:rPr>
          <w:rFonts w:ascii="Times New Roman" w:hAnsi="Times New Roman" w:cs="Times New Roman"/>
        </w:rPr>
        <w:t xml:space="preserve"> (B) </w:t>
      </w:r>
      <w:r w:rsidRPr="00E40AAF">
        <w:rPr>
          <w:rFonts w:ascii="Times New Roman" w:hAnsi="Times New Roman" w:cs="Times New Roman"/>
        </w:rPr>
        <w:t>in resected tumors were analyzed by flow cytometry (n=5).</w:t>
      </w:r>
    </w:p>
    <w:p w:rsidR="00DE4DC0" w:rsidRPr="00C24964" w:rsidRDefault="00DE4DC0" w:rsidP="00C24964"/>
    <w:sectPr w:rsidR="00DE4DC0" w:rsidRPr="00C249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ADD"/>
    <w:multiLevelType w:val="hybridMultilevel"/>
    <w:tmpl w:val="41FE29A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308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64"/>
    <w:rsid w:val="000B14A6"/>
    <w:rsid w:val="0010294A"/>
    <w:rsid w:val="001111B0"/>
    <w:rsid w:val="0019475E"/>
    <w:rsid w:val="001B1971"/>
    <w:rsid w:val="001B1EA7"/>
    <w:rsid w:val="001C5BD7"/>
    <w:rsid w:val="00210A79"/>
    <w:rsid w:val="002A14AD"/>
    <w:rsid w:val="002E6BEE"/>
    <w:rsid w:val="0034748B"/>
    <w:rsid w:val="00385BB5"/>
    <w:rsid w:val="003B010C"/>
    <w:rsid w:val="00410408"/>
    <w:rsid w:val="004F1B46"/>
    <w:rsid w:val="00527486"/>
    <w:rsid w:val="00530B97"/>
    <w:rsid w:val="005D6289"/>
    <w:rsid w:val="005E2797"/>
    <w:rsid w:val="006F6883"/>
    <w:rsid w:val="0074411C"/>
    <w:rsid w:val="00754359"/>
    <w:rsid w:val="007B16B4"/>
    <w:rsid w:val="007B36B0"/>
    <w:rsid w:val="00832840"/>
    <w:rsid w:val="00874144"/>
    <w:rsid w:val="00884D3A"/>
    <w:rsid w:val="009111B4"/>
    <w:rsid w:val="00924BBB"/>
    <w:rsid w:val="009F1A03"/>
    <w:rsid w:val="00A039BA"/>
    <w:rsid w:val="00A10FD6"/>
    <w:rsid w:val="00BA0438"/>
    <w:rsid w:val="00BB68E9"/>
    <w:rsid w:val="00C24964"/>
    <w:rsid w:val="00C61AAA"/>
    <w:rsid w:val="00C7173C"/>
    <w:rsid w:val="00CE6082"/>
    <w:rsid w:val="00DE4DC0"/>
    <w:rsid w:val="00E71015"/>
    <w:rsid w:val="00E94C73"/>
    <w:rsid w:val="00F67676"/>
    <w:rsid w:val="00FB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C6134F-ED05-8043-838E-B3D1E6F1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964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964"/>
    <w:pPr>
      <w:ind w:leftChars="200" w:left="480"/>
    </w:pPr>
  </w:style>
  <w:style w:type="character" w:styleId="a4">
    <w:name w:val="Subtle Emphasis"/>
    <w:uiPriority w:val="19"/>
    <w:qFormat/>
    <w:rsid w:val="00C24964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貞妤 陳</dc:creator>
  <cp:keywords/>
  <dc:description/>
  <cp:lastModifiedBy>貞妤 陳</cp:lastModifiedBy>
  <cp:revision>3</cp:revision>
  <dcterms:created xsi:type="dcterms:W3CDTF">2023-12-16T14:34:00Z</dcterms:created>
  <dcterms:modified xsi:type="dcterms:W3CDTF">2023-12-29T07:33:00Z</dcterms:modified>
</cp:coreProperties>
</file>