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C98C07" w14:textId="38B1D3DC" w:rsidR="00FD367D" w:rsidRDefault="00B010F9" w:rsidP="00B010F9">
      <w:pPr>
        <w:pStyle w:val="Heading1"/>
        <w:rPr>
          <w:rFonts w:asciiTheme="majorBidi" w:hAnsiTheme="majorBidi"/>
          <w:lang w:val="en-US"/>
        </w:rPr>
      </w:pPr>
      <w:r w:rsidRPr="00B010F9">
        <w:rPr>
          <w:rFonts w:asciiTheme="majorBidi" w:hAnsiTheme="majorBidi"/>
          <w:lang w:val="en-US"/>
        </w:rPr>
        <w:t>Appendix</w:t>
      </w:r>
    </w:p>
    <w:p w14:paraId="7C088952" w14:textId="77777777" w:rsidR="00B010F9" w:rsidRDefault="00B010F9" w:rsidP="00B010F9">
      <w:pPr>
        <w:rPr>
          <w:lang w:val="en-US"/>
        </w:rPr>
      </w:pPr>
    </w:p>
    <w:p w14:paraId="58C5C5E5" w14:textId="5F5CB392" w:rsidR="00B010F9" w:rsidRPr="00B010F9" w:rsidRDefault="00B010F9" w:rsidP="00B010F9">
      <w:pPr>
        <w:pStyle w:val="Caption"/>
        <w:keepNext/>
        <w:jc w:val="center"/>
        <w:rPr>
          <w:rFonts w:asciiTheme="majorBidi" w:hAnsiTheme="majorBidi" w:cstheme="majorBidi"/>
        </w:rPr>
      </w:pPr>
      <w:r w:rsidRPr="00B010F9">
        <w:rPr>
          <w:rFonts w:asciiTheme="majorBidi" w:hAnsiTheme="majorBidi" w:cstheme="majorBidi"/>
        </w:rPr>
        <w:t xml:space="preserve">Table </w:t>
      </w:r>
      <w:r>
        <w:rPr>
          <w:rFonts w:asciiTheme="majorBidi" w:hAnsiTheme="majorBidi" w:cstheme="majorBidi"/>
        </w:rPr>
        <w:t>A</w:t>
      </w:r>
      <w:r w:rsidRPr="00B010F9">
        <w:rPr>
          <w:rFonts w:asciiTheme="majorBidi" w:hAnsiTheme="majorBidi" w:cstheme="majorBidi"/>
        </w:rPr>
        <w:fldChar w:fldCharType="begin"/>
      </w:r>
      <w:r w:rsidRPr="00B010F9">
        <w:rPr>
          <w:rFonts w:asciiTheme="majorBidi" w:hAnsiTheme="majorBidi" w:cstheme="majorBidi"/>
        </w:rPr>
        <w:instrText xml:space="preserve"> SEQ Table \* ARABIC </w:instrText>
      </w:r>
      <w:r w:rsidRPr="00B010F9">
        <w:rPr>
          <w:rFonts w:asciiTheme="majorBidi" w:hAnsiTheme="majorBidi" w:cstheme="majorBidi"/>
        </w:rPr>
        <w:fldChar w:fldCharType="separate"/>
      </w:r>
      <w:r w:rsidR="0093489C">
        <w:rPr>
          <w:rFonts w:asciiTheme="majorBidi" w:hAnsiTheme="majorBidi" w:cstheme="majorBidi"/>
          <w:noProof/>
        </w:rPr>
        <w:t>1</w:t>
      </w:r>
      <w:r w:rsidRPr="00B010F9">
        <w:rPr>
          <w:rFonts w:asciiTheme="majorBidi" w:hAnsiTheme="majorBidi" w:cstheme="majorBidi"/>
        </w:rPr>
        <w:fldChar w:fldCharType="end"/>
      </w:r>
      <w:r w:rsidRPr="00B010F9">
        <w:rPr>
          <w:rFonts w:asciiTheme="majorBidi" w:hAnsiTheme="majorBidi" w:cstheme="majorBidi"/>
          <w:lang w:val="en-US"/>
        </w:rPr>
        <w:t xml:space="preserve">: </w:t>
      </w:r>
      <w:r w:rsidR="005A089B" w:rsidRPr="005A089B">
        <w:rPr>
          <w:rFonts w:asciiTheme="majorBidi" w:hAnsiTheme="majorBidi" w:cstheme="majorBidi"/>
          <w:lang w:val="en-US"/>
        </w:rPr>
        <w:t>The mean Normalized Root Mean Square Error (NRMSE) between the outputs of OpenSim Inverse Kinematics (IK) and the Machine Learning (ML) model, accompanied by its corresponding standard deviation (SD), computed across all joints and motion planes.</w:t>
      </w:r>
    </w:p>
    <w:tbl>
      <w:tblPr>
        <w:tblStyle w:val="GridTable1Light-Accent3"/>
        <w:tblW w:w="0" w:type="auto"/>
        <w:jc w:val="center"/>
        <w:tblLook w:val="04A0" w:firstRow="1" w:lastRow="0" w:firstColumn="1" w:lastColumn="0" w:noHBand="0" w:noVBand="1"/>
      </w:tblPr>
      <w:tblGrid>
        <w:gridCol w:w="4196"/>
        <w:gridCol w:w="2451"/>
        <w:gridCol w:w="2482"/>
      </w:tblGrid>
      <w:tr w:rsidR="00B010F9" w:rsidRPr="00B010F9" w14:paraId="18E1A5B6" w14:textId="77777777" w:rsidTr="0014425C">
        <w:trPr>
          <w:cnfStyle w:val="100000000000" w:firstRow="1" w:lastRow="0" w:firstColumn="0" w:lastColumn="0" w:oddVBand="0" w:evenVBand="0" w:oddHBand="0" w:evenHBand="0" w:firstRowFirstColumn="0" w:firstRowLastColumn="0" w:lastRowFirstColumn="0" w:lastRowLastColumn="0"/>
          <w:trHeight w:val="265"/>
          <w:jc w:val="center"/>
        </w:trPr>
        <w:tc>
          <w:tcPr>
            <w:cnfStyle w:val="001000000000" w:firstRow="0" w:lastRow="0" w:firstColumn="1" w:lastColumn="0" w:oddVBand="0" w:evenVBand="0" w:oddHBand="0" w:evenHBand="0" w:firstRowFirstColumn="0" w:firstRowLastColumn="0" w:lastRowFirstColumn="0" w:lastRowLastColumn="0"/>
            <w:tcW w:w="4196" w:type="dxa"/>
            <w:tcBorders>
              <w:top w:val="nil"/>
              <w:left w:val="nil"/>
            </w:tcBorders>
            <w:vAlign w:val="center"/>
          </w:tcPr>
          <w:p w14:paraId="416EC9CE" w14:textId="0ED57BE5" w:rsidR="00B010F9" w:rsidRPr="00B010F9" w:rsidRDefault="00B010F9" w:rsidP="00B010F9">
            <w:pPr>
              <w:jc w:val="center"/>
              <w:rPr>
                <w:rFonts w:asciiTheme="majorBidi" w:hAnsiTheme="majorBidi" w:cstheme="majorBidi"/>
                <w:lang w:val="en-US"/>
              </w:rPr>
            </w:pPr>
          </w:p>
        </w:tc>
        <w:tc>
          <w:tcPr>
            <w:tcW w:w="4933" w:type="dxa"/>
            <w:gridSpan w:val="2"/>
            <w:vAlign w:val="center"/>
          </w:tcPr>
          <w:p w14:paraId="5240BEB9" w14:textId="296F21B5" w:rsidR="00B010F9" w:rsidRPr="00B010F9" w:rsidRDefault="00B010F9" w:rsidP="00B010F9">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lang w:val="en-US"/>
              </w:rPr>
            </w:pPr>
            <w:r w:rsidRPr="00B010F9">
              <w:rPr>
                <w:rFonts w:asciiTheme="majorBidi" w:hAnsiTheme="majorBidi" w:cstheme="majorBidi"/>
                <w:lang w:val="en-US"/>
              </w:rPr>
              <w:t xml:space="preserve">Average </w:t>
            </w:r>
            <w:r>
              <w:rPr>
                <w:rFonts w:asciiTheme="majorBidi" w:hAnsiTheme="majorBidi" w:cstheme="majorBidi"/>
                <w:lang w:val="en-US"/>
              </w:rPr>
              <w:t xml:space="preserve">kinematics </w:t>
            </w:r>
            <w:r w:rsidRPr="00B010F9">
              <w:rPr>
                <w:rFonts w:asciiTheme="majorBidi" w:hAnsiTheme="majorBidi" w:cstheme="majorBidi"/>
                <w:lang w:val="en-US"/>
              </w:rPr>
              <w:t xml:space="preserve">NRMSE (%) </w:t>
            </w:r>
            <w:r w:rsidR="00C00653">
              <w:rPr>
                <w:rFonts w:asciiTheme="majorBidi" w:hAnsiTheme="majorBidi" w:cstheme="majorBidi"/>
                <w:lang w:val="en-US"/>
              </w:rPr>
              <w:t>± SD</w:t>
            </w:r>
          </w:p>
        </w:tc>
      </w:tr>
      <w:tr w:rsidR="005A089B" w:rsidRPr="00B010F9" w14:paraId="4900C631" w14:textId="37D0C0B4" w:rsidTr="0014425C">
        <w:trPr>
          <w:trHeight w:val="265"/>
          <w:jc w:val="center"/>
        </w:trPr>
        <w:tc>
          <w:tcPr>
            <w:cnfStyle w:val="001000000000" w:firstRow="0" w:lastRow="0" w:firstColumn="1" w:lastColumn="0" w:oddVBand="0" w:evenVBand="0" w:oddHBand="0" w:evenHBand="0" w:firstRowFirstColumn="0" w:firstRowLastColumn="0" w:lastRowFirstColumn="0" w:lastRowLastColumn="0"/>
            <w:tcW w:w="4196" w:type="dxa"/>
            <w:vAlign w:val="center"/>
          </w:tcPr>
          <w:p w14:paraId="3C5AC7E2" w14:textId="2EFEB218" w:rsidR="005A089B" w:rsidRPr="00B010F9" w:rsidRDefault="005A089B" w:rsidP="00B010F9">
            <w:pPr>
              <w:jc w:val="center"/>
              <w:rPr>
                <w:rFonts w:asciiTheme="majorBidi" w:hAnsiTheme="majorBidi" w:cstheme="majorBidi"/>
                <w:lang w:val="en-US"/>
              </w:rPr>
            </w:pPr>
            <w:r w:rsidRPr="00B010F9">
              <w:rPr>
                <w:rFonts w:asciiTheme="majorBidi" w:hAnsiTheme="majorBidi" w:cstheme="majorBidi"/>
                <w:lang w:val="en-US"/>
              </w:rPr>
              <w:t>Population</w:t>
            </w:r>
          </w:p>
        </w:tc>
        <w:tc>
          <w:tcPr>
            <w:tcW w:w="2451" w:type="dxa"/>
            <w:tcBorders>
              <w:right w:val="single" w:sz="4" w:space="0" w:color="auto"/>
            </w:tcBorders>
            <w:vAlign w:val="center"/>
          </w:tcPr>
          <w:p w14:paraId="01B2F229" w14:textId="5542F415" w:rsidR="005A089B" w:rsidRPr="00B010F9" w:rsidRDefault="005A089B" w:rsidP="00B010F9">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Pr>
                <w:rFonts w:asciiTheme="majorBidi" w:hAnsiTheme="majorBidi" w:cstheme="majorBidi"/>
                <w:lang w:val="en-US"/>
              </w:rPr>
              <w:t>Intra-subject</w:t>
            </w:r>
          </w:p>
        </w:tc>
        <w:tc>
          <w:tcPr>
            <w:tcW w:w="2482" w:type="dxa"/>
            <w:tcBorders>
              <w:left w:val="single" w:sz="4" w:space="0" w:color="auto"/>
            </w:tcBorders>
            <w:vAlign w:val="center"/>
          </w:tcPr>
          <w:p w14:paraId="5E7D800C" w14:textId="347274A6" w:rsidR="005A089B" w:rsidRPr="00B010F9" w:rsidRDefault="005A089B" w:rsidP="00B010F9">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Pr>
                <w:rFonts w:asciiTheme="majorBidi" w:hAnsiTheme="majorBidi" w:cstheme="majorBidi"/>
                <w:lang w:val="en-US"/>
              </w:rPr>
              <w:t>Inter-subject</w:t>
            </w:r>
          </w:p>
        </w:tc>
      </w:tr>
      <w:tr w:rsidR="002A37B4" w:rsidRPr="00B010F9" w14:paraId="746B8B19" w14:textId="5A9D3177" w:rsidTr="0014425C">
        <w:trPr>
          <w:trHeight w:val="265"/>
          <w:jc w:val="center"/>
        </w:trPr>
        <w:tc>
          <w:tcPr>
            <w:cnfStyle w:val="001000000000" w:firstRow="0" w:lastRow="0" w:firstColumn="1" w:lastColumn="0" w:oddVBand="0" w:evenVBand="0" w:oddHBand="0" w:evenHBand="0" w:firstRowFirstColumn="0" w:firstRowLastColumn="0" w:lastRowFirstColumn="0" w:lastRowLastColumn="0"/>
            <w:tcW w:w="4196" w:type="dxa"/>
            <w:vAlign w:val="center"/>
          </w:tcPr>
          <w:p w14:paraId="239EFD2D" w14:textId="0D04FC2B" w:rsidR="002A37B4" w:rsidRPr="00B010F9" w:rsidRDefault="002A37B4" w:rsidP="002A37B4">
            <w:pPr>
              <w:jc w:val="center"/>
              <w:rPr>
                <w:rFonts w:asciiTheme="majorBidi" w:hAnsiTheme="majorBidi" w:cstheme="majorBidi"/>
                <w:b w:val="0"/>
                <w:bCs w:val="0"/>
                <w:lang w:val="en-US"/>
              </w:rPr>
            </w:pPr>
            <w:r w:rsidRPr="00B010F9">
              <w:rPr>
                <w:rFonts w:asciiTheme="majorBidi" w:hAnsiTheme="majorBidi" w:cstheme="majorBidi"/>
                <w:b w:val="0"/>
                <w:bCs w:val="0"/>
                <w:lang w:val="en-US"/>
              </w:rPr>
              <w:t>Younger TD children (</w:t>
            </w:r>
            <w:r>
              <w:rPr>
                <w:rFonts w:asciiTheme="majorBidi" w:hAnsiTheme="majorBidi" w:cstheme="majorBidi"/>
                <w:b w:val="0"/>
                <w:bCs w:val="0"/>
                <w:lang w:val="en-US"/>
              </w:rPr>
              <w:t xml:space="preserve">≤ 10 </w:t>
            </w:r>
            <w:r w:rsidRPr="00B010F9">
              <w:rPr>
                <w:rFonts w:asciiTheme="majorBidi" w:hAnsiTheme="majorBidi" w:cstheme="majorBidi"/>
                <w:b w:val="0"/>
                <w:bCs w:val="0"/>
                <w:lang w:val="en-US"/>
              </w:rPr>
              <w:t>years old)</w:t>
            </w:r>
          </w:p>
        </w:tc>
        <w:tc>
          <w:tcPr>
            <w:tcW w:w="2451" w:type="dxa"/>
            <w:tcBorders>
              <w:right w:val="single" w:sz="4" w:space="0" w:color="auto"/>
            </w:tcBorders>
            <w:vAlign w:val="center"/>
          </w:tcPr>
          <w:p w14:paraId="25637AD2" w14:textId="7058C834" w:rsidR="002A37B4" w:rsidRPr="00B010F9" w:rsidRDefault="002A37B4" w:rsidP="002A37B4">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Pr>
                <w:rFonts w:asciiTheme="majorBidi" w:hAnsiTheme="majorBidi" w:cstheme="majorBidi"/>
                <w:lang w:val="en-US"/>
              </w:rPr>
              <w:t>11.0 ± 2.1</w:t>
            </w:r>
          </w:p>
        </w:tc>
        <w:tc>
          <w:tcPr>
            <w:tcW w:w="2482" w:type="dxa"/>
            <w:tcBorders>
              <w:left w:val="single" w:sz="4" w:space="0" w:color="auto"/>
            </w:tcBorders>
            <w:vAlign w:val="center"/>
          </w:tcPr>
          <w:p w14:paraId="5B7F89EE" w14:textId="7E307754" w:rsidR="002A37B4" w:rsidRPr="00B010F9" w:rsidRDefault="002A37B4" w:rsidP="002A37B4">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Pr>
                <w:rFonts w:asciiTheme="majorBidi" w:hAnsiTheme="majorBidi" w:cstheme="majorBidi"/>
                <w:lang w:val="en-US"/>
              </w:rPr>
              <w:t>20.1</w:t>
            </w:r>
            <w:r>
              <w:rPr>
                <w:rFonts w:asciiTheme="majorBidi" w:hAnsiTheme="majorBidi" w:cstheme="majorBidi"/>
                <w:lang w:val="en-US"/>
              </w:rPr>
              <w:t xml:space="preserve"> ± </w:t>
            </w:r>
            <w:r>
              <w:rPr>
                <w:rFonts w:asciiTheme="majorBidi" w:hAnsiTheme="majorBidi" w:cstheme="majorBidi"/>
                <w:lang w:val="en-US"/>
              </w:rPr>
              <w:t>4.9</w:t>
            </w:r>
          </w:p>
        </w:tc>
      </w:tr>
      <w:tr w:rsidR="002A37B4" w:rsidRPr="00B010F9" w14:paraId="3A239485" w14:textId="6F6DA293" w:rsidTr="0014425C">
        <w:trPr>
          <w:trHeight w:val="273"/>
          <w:jc w:val="center"/>
        </w:trPr>
        <w:tc>
          <w:tcPr>
            <w:cnfStyle w:val="001000000000" w:firstRow="0" w:lastRow="0" w:firstColumn="1" w:lastColumn="0" w:oddVBand="0" w:evenVBand="0" w:oddHBand="0" w:evenHBand="0" w:firstRowFirstColumn="0" w:firstRowLastColumn="0" w:lastRowFirstColumn="0" w:lastRowLastColumn="0"/>
            <w:tcW w:w="4196" w:type="dxa"/>
            <w:vAlign w:val="center"/>
          </w:tcPr>
          <w:p w14:paraId="5CC442DB" w14:textId="7AD9F54F" w:rsidR="002A37B4" w:rsidRPr="00B010F9" w:rsidRDefault="002A37B4" w:rsidP="002A37B4">
            <w:pPr>
              <w:jc w:val="center"/>
              <w:rPr>
                <w:rFonts w:asciiTheme="majorBidi" w:hAnsiTheme="majorBidi" w:cstheme="majorBidi"/>
                <w:b w:val="0"/>
                <w:bCs w:val="0"/>
                <w:lang w:val="en-US"/>
              </w:rPr>
            </w:pPr>
            <w:r w:rsidRPr="00B010F9">
              <w:rPr>
                <w:rFonts w:asciiTheme="majorBidi" w:hAnsiTheme="majorBidi" w:cstheme="majorBidi"/>
                <w:b w:val="0"/>
                <w:bCs w:val="0"/>
                <w:lang w:val="en-US"/>
              </w:rPr>
              <w:t>Older</w:t>
            </w:r>
            <w:r w:rsidRPr="00B010F9">
              <w:rPr>
                <w:rFonts w:asciiTheme="majorBidi" w:hAnsiTheme="majorBidi" w:cstheme="majorBidi"/>
                <w:b w:val="0"/>
                <w:bCs w:val="0"/>
                <w:lang w:val="en-US"/>
              </w:rPr>
              <w:t xml:space="preserve"> TD children (</w:t>
            </w:r>
            <w:r>
              <w:rPr>
                <w:rFonts w:asciiTheme="majorBidi" w:hAnsiTheme="majorBidi" w:cstheme="majorBidi"/>
                <w:b w:val="0"/>
                <w:bCs w:val="0"/>
                <w:lang w:val="en-US"/>
              </w:rPr>
              <w:t xml:space="preserve">&gt; 10 </w:t>
            </w:r>
            <w:r w:rsidRPr="00B010F9">
              <w:rPr>
                <w:rFonts w:asciiTheme="majorBidi" w:hAnsiTheme="majorBidi" w:cstheme="majorBidi"/>
                <w:b w:val="0"/>
                <w:bCs w:val="0"/>
                <w:lang w:val="en-US"/>
              </w:rPr>
              <w:t>years old</w:t>
            </w:r>
            <w:r w:rsidRPr="00B010F9">
              <w:rPr>
                <w:rFonts w:asciiTheme="majorBidi" w:hAnsiTheme="majorBidi" w:cstheme="majorBidi"/>
                <w:b w:val="0"/>
                <w:bCs w:val="0"/>
                <w:lang w:val="en-US"/>
              </w:rPr>
              <w:t>)</w:t>
            </w:r>
          </w:p>
        </w:tc>
        <w:tc>
          <w:tcPr>
            <w:tcW w:w="2451" w:type="dxa"/>
            <w:tcBorders>
              <w:right w:val="single" w:sz="4" w:space="0" w:color="auto"/>
            </w:tcBorders>
            <w:vAlign w:val="center"/>
          </w:tcPr>
          <w:p w14:paraId="7045A04D" w14:textId="18B60EF0" w:rsidR="002A37B4" w:rsidRPr="00B010F9" w:rsidRDefault="002A37B4" w:rsidP="002A37B4">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Pr>
                <w:rFonts w:asciiTheme="majorBidi" w:hAnsiTheme="majorBidi" w:cstheme="majorBidi"/>
                <w:lang w:val="en-US"/>
              </w:rPr>
              <w:t xml:space="preserve">9.3 </w:t>
            </w:r>
            <w:r>
              <w:rPr>
                <w:rFonts w:asciiTheme="majorBidi" w:hAnsiTheme="majorBidi" w:cstheme="majorBidi"/>
                <w:lang w:val="en-US"/>
              </w:rPr>
              <w:t>±</w:t>
            </w:r>
            <w:r>
              <w:rPr>
                <w:rFonts w:asciiTheme="majorBidi" w:hAnsiTheme="majorBidi" w:cstheme="majorBidi"/>
                <w:lang w:val="en-US"/>
              </w:rPr>
              <w:t xml:space="preserve"> 1.6</w:t>
            </w:r>
          </w:p>
        </w:tc>
        <w:tc>
          <w:tcPr>
            <w:tcW w:w="2482" w:type="dxa"/>
            <w:tcBorders>
              <w:left w:val="single" w:sz="4" w:space="0" w:color="auto"/>
            </w:tcBorders>
            <w:vAlign w:val="center"/>
          </w:tcPr>
          <w:p w14:paraId="5C02DFA8" w14:textId="184CF359" w:rsidR="002A37B4" w:rsidRPr="00B010F9" w:rsidRDefault="002A37B4" w:rsidP="002A37B4">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Pr>
                <w:rFonts w:asciiTheme="majorBidi" w:hAnsiTheme="majorBidi" w:cstheme="majorBidi"/>
                <w:lang w:val="en-US"/>
              </w:rPr>
              <w:t>19.8</w:t>
            </w:r>
            <w:r>
              <w:rPr>
                <w:rFonts w:asciiTheme="majorBidi" w:hAnsiTheme="majorBidi" w:cstheme="majorBidi"/>
                <w:lang w:val="en-US"/>
              </w:rPr>
              <w:t xml:space="preserve"> ± </w:t>
            </w:r>
            <w:r>
              <w:rPr>
                <w:rFonts w:asciiTheme="majorBidi" w:hAnsiTheme="majorBidi" w:cstheme="majorBidi"/>
                <w:lang w:val="en-US"/>
              </w:rPr>
              <w:t>4.2</w:t>
            </w:r>
          </w:p>
        </w:tc>
      </w:tr>
    </w:tbl>
    <w:p w14:paraId="0B7F7576" w14:textId="77777777" w:rsidR="00B010F9" w:rsidRDefault="00B010F9" w:rsidP="00B010F9">
      <w:pPr>
        <w:rPr>
          <w:lang w:val="en-US"/>
        </w:rPr>
      </w:pPr>
    </w:p>
    <w:p w14:paraId="19E383F6" w14:textId="77777777" w:rsidR="0093489C" w:rsidRDefault="0093489C" w:rsidP="00B010F9">
      <w:pPr>
        <w:rPr>
          <w:lang w:val="en-US"/>
        </w:rPr>
      </w:pPr>
    </w:p>
    <w:p w14:paraId="79970D68" w14:textId="246D19A4" w:rsidR="0093489C" w:rsidRPr="0093489C" w:rsidRDefault="0093489C" w:rsidP="0093489C">
      <w:pPr>
        <w:pStyle w:val="Caption"/>
        <w:keepNext/>
        <w:jc w:val="center"/>
        <w:rPr>
          <w:rFonts w:asciiTheme="majorBidi" w:hAnsiTheme="majorBidi" w:cstheme="majorBidi"/>
        </w:rPr>
      </w:pPr>
      <w:r w:rsidRPr="0093489C">
        <w:rPr>
          <w:rFonts w:asciiTheme="majorBidi" w:hAnsiTheme="majorBidi" w:cstheme="majorBidi"/>
        </w:rPr>
        <w:t>Table A</w:t>
      </w:r>
      <w:r w:rsidRPr="0093489C">
        <w:rPr>
          <w:rFonts w:asciiTheme="majorBidi" w:hAnsiTheme="majorBidi" w:cstheme="majorBidi"/>
        </w:rPr>
        <w:fldChar w:fldCharType="begin"/>
      </w:r>
      <w:r w:rsidRPr="0093489C">
        <w:rPr>
          <w:rFonts w:asciiTheme="majorBidi" w:hAnsiTheme="majorBidi" w:cstheme="majorBidi"/>
        </w:rPr>
        <w:instrText xml:space="preserve"> SEQ Table \* ARABIC </w:instrText>
      </w:r>
      <w:r w:rsidRPr="0093489C">
        <w:rPr>
          <w:rFonts w:asciiTheme="majorBidi" w:hAnsiTheme="majorBidi" w:cstheme="majorBidi"/>
        </w:rPr>
        <w:fldChar w:fldCharType="separate"/>
      </w:r>
      <w:r w:rsidRPr="0093489C">
        <w:rPr>
          <w:rFonts w:asciiTheme="majorBidi" w:hAnsiTheme="majorBidi" w:cstheme="majorBidi"/>
          <w:noProof/>
        </w:rPr>
        <w:t>2</w:t>
      </w:r>
      <w:r w:rsidRPr="0093489C">
        <w:rPr>
          <w:rFonts w:asciiTheme="majorBidi" w:hAnsiTheme="majorBidi" w:cstheme="majorBidi"/>
        </w:rPr>
        <w:fldChar w:fldCharType="end"/>
      </w:r>
      <w:r>
        <w:rPr>
          <w:rFonts w:asciiTheme="majorBidi" w:hAnsiTheme="majorBidi" w:cstheme="majorBidi"/>
        </w:rPr>
        <w:t xml:space="preserve">: </w:t>
      </w:r>
      <w:r w:rsidRPr="005A089B">
        <w:rPr>
          <w:rFonts w:asciiTheme="majorBidi" w:hAnsiTheme="majorBidi" w:cstheme="majorBidi"/>
          <w:lang w:val="en-US"/>
        </w:rPr>
        <w:t xml:space="preserve">The mean </w:t>
      </w:r>
      <w:r>
        <w:rPr>
          <w:rFonts w:asciiTheme="majorBidi" w:hAnsiTheme="majorBidi" w:cstheme="majorBidi"/>
          <w:lang w:val="en-US"/>
        </w:rPr>
        <w:t>NRMSE</w:t>
      </w:r>
      <w:r w:rsidRPr="005A089B">
        <w:rPr>
          <w:rFonts w:asciiTheme="majorBidi" w:hAnsiTheme="majorBidi" w:cstheme="majorBidi"/>
          <w:lang w:val="en-US"/>
        </w:rPr>
        <w:t xml:space="preserve"> between the outputs of OpenSim Inverse </w:t>
      </w:r>
      <w:r>
        <w:rPr>
          <w:rFonts w:asciiTheme="majorBidi" w:hAnsiTheme="majorBidi" w:cstheme="majorBidi"/>
          <w:lang w:val="en-US"/>
        </w:rPr>
        <w:t>Dynamics</w:t>
      </w:r>
      <w:r w:rsidRPr="005A089B">
        <w:rPr>
          <w:rFonts w:asciiTheme="majorBidi" w:hAnsiTheme="majorBidi" w:cstheme="majorBidi"/>
          <w:lang w:val="en-US"/>
        </w:rPr>
        <w:t xml:space="preserve"> (I</w:t>
      </w:r>
      <w:r>
        <w:rPr>
          <w:rFonts w:asciiTheme="majorBidi" w:hAnsiTheme="majorBidi" w:cstheme="majorBidi"/>
          <w:lang w:val="en-US"/>
        </w:rPr>
        <w:t>D</w:t>
      </w:r>
      <w:r w:rsidRPr="005A089B">
        <w:rPr>
          <w:rFonts w:asciiTheme="majorBidi" w:hAnsiTheme="majorBidi" w:cstheme="majorBidi"/>
          <w:lang w:val="en-US"/>
        </w:rPr>
        <w:t xml:space="preserve">) and the </w:t>
      </w:r>
      <w:r>
        <w:rPr>
          <w:rFonts w:asciiTheme="majorBidi" w:hAnsiTheme="majorBidi" w:cstheme="majorBidi"/>
          <w:lang w:val="en-US"/>
        </w:rPr>
        <w:t>ML</w:t>
      </w:r>
      <w:r w:rsidRPr="005A089B">
        <w:rPr>
          <w:rFonts w:asciiTheme="majorBidi" w:hAnsiTheme="majorBidi" w:cstheme="majorBidi"/>
          <w:lang w:val="en-US"/>
        </w:rPr>
        <w:t xml:space="preserve"> model, accompanied by its corresponding </w:t>
      </w:r>
      <w:r>
        <w:rPr>
          <w:rFonts w:asciiTheme="majorBidi" w:hAnsiTheme="majorBidi" w:cstheme="majorBidi"/>
          <w:lang w:val="en-US"/>
        </w:rPr>
        <w:t>SD,</w:t>
      </w:r>
      <w:r w:rsidRPr="005A089B">
        <w:rPr>
          <w:rFonts w:asciiTheme="majorBidi" w:hAnsiTheme="majorBidi" w:cstheme="majorBidi"/>
          <w:lang w:val="en-US"/>
        </w:rPr>
        <w:t xml:space="preserve"> computed across all joints and motion planes.</w:t>
      </w:r>
    </w:p>
    <w:tbl>
      <w:tblPr>
        <w:tblStyle w:val="GridTable1Light-Accent3"/>
        <w:tblW w:w="0" w:type="auto"/>
        <w:jc w:val="center"/>
        <w:tblLook w:val="04A0" w:firstRow="1" w:lastRow="0" w:firstColumn="1" w:lastColumn="0" w:noHBand="0" w:noVBand="1"/>
      </w:tblPr>
      <w:tblGrid>
        <w:gridCol w:w="4196"/>
        <w:gridCol w:w="2451"/>
        <w:gridCol w:w="2482"/>
      </w:tblGrid>
      <w:tr w:rsidR="0093489C" w:rsidRPr="00B010F9" w14:paraId="1EA84CDF" w14:textId="77777777" w:rsidTr="0014425C">
        <w:trPr>
          <w:cnfStyle w:val="100000000000" w:firstRow="1" w:lastRow="0" w:firstColumn="0" w:lastColumn="0" w:oddVBand="0" w:evenVBand="0" w:oddHBand="0" w:evenHBand="0" w:firstRowFirstColumn="0" w:firstRowLastColumn="0" w:lastRowFirstColumn="0" w:lastRowLastColumn="0"/>
          <w:trHeight w:val="265"/>
          <w:jc w:val="center"/>
        </w:trPr>
        <w:tc>
          <w:tcPr>
            <w:cnfStyle w:val="001000000000" w:firstRow="0" w:lastRow="0" w:firstColumn="1" w:lastColumn="0" w:oddVBand="0" w:evenVBand="0" w:oddHBand="0" w:evenHBand="0" w:firstRowFirstColumn="0" w:firstRowLastColumn="0" w:lastRowFirstColumn="0" w:lastRowLastColumn="0"/>
            <w:tcW w:w="4196" w:type="dxa"/>
            <w:tcBorders>
              <w:top w:val="nil"/>
              <w:left w:val="nil"/>
            </w:tcBorders>
            <w:vAlign w:val="center"/>
          </w:tcPr>
          <w:p w14:paraId="1FFC00A2" w14:textId="77777777" w:rsidR="0093489C" w:rsidRPr="00B010F9" w:rsidRDefault="0093489C" w:rsidP="00CF023A">
            <w:pPr>
              <w:jc w:val="center"/>
              <w:rPr>
                <w:rFonts w:asciiTheme="majorBidi" w:hAnsiTheme="majorBidi" w:cstheme="majorBidi"/>
                <w:lang w:val="en-US"/>
              </w:rPr>
            </w:pPr>
          </w:p>
        </w:tc>
        <w:tc>
          <w:tcPr>
            <w:tcW w:w="4933" w:type="dxa"/>
            <w:gridSpan w:val="2"/>
            <w:vAlign w:val="center"/>
          </w:tcPr>
          <w:p w14:paraId="21B1020C" w14:textId="7B8D0B7A" w:rsidR="0093489C" w:rsidRPr="00B010F9" w:rsidRDefault="0093489C" w:rsidP="00CF023A">
            <w:pPr>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lang w:val="en-US"/>
              </w:rPr>
            </w:pPr>
            <w:r w:rsidRPr="00B010F9">
              <w:rPr>
                <w:rFonts w:asciiTheme="majorBidi" w:hAnsiTheme="majorBidi" w:cstheme="majorBidi"/>
                <w:lang w:val="en-US"/>
              </w:rPr>
              <w:t xml:space="preserve">Average </w:t>
            </w:r>
            <w:r>
              <w:rPr>
                <w:rFonts w:asciiTheme="majorBidi" w:hAnsiTheme="majorBidi" w:cstheme="majorBidi"/>
                <w:lang w:val="en-US"/>
              </w:rPr>
              <w:t xml:space="preserve">kinetics </w:t>
            </w:r>
            <w:r w:rsidRPr="00B010F9">
              <w:rPr>
                <w:rFonts w:asciiTheme="majorBidi" w:hAnsiTheme="majorBidi" w:cstheme="majorBidi"/>
                <w:lang w:val="en-US"/>
              </w:rPr>
              <w:t>NRMSE (%)</w:t>
            </w:r>
            <w:r w:rsidR="00C00653">
              <w:rPr>
                <w:rFonts w:asciiTheme="majorBidi" w:hAnsiTheme="majorBidi" w:cstheme="majorBidi"/>
                <w:lang w:val="en-US"/>
              </w:rPr>
              <w:t xml:space="preserve"> </w:t>
            </w:r>
            <w:r w:rsidR="00C00653">
              <w:rPr>
                <w:rFonts w:asciiTheme="majorBidi" w:hAnsiTheme="majorBidi" w:cstheme="majorBidi"/>
                <w:lang w:val="en-US"/>
              </w:rPr>
              <w:t>± SD</w:t>
            </w:r>
          </w:p>
        </w:tc>
      </w:tr>
      <w:tr w:rsidR="0093489C" w:rsidRPr="00B010F9" w14:paraId="20465023" w14:textId="77777777" w:rsidTr="0014425C">
        <w:trPr>
          <w:trHeight w:val="265"/>
          <w:jc w:val="center"/>
        </w:trPr>
        <w:tc>
          <w:tcPr>
            <w:cnfStyle w:val="001000000000" w:firstRow="0" w:lastRow="0" w:firstColumn="1" w:lastColumn="0" w:oddVBand="0" w:evenVBand="0" w:oddHBand="0" w:evenHBand="0" w:firstRowFirstColumn="0" w:firstRowLastColumn="0" w:lastRowFirstColumn="0" w:lastRowLastColumn="0"/>
            <w:tcW w:w="4196" w:type="dxa"/>
            <w:vAlign w:val="center"/>
          </w:tcPr>
          <w:p w14:paraId="3999B791" w14:textId="77777777" w:rsidR="0093489C" w:rsidRPr="00B010F9" w:rsidRDefault="0093489C" w:rsidP="00CF023A">
            <w:pPr>
              <w:jc w:val="center"/>
              <w:rPr>
                <w:rFonts w:asciiTheme="majorBidi" w:hAnsiTheme="majorBidi" w:cstheme="majorBidi"/>
                <w:lang w:val="en-US"/>
              </w:rPr>
            </w:pPr>
            <w:r w:rsidRPr="00B010F9">
              <w:rPr>
                <w:rFonts w:asciiTheme="majorBidi" w:hAnsiTheme="majorBidi" w:cstheme="majorBidi"/>
                <w:lang w:val="en-US"/>
              </w:rPr>
              <w:t>Population</w:t>
            </w:r>
          </w:p>
        </w:tc>
        <w:tc>
          <w:tcPr>
            <w:tcW w:w="2451" w:type="dxa"/>
            <w:tcBorders>
              <w:right w:val="single" w:sz="4" w:space="0" w:color="auto"/>
            </w:tcBorders>
            <w:vAlign w:val="center"/>
          </w:tcPr>
          <w:p w14:paraId="59240420" w14:textId="77777777" w:rsidR="0093489C" w:rsidRPr="00B010F9" w:rsidRDefault="0093489C" w:rsidP="00CF023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Pr>
                <w:rFonts w:asciiTheme="majorBidi" w:hAnsiTheme="majorBidi" w:cstheme="majorBidi"/>
                <w:lang w:val="en-US"/>
              </w:rPr>
              <w:t>Intra-subject</w:t>
            </w:r>
          </w:p>
        </w:tc>
        <w:tc>
          <w:tcPr>
            <w:tcW w:w="2482" w:type="dxa"/>
            <w:tcBorders>
              <w:left w:val="single" w:sz="4" w:space="0" w:color="auto"/>
            </w:tcBorders>
            <w:vAlign w:val="center"/>
          </w:tcPr>
          <w:p w14:paraId="55BF2048" w14:textId="77777777" w:rsidR="0093489C" w:rsidRPr="00B010F9" w:rsidRDefault="0093489C" w:rsidP="00CF023A">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Pr>
                <w:rFonts w:asciiTheme="majorBidi" w:hAnsiTheme="majorBidi" w:cstheme="majorBidi"/>
                <w:lang w:val="en-US"/>
              </w:rPr>
              <w:t>Inter-subject</w:t>
            </w:r>
          </w:p>
        </w:tc>
      </w:tr>
      <w:tr w:rsidR="002A37B4" w:rsidRPr="00B010F9" w14:paraId="5835B4A8" w14:textId="77777777" w:rsidTr="0014425C">
        <w:trPr>
          <w:trHeight w:val="265"/>
          <w:jc w:val="center"/>
        </w:trPr>
        <w:tc>
          <w:tcPr>
            <w:cnfStyle w:val="001000000000" w:firstRow="0" w:lastRow="0" w:firstColumn="1" w:lastColumn="0" w:oddVBand="0" w:evenVBand="0" w:oddHBand="0" w:evenHBand="0" w:firstRowFirstColumn="0" w:firstRowLastColumn="0" w:lastRowFirstColumn="0" w:lastRowLastColumn="0"/>
            <w:tcW w:w="4196" w:type="dxa"/>
            <w:vAlign w:val="center"/>
          </w:tcPr>
          <w:p w14:paraId="447D0A5C" w14:textId="1F4F236E" w:rsidR="002A37B4" w:rsidRPr="00B010F9" w:rsidRDefault="002A37B4" w:rsidP="002A37B4">
            <w:pPr>
              <w:jc w:val="center"/>
              <w:rPr>
                <w:rFonts w:asciiTheme="majorBidi" w:hAnsiTheme="majorBidi" w:cstheme="majorBidi"/>
                <w:b w:val="0"/>
                <w:bCs w:val="0"/>
                <w:lang w:val="en-US"/>
              </w:rPr>
            </w:pPr>
            <w:r w:rsidRPr="00B010F9">
              <w:rPr>
                <w:rFonts w:asciiTheme="majorBidi" w:hAnsiTheme="majorBidi" w:cstheme="majorBidi"/>
                <w:b w:val="0"/>
                <w:bCs w:val="0"/>
                <w:lang w:val="en-US"/>
              </w:rPr>
              <w:t>Younger TD children (</w:t>
            </w:r>
            <w:r>
              <w:rPr>
                <w:rFonts w:asciiTheme="majorBidi" w:hAnsiTheme="majorBidi" w:cstheme="majorBidi"/>
                <w:b w:val="0"/>
                <w:bCs w:val="0"/>
                <w:lang w:val="en-US"/>
              </w:rPr>
              <w:t xml:space="preserve">≤ 10 </w:t>
            </w:r>
            <w:r w:rsidRPr="00B010F9">
              <w:rPr>
                <w:rFonts w:asciiTheme="majorBidi" w:hAnsiTheme="majorBidi" w:cstheme="majorBidi"/>
                <w:b w:val="0"/>
                <w:bCs w:val="0"/>
                <w:lang w:val="en-US"/>
              </w:rPr>
              <w:t>years old)</w:t>
            </w:r>
          </w:p>
        </w:tc>
        <w:tc>
          <w:tcPr>
            <w:tcW w:w="2451" w:type="dxa"/>
            <w:tcBorders>
              <w:right w:val="single" w:sz="4" w:space="0" w:color="auto"/>
            </w:tcBorders>
            <w:vAlign w:val="center"/>
          </w:tcPr>
          <w:p w14:paraId="0C033561" w14:textId="2F3124D0" w:rsidR="002A37B4" w:rsidRPr="00B010F9" w:rsidRDefault="002A37B4" w:rsidP="002A37B4">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Pr>
                <w:rFonts w:asciiTheme="majorBidi" w:hAnsiTheme="majorBidi" w:cstheme="majorBidi"/>
                <w:lang w:val="en-US"/>
              </w:rPr>
              <w:t>11.</w:t>
            </w:r>
            <w:r>
              <w:rPr>
                <w:rFonts w:asciiTheme="majorBidi" w:hAnsiTheme="majorBidi" w:cstheme="majorBidi"/>
                <w:lang w:val="en-US"/>
              </w:rPr>
              <w:t>5</w:t>
            </w:r>
            <w:r>
              <w:rPr>
                <w:rFonts w:asciiTheme="majorBidi" w:hAnsiTheme="majorBidi" w:cstheme="majorBidi"/>
                <w:lang w:val="en-US"/>
              </w:rPr>
              <w:t xml:space="preserve"> ± 2.</w:t>
            </w:r>
            <w:r>
              <w:rPr>
                <w:rFonts w:asciiTheme="majorBidi" w:hAnsiTheme="majorBidi" w:cstheme="majorBidi"/>
                <w:lang w:val="en-US"/>
              </w:rPr>
              <w:t>0</w:t>
            </w:r>
          </w:p>
        </w:tc>
        <w:tc>
          <w:tcPr>
            <w:tcW w:w="2482" w:type="dxa"/>
            <w:tcBorders>
              <w:left w:val="single" w:sz="4" w:space="0" w:color="auto"/>
            </w:tcBorders>
            <w:vAlign w:val="center"/>
          </w:tcPr>
          <w:p w14:paraId="7223886D" w14:textId="28C1F9BB" w:rsidR="002A37B4" w:rsidRPr="00B010F9" w:rsidRDefault="002A37B4" w:rsidP="002A37B4">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Pr>
                <w:rFonts w:asciiTheme="majorBidi" w:hAnsiTheme="majorBidi" w:cstheme="majorBidi"/>
                <w:lang w:val="en-US"/>
              </w:rPr>
              <w:t>16.2</w:t>
            </w:r>
            <w:r>
              <w:rPr>
                <w:rFonts w:asciiTheme="majorBidi" w:hAnsiTheme="majorBidi" w:cstheme="majorBidi"/>
                <w:lang w:val="en-US"/>
              </w:rPr>
              <w:t xml:space="preserve"> ± </w:t>
            </w:r>
            <w:r>
              <w:rPr>
                <w:rFonts w:asciiTheme="majorBidi" w:hAnsiTheme="majorBidi" w:cstheme="majorBidi"/>
                <w:lang w:val="en-US"/>
              </w:rPr>
              <w:t>4.8</w:t>
            </w:r>
          </w:p>
        </w:tc>
      </w:tr>
      <w:tr w:rsidR="002A37B4" w:rsidRPr="00B010F9" w14:paraId="76576B3E" w14:textId="77777777" w:rsidTr="0014425C">
        <w:trPr>
          <w:trHeight w:val="273"/>
          <w:jc w:val="center"/>
        </w:trPr>
        <w:tc>
          <w:tcPr>
            <w:cnfStyle w:val="001000000000" w:firstRow="0" w:lastRow="0" w:firstColumn="1" w:lastColumn="0" w:oddVBand="0" w:evenVBand="0" w:oddHBand="0" w:evenHBand="0" w:firstRowFirstColumn="0" w:firstRowLastColumn="0" w:lastRowFirstColumn="0" w:lastRowLastColumn="0"/>
            <w:tcW w:w="4196" w:type="dxa"/>
            <w:vAlign w:val="center"/>
          </w:tcPr>
          <w:p w14:paraId="1F608300" w14:textId="1FEF2927" w:rsidR="002A37B4" w:rsidRPr="00B010F9" w:rsidRDefault="002A37B4" w:rsidP="002A37B4">
            <w:pPr>
              <w:jc w:val="center"/>
              <w:rPr>
                <w:rFonts w:asciiTheme="majorBidi" w:hAnsiTheme="majorBidi" w:cstheme="majorBidi"/>
                <w:b w:val="0"/>
                <w:bCs w:val="0"/>
                <w:lang w:val="en-US"/>
              </w:rPr>
            </w:pPr>
            <w:r w:rsidRPr="00B010F9">
              <w:rPr>
                <w:rFonts w:asciiTheme="majorBidi" w:hAnsiTheme="majorBidi" w:cstheme="majorBidi"/>
                <w:b w:val="0"/>
                <w:bCs w:val="0"/>
                <w:lang w:val="en-US"/>
              </w:rPr>
              <w:t>Older TD children (</w:t>
            </w:r>
            <w:r>
              <w:rPr>
                <w:rFonts w:asciiTheme="majorBidi" w:hAnsiTheme="majorBidi" w:cstheme="majorBidi"/>
                <w:b w:val="0"/>
                <w:bCs w:val="0"/>
                <w:lang w:val="en-US"/>
              </w:rPr>
              <w:t xml:space="preserve">&gt; 10 </w:t>
            </w:r>
            <w:r w:rsidRPr="00B010F9">
              <w:rPr>
                <w:rFonts w:asciiTheme="majorBidi" w:hAnsiTheme="majorBidi" w:cstheme="majorBidi"/>
                <w:b w:val="0"/>
                <w:bCs w:val="0"/>
                <w:lang w:val="en-US"/>
              </w:rPr>
              <w:t>years old)</w:t>
            </w:r>
          </w:p>
        </w:tc>
        <w:tc>
          <w:tcPr>
            <w:tcW w:w="2451" w:type="dxa"/>
            <w:tcBorders>
              <w:right w:val="single" w:sz="4" w:space="0" w:color="auto"/>
            </w:tcBorders>
            <w:vAlign w:val="center"/>
          </w:tcPr>
          <w:p w14:paraId="548E550A" w14:textId="4B204433" w:rsidR="002A37B4" w:rsidRPr="00B010F9" w:rsidRDefault="002A37B4" w:rsidP="002A37B4">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Pr>
                <w:rFonts w:asciiTheme="majorBidi" w:hAnsiTheme="majorBidi" w:cstheme="majorBidi"/>
                <w:lang w:val="en-US"/>
              </w:rPr>
              <w:t>10.5</w:t>
            </w:r>
            <w:r>
              <w:rPr>
                <w:rFonts w:asciiTheme="majorBidi" w:hAnsiTheme="majorBidi" w:cstheme="majorBidi"/>
                <w:lang w:val="en-US"/>
              </w:rPr>
              <w:t xml:space="preserve"> ± 1.</w:t>
            </w:r>
            <w:r>
              <w:rPr>
                <w:rFonts w:asciiTheme="majorBidi" w:hAnsiTheme="majorBidi" w:cstheme="majorBidi"/>
                <w:lang w:val="en-US"/>
              </w:rPr>
              <w:t>2</w:t>
            </w:r>
          </w:p>
        </w:tc>
        <w:tc>
          <w:tcPr>
            <w:tcW w:w="2482" w:type="dxa"/>
            <w:tcBorders>
              <w:left w:val="single" w:sz="4" w:space="0" w:color="auto"/>
            </w:tcBorders>
            <w:vAlign w:val="center"/>
          </w:tcPr>
          <w:p w14:paraId="736149C1" w14:textId="70F0BB07" w:rsidR="002A37B4" w:rsidRPr="00B010F9" w:rsidRDefault="002A37B4" w:rsidP="002A37B4">
            <w:pPr>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lang w:val="en-US"/>
              </w:rPr>
            </w:pPr>
            <w:r>
              <w:rPr>
                <w:rFonts w:asciiTheme="majorBidi" w:hAnsiTheme="majorBidi" w:cstheme="majorBidi"/>
                <w:lang w:val="en-US"/>
              </w:rPr>
              <w:t>1</w:t>
            </w:r>
            <w:r>
              <w:rPr>
                <w:rFonts w:asciiTheme="majorBidi" w:hAnsiTheme="majorBidi" w:cstheme="majorBidi"/>
                <w:lang w:val="en-US"/>
              </w:rPr>
              <w:t>1.9</w:t>
            </w:r>
            <w:r>
              <w:rPr>
                <w:rFonts w:asciiTheme="majorBidi" w:hAnsiTheme="majorBidi" w:cstheme="majorBidi"/>
                <w:lang w:val="en-US"/>
              </w:rPr>
              <w:t xml:space="preserve"> ± 1.</w:t>
            </w:r>
            <w:r>
              <w:rPr>
                <w:rFonts w:asciiTheme="majorBidi" w:hAnsiTheme="majorBidi" w:cstheme="majorBidi"/>
                <w:lang w:val="en-US"/>
              </w:rPr>
              <w:t>1</w:t>
            </w:r>
          </w:p>
        </w:tc>
      </w:tr>
    </w:tbl>
    <w:p w14:paraId="61A20739" w14:textId="77777777" w:rsidR="0093489C" w:rsidRDefault="0093489C" w:rsidP="00B010F9">
      <w:pPr>
        <w:rPr>
          <w:lang w:val="en-US"/>
        </w:rPr>
      </w:pPr>
    </w:p>
    <w:p w14:paraId="5F576CAA" w14:textId="77777777" w:rsidR="005A089B" w:rsidRDefault="00B010F9" w:rsidP="005A089B">
      <w:pPr>
        <w:keepNext/>
      </w:pPr>
      <w:r>
        <w:rPr>
          <w:noProof/>
        </w:rPr>
        <w:lastRenderedPageBreak/>
        <w:drawing>
          <wp:inline distT="0" distB="0" distL="0" distR="0" wp14:anchorId="7F074192" wp14:editId="2B559DA9">
            <wp:extent cx="6719754" cy="8044873"/>
            <wp:effectExtent l="0" t="0" r="5080" b="0"/>
            <wp:docPr id="14393026" name="Picture 1" descr="A collage of graph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93026" name="Picture 1" descr="A collage of graphs&#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733341" cy="8061140"/>
                    </a:xfrm>
                    <a:prstGeom prst="rect">
                      <a:avLst/>
                    </a:prstGeom>
                    <a:noFill/>
                    <a:ln>
                      <a:noFill/>
                    </a:ln>
                  </pic:spPr>
                </pic:pic>
              </a:graphicData>
            </a:graphic>
          </wp:inline>
        </w:drawing>
      </w:r>
    </w:p>
    <w:p w14:paraId="1D024193" w14:textId="72C01148" w:rsidR="00B010F9" w:rsidRPr="005A089B" w:rsidRDefault="005A089B" w:rsidP="0093489C">
      <w:pPr>
        <w:pStyle w:val="Caption"/>
        <w:jc w:val="center"/>
        <w:rPr>
          <w:rFonts w:asciiTheme="majorBidi" w:hAnsiTheme="majorBidi" w:cstheme="majorBidi"/>
          <w:i w:val="0"/>
          <w:iCs w:val="0"/>
          <w:lang w:val="en-US"/>
        </w:rPr>
      </w:pPr>
      <w:r w:rsidRPr="005A089B">
        <w:rPr>
          <w:rFonts w:asciiTheme="majorBidi" w:hAnsiTheme="majorBidi" w:cstheme="majorBidi"/>
        </w:rPr>
        <w:t>Figure A</w:t>
      </w:r>
      <w:r w:rsidRPr="005A089B">
        <w:rPr>
          <w:rFonts w:asciiTheme="majorBidi" w:hAnsiTheme="majorBidi" w:cstheme="majorBidi"/>
        </w:rPr>
        <w:fldChar w:fldCharType="begin"/>
      </w:r>
      <w:r w:rsidRPr="005A089B">
        <w:rPr>
          <w:rFonts w:asciiTheme="majorBidi" w:hAnsiTheme="majorBidi" w:cstheme="majorBidi"/>
        </w:rPr>
        <w:instrText xml:space="preserve"> SEQ Figure \* ARABIC </w:instrText>
      </w:r>
      <w:r w:rsidRPr="005A089B">
        <w:rPr>
          <w:rFonts w:asciiTheme="majorBidi" w:hAnsiTheme="majorBidi" w:cstheme="majorBidi"/>
        </w:rPr>
        <w:fldChar w:fldCharType="separate"/>
      </w:r>
      <w:r w:rsidR="0093489C">
        <w:rPr>
          <w:rFonts w:asciiTheme="majorBidi" w:hAnsiTheme="majorBidi" w:cstheme="majorBidi"/>
          <w:noProof/>
        </w:rPr>
        <w:t>1</w:t>
      </w:r>
      <w:r w:rsidRPr="005A089B">
        <w:rPr>
          <w:rFonts w:asciiTheme="majorBidi" w:hAnsiTheme="majorBidi" w:cstheme="majorBidi"/>
        </w:rPr>
        <w:fldChar w:fldCharType="end"/>
      </w:r>
      <w:r w:rsidRPr="005A089B">
        <w:rPr>
          <w:rFonts w:asciiTheme="majorBidi" w:hAnsiTheme="majorBidi" w:cstheme="majorBidi"/>
        </w:rPr>
        <w:t>:</w:t>
      </w:r>
      <w:r>
        <w:rPr>
          <w:rFonts w:asciiTheme="majorBidi" w:hAnsiTheme="majorBidi" w:cstheme="majorBidi"/>
        </w:rPr>
        <w:t xml:space="preserve"> </w:t>
      </w:r>
      <w:r w:rsidRPr="005A089B">
        <w:rPr>
          <w:rFonts w:asciiTheme="majorBidi" w:hAnsiTheme="majorBidi" w:cstheme="majorBidi"/>
        </w:rPr>
        <w:t xml:space="preserve">The plots are made across all participants in the intra-subject examination, specifically for </w:t>
      </w:r>
      <w:r>
        <w:rPr>
          <w:rFonts w:asciiTheme="majorBidi" w:hAnsiTheme="majorBidi" w:cstheme="majorBidi"/>
        </w:rPr>
        <w:t>pelvis tilt</w:t>
      </w:r>
      <w:r w:rsidRPr="005A089B">
        <w:rPr>
          <w:rFonts w:asciiTheme="majorBidi" w:hAnsiTheme="majorBidi" w:cstheme="majorBidi"/>
        </w:rPr>
        <w:t xml:space="preserve"> (a, b, c), </w:t>
      </w:r>
      <w:r>
        <w:rPr>
          <w:rFonts w:asciiTheme="majorBidi" w:hAnsiTheme="majorBidi" w:cstheme="majorBidi"/>
        </w:rPr>
        <w:t>pelvis obliquity</w:t>
      </w:r>
      <w:r w:rsidRPr="005A089B">
        <w:rPr>
          <w:rFonts w:asciiTheme="majorBidi" w:hAnsiTheme="majorBidi" w:cstheme="majorBidi"/>
        </w:rPr>
        <w:t xml:space="preserve"> (d, e, f), </w:t>
      </w:r>
      <w:r>
        <w:rPr>
          <w:rFonts w:asciiTheme="majorBidi" w:hAnsiTheme="majorBidi" w:cstheme="majorBidi"/>
        </w:rPr>
        <w:t xml:space="preserve">pelvis rotation (g, h, i), hip adduction/abduction (j, k, l), hip rotation (m, n, o), </w:t>
      </w:r>
      <w:r w:rsidRPr="005A089B">
        <w:rPr>
          <w:rFonts w:asciiTheme="majorBidi" w:hAnsiTheme="majorBidi" w:cstheme="majorBidi"/>
        </w:rPr>
        <w:t xml:space="preserve">and ankle </w:t>
      </w:r>
      <w:r>
        <w:rPr>
          <w:rFonts w:asciiTheme="majorBidi" w:hAnsiTheme="majorBidi" w:cstheme="majorBidi"/>
        </w:rPr>
        <w:t xml:space="preserve">inversion/eversion </w:t>
      </w:r>
      <w:r w:rsidRPr="005A089B">
        <w:rPr>
          <w:rFonts w:asciiTheme="majorBidi" w:hAnsiTheme="majorBidi" w:cstheme="majorBidi"/>
        </w:rPr>
        <w:t>(</w:t>
      </w:r>
      <w:r>
        <w:rPr>
          <w:rFonts w:asciiTheme="majorBidi" w:hAnsiTheme="majorBidi" w:cstheme="majorBidi"/>
        </w:rPr>
        <w:t>p, q, r</w:t>
      </w:r>
      <w:r w:rsidRPr="005A089B">
        <w:rPr>
          <w:rFonts w:asciiTheme="majorBidi" w:hAnsiTheme="majorBidi" w:cstheme="majorBidi"/>
        </w:rPr>
        <w:t>) joint angles. (a), (d)</w:t>
      </w:r>
      <w:r>
        <w:rPr>
          <w:rFonts w:asciiTheme="majorBidi" w:hAnsiTheme="majorBidi" w:cstheme="majorBidi"/>
        </w:rPr>
        <w:t>, (g), (j), (m),</w:t>
      </w:r>
      <w:r w:rsidRPr="005A089B">
        <w:rPr>
          <w:rFonts w:asciiTheme="majorBidi" w:hAnsiTheme="majorBidi" w:cstheme="majorBidi"/>
        </w:rPr>
        <w:t xml:space="preserve"> and (</w:t>
      </w:r>
      <w:r>
        <w:rPr>
          <w:rFonts w:asciiTheme="majorBidi" w:hAnsiTheme="majorBidi" w:cstheme="majorBidi"/>
        </w:rPr>
        <w:t>p</w:t>
      </w:r>
      <w:r w:rsidRPr="005A089B">
        <w:rPr>
          <w:rFonts w:asciiTheme="majorBidi" w:hAnsiTheme="majorBidi" w:cstheme="majorBidi"/>
        </w:rPr>
        <w:t xml:space="preserve">) present the RF model's average predictions (the dashed red line represents the average, and the red shaded area indicates the SD)  for joint angles, utilizing data from IMUs placed on the feet. These predictions are compared to the joint angles derived from the OpenSim IK tool (the solid blue line represents the average, and the blue shaded area indicates the SD). Figures (b), (e), </w:t>
      </w:r>
      <w:r>
        <w:rPr>
          <w:rFonts w:asciiTheme="majorBidi" w:hAnsiTheme="majorBidi" w:cstheme="majorBidi"/>
        </w:rPr>
        <w:t xml:space="preserve">(h), (k), (n), </w:t>
      </w:r>
      <w:r w:rsidRPr="005A089B">
        <w:rPr>
          <w:rFonts w:asciiTheme="majorBidi" w:hAnsiTheme="majorBidi" w:cstheme="majorBidi"/>
        </w:rPr>
        <w:t>and (</w:t>
      </w:r>
      <w:r>
        <w:rPr>
          <w:rFonts w:asciiTheme="majorBidi" w:hAnsiTheme="majorBidi" w:cstheme="majorBidi"/>
        </w:rPr>
        <w:t>q</w:t>
      </w:r>
      <w:r w:rsidRPr="005A089B">
        <w:rPr>
          <w:rFonts w:asciiTheme="majorBidi" w:hAnsiTheme="majorBidi" w:cstheme="majorBidi"/>
        </w:rPr>
        <w:t xml:space="preserve">) illustrate the correlation and R-squared (R²) values for the mentioned joint angle targets. In (c), (f), </w:t>
      </w:r>
      <w:r>
        <w:rPr>
          <w:rFonts w:asciiTheme="majorBidi" w:hAnsiTheme="majorBidi" w:cstheme="majorBidi"/>
        </w:rPr>
        <w:t>(i), (</w:t>
      </w:r>
      <w:r w:rsidR="0093489C">
        <w:rPr>
          <w:rFonts w:asciiTheme="majorBidi" w:hAnsiTheme="majorBidi" w:cstheme="majorBidi"/>
        </w:rPr>
        <w:t>l</w:t>
      </w:r>
      <w:r>
        <w:rPr>
          <w:rFonts w:asciiTheme="majorBidi" w:hAnsiTheme="majorBidi" w:cstheme="majorBidi"/>
        </w:rPr>
        <w:t>), (</w:t>
      </w:r>
      <w:r w:rsidR="0093489C">
        <w:rPr>
          <w:rFonts w:asciiTheme="majorBidi" w:hAnsiTheme="majorBidi" w:cstheme="majorBidi"/>
        </w:rPr>
        <w:t>o</w:t>
      </w:r>
      <w:r>
        <w:rPr>
          <w:rFonts w:asciiTheme="majorBidi" w:hAnsiTheme="majorBidi" w:cstheme="majorBidi"/>
        </w:rPr>
        <w:t xml:space="preserve">), </w:t>
      </w:r>
      <w:r w:rsidRPr="005A089B">
        <w:rPr>
          <w:rFonts w:asciiTheme="majorBidi" w:hAnsiTheme="majorBidi" w:cstheme="majorBidi"/>
        </w:rPr>
        <w:t>and (</w:t>
      </w:r>
      <w:r w:rsidR="0093489C">
        <w:rPr>
          <w:rFonts w:asciiTheme="majorBidi" w:hAnsiTheme="majorBidi" w:cstheme="majorBidi"/>
        </w:rPr>
        <w:t>r</w:t>
      </w:r>
      <w:r w:rsidRPr="005A089B">
        <w:rPr>
          <w:rFonts w:asciiTheme="majorBidi" w:hAnsiTheme="majorBidi" w:cstheme="majorBidi"/>
        </w:rPr>
        <w:t>), we utilized Bland-Altman plots to visually depict the errors throughout one gait cycle for all participants. In these plots, the dashed blue line represents the mean error, and the mean ± 2SD is depicted as dashed red and green lines. Each distinct colour in these plots represents the results of one participant.</w:t>
      </w:r>
    </w:p>
    <w:p w14:paraId="3682A0F7" w14:textId="77777777" w:rsidR="00B010F9" w:rsidRDefault="00B010F9" w:rsidP="00B010F9">
      <w:pPr>
        <w:rPr>
          <w:rFonts w:asciiTheme="majorBidi" w:hAnsiTheme="majorBidi" w:cstheme="majorBidi"/>
          <w:lang w:val="en-US"/>
        </w:rPr>
      </w:pPr>
    </w:p>
    <w:p w14:paraId="7BEF278D" w14:textId="77777777" w:rsidR="00B010F9" w:rsidRDefault="00B010F9" w:rsidP="00B010F9">
      <w:pPr>
        <w:rPr>
          <w:rFonts w:asciiTheme="majorBidi" w:hAnsiTheme="majorBidi" w:cstheme="majorBidi"/>
          <w:lang w:val="en-US"/>
        </w:rPr>
      </w:pPr>
    </w:p>
    <w:p w14:paraId="0301CDB3" w14:textId="77777777" w:rsidR="0093489C" w:rsidRDefault="0093489C" w:rsidP="0093489C">
      <w:pPr>
        <w:keepNext/>
      </w:pPr>
      <w:r>
        <w:rPr>
          <w:noProof/>
        </w:rPr>
        <w:lastRenderedPageBreak/>
        <w:drawing>
          <wp:inline distT="0" distB="0" distL="0" distR="0" wp14:anchorId="7063CA98" wp14:editId="77E51B4F">
            <wp:extent cx="6580909" cy="7974478"/>
            <wp:effectExtent l="0" t="0" r="0" b="7620"/>
            <wp:docPr id="1899935279" name="Picture 2" descr="A collage of graph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9935279" name="Picture 2" descr="A collage of graphs&#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588595" cy="7983792"/>
                    </a:xfrm>
                    <a:prstGeom prst="rect">
                      <a:avLst/>
                    </a:prstGeom>
                    <a:noFill/>
                    <a:ln>
                      <a:noFill/>
                    </a:ln>
                  </pic:spPr>
                </pic:pic>
              </a:graphicData>
            </a:graphic>
          </wp:inline>
        </w:drawing>
      </w:r>
    </w:p>
    <w:p w14:paraId="7B8D0ADC" w14:textId="2EAB2CDE" w:rsidR="00B010F9" w:rsidRPr="0093489C" w:rsidRDefault="0093489C" w:rsidP="0093489C">
      <w:pPr>
        <w:pStyle w:val="Caption"/>
        <w:jc w:val="center"/>
        <w:rPr>
          <w:rFonts w:asciiTheme="majorBidi" w:hAnsiTheme="majorBidi" w:cstheme="majorBidi"/>
          <w:lang w:val="en-US"/>
        </w:rPr>
      </w:pPr>
      <w:r w:rsidRPr="0093489C">
        <w:rPr>
          <w:rFonts w:asciiTheme="majorBidi" w:hAnsiTheme="majorBidi" w:cstheme="majorBidi"/>
        </w:rPr>
        <w:t>Figure A</w:t>
      </w:r>
      <w:r w:rsidRPr="0093489C">
        <w:rPr>
          <w:rFonts w:asciiTheme="majorBidi" w:hAnsiTheme="majorBidi" w:cstheme="majorBidi"/>
        </w:rPr>
        <w:fldChar w:fldCharType="begin"/>
      </w:r>
      <w:r w:rsidRPr="0093489C">
        <w:rPr>
          <w:rFonts w:asciiTheme="majorBidi" w:hAnsiTheme="majorBidi" w:cstheme="majorBidi"/>
        </w:rPr>
        <w:instrText xml:space="preserve"> SEQ Figure \* ARABIC </w:instrText>
      </w:r>
      <w:r w:rsidRPr="0093489C">
        <w:rPr>
          <w:rFonts w:asciiTheme="majorBidi" w:hAnsiTheme="majorBidi" w:cstheme="majorBidi"/>
        </w:rPr>
        <w:fldChar w:fldCharType="separate"/>
      </w:r>
      <w:r w:rsidRPr="0093489C">
        <w:rPr>
          <w:rFonts w:asciiTheme="majorBidi" w:hAnsiTheme="majorBidi" w:cstheme="majorBidi"/>
          <w:noProof/>
        </w:rPr>
        <w:t>2</w:t>
      </w:r>
      <w:r w:rsidRPr="0093489C">
        <w:rPr>
          <w:rFonts w:asciiTheme="majorBidi" w:hAnsiTheme="majorBidi" w:cstheme="majorBidi"/>
        </w:rPr>
        <w:fldChar w:fldCharType="end"/>
      </w:r>
      <w:r>
        <w:rPr>
          <w:rFonts w:asciiTheme="majorBidi" w:hAnsiTheme="majorBidi" w:cstheme="majorBidi"/>
        </w:rPr>
        <w:t>:</w:t>
      </w:r>
      <w:r w:rsidRPr="0093489C">
        <w:rPr>
          <w:rFonts w:asciiTheme="majorBidi" w:hAnsiTheme="majorBidi" w:cstheme="majorBidi"/>
        </w:rPr>
        <w:t xml:space="preserve"> </w:t>
      </w:r>
      <w:r w:rsidRPr="005A089B">
        <w:rPr>
          <w:rFonts w:asciiTheme="majorBidi" w:hAnsiTheme="majorBidi" w:cstheme="majorBidi"/>
        </w:rPr>
        <w:t xml:space="preserve">The plots are made across all participants in the intra-subject examination, specifically for </w:t>
      </w:r>
      <w:r>
        <w:rPr>
          <w:rFonts w:asciiTheme="majorBidi" w:hAnsiTheme="majorBidi" w:cstheme="majorBidi"/>
        </w:rPr>
        <w:t>pelvis tilt</w:t>
      </w:r>
      <w:r w:rsidRPr="005A089B">
        <w:rPr>
          <w:rFonts w:asciiTheme="majorBidi" w:hAnsiTheme="majorBidi" w:cstheme="majorBidi"/>
        </w:rPr>
        <w:t xml:space="preserve"> (a, b, c), </w:t>
      </w:r>
      <w:r>
        <w:rPr>
          <w:rFonts w:asciiTheme="majorBidi" w:hAnsiTheme="majorBidi" w:cstheme="majorBidi"/>
        </w:rPr>
        <w:t>pelvis obliquity</w:t>
      </w:r>
      <w:r w:rsidRPr="005A089B">
        <w:rPr>
          <w:rFonts w:asciiTheme="majorBidi" w:hAnsiTheme="majorBidi" w:cstheme="majorBidi"/>
        </w:rPr>
        <w:t xml:space="preserve"> (d, e, f), </w:t>
      </w:r>
      <w:r>
        <w:rPr>
          <w:rFonts w:asciiTheme="majorBidi" w:hAnsiTheme="majorBidi" w:cstheme="majorBidi"/>
        </w:rPr>
        <w:t xml:space="preserve">pelvis rotation (g, h, i), hip adduction/abduction (j, k, l), hip rotation (m, n, o), </w:t>
      </w:r>
      <w:r w:rsidRPr="005A089B">
        <w:rPr>
          <w:rFonts w:asciiTheme="majorBidi" w:hAnsiTheme="majorBidi" w:cstheme="majorBidi"/>
        </w:rPr>
        <w:t xml:space="preserve">and ankle </w:t>
      </w:r>
      <w:r>
        <w:rPr>
          <w:rFonts w:asciiTheme="majorBidi" w:hAnsiTheme="majorBidi" w:cstheme="majorBidi"/>
        </w:rPr>
        <w:t xml:space="preserve">inversion/eversion </w:t>
      </w:r>
      <w:r w:rsidRPr="005A089B">
        <w:rPr>
          <w:rFonts w:asciiTheme="majorBidi" w:hAnsiTheme="majorBidi" w:cstheme="majorBidi"/>
        </w:rPr>
        <w:t>(</w:t>
      </w:r>
      <w:r>
        <w:rPr>
          <w:rFonts w:asciiTheme="majorBidi" w:hAnsiTheme="majorBidi" w:cstheme="majorBidi"/>
        </w:rPr>
        <w:t>p, q, r</w:t>
      </w:r>
      <w:r w:rsidRPr="005A089B">
        <w:rPr>
          <w:rFonts w:asciiTheme="majorBidi" w:hAnsiTheme="majorBidi" w:cstheme="majorBidi"/>
        </w:rPr>
        <w:t>) joint</w:t>
      </w:r>
      <w:r>
        <w:rPr>
          <w:rFonts w:asciiTheme="majorBidi" w:hAnsiTheme="majorBidi" w:cstheme="majorBidi"/>
        </w:rPr>
        <w:t xml:space="preserve"> moments</w:t>
      </w:r>
      <w:r w:rsidRPr="005A089B">
        <w:rPr>
          <w:rFonts w:asciiTheme="majorBidi" w:hAnsiTheme="majorBidi" w:cstheme="majorBidi"/>
        </w:rPr>
        <w:t>. (a), (d)</w:t>
      </w:r>
      <w:r>
        <w:rPr>
          <w:rFonts w:asciiTheme="majorBidi" w:hAnsiTheme="majorBidi" w:cstheme="majorBidi"/>
        </w:rPr>
        <w:t>, (g), (j), (m),</w:t>
      </w:r>
      <w:r w:rsidRPr="005A089B">
        <w:rPr>
          <w:rFonts w:asciiTheme="majorBidi" w:hAnsiTheme="majorBidi" w:cstheme="majorBidi"/>
        </w:rPr>
        <w:t xml:space="preserve"> and (</w:t>
      </w:r>
      <w:r>
        <w:rPr>
          <w:rFonts w:asciiTheme="majorBidi" w:hAnsiTheme="majorBidi" w:cstheme="majorBidi"/>
        </w:rPr>
        <w:t>p</w:t>
      </w:r>
      <w:r w:rsidRPr="005A089B">
        <w:rPr>
          <w:rFonts w:asciiTheme="majorBidi" w:hAnsiTheme="majorBidi" w:cstheme="majorBidi"/>
        </w:rPr>
        <w:t>) present the RF model's average predictions (the dashed red line represents the average, and the red shaded area indicates the SD)  for joint angles, utilizing data from IMUs placed on the feet. These predictions are compared to the joint angles derived from the OpenSim I</w:t>
      </w:r>
      <w:r>
        <w:rPr>
          <w:rFonts w:asciiTheme="majorBidi" w:hAnsiTheme="majorBidi" w:cstheme="majorBidi"/>
        </w:rPr>
        <w:t>D</w:t>
      </w:r>
      <w:r w:rsidRPr="005A089B">
        <w:rPr>
          <w:rFonts w:asciiTheme="majorBidi" w:hAnsiTheme="majorBidi" w:cstheme="majorBidi"/>
        </w:rPr>
        <w:t xml:space="preserve"> tool (the solid blue line represents the average, and the blue shaded area indicates the SD). Figures (b), (e), </w:t>
      </w:r>
      <w:r>
        <w:rPr>
          <w:rFonts w:asciiTheme="majorBidi" w:hAnsiTheme="majorBidi" w:cstheme="majorBidi"/>
        </w:rPr>
        <w:t xml:space="preserve">(h), (k), (n), </w:t>
      </w:r>
      <w:r w:rsidRPr="005A089B">
        <w:rPr>
          <w:rFonts w:asciiTheme="majorBidi" w:hAnsiTheme="majorBidi" w:cstheme="majorBidi"/>
        </w:rPr>
        <w:t>and (</w:t>
      </w:r>
      <w:r>
        <w:rPr>
          <w:rFonts w:asciiTheme="majorBidi" w:hAnsiTheme="majorBidi" w:cstheme="majorBidi"/>
        </w:rPr>
        <w:t>q</w:t>
      </w:r>
      <w:r w:rsidRPr="005A089B">
        <w:rPr>
          <w:rFonts w:asciiTheme="majorBidi" w:hAnsiTheme="majorBidi" w:cstheme="majorBidi"/>
        </w:rPr>
        <w:t xml:space="preserve">) illustrate the correlation and R-squared (R²) values for the mentioned joint angle targets. In (c), (f), </w:t>
      </w:r>
      <w:r>
        <w:rPr>
          <w:rFonts w:asciiTheme="majorBidi" w:hAnsiTheme="majorBidi" w:cstheme="majorBidi"/>
        </w:rPr>
        <w:t xml:space="preserve">(i), (l), (o), </w:t>
      </w:r>
      <w:r w:rsidRPr="005A089B">
        <w:rPr>
          <w:rFonts w:asciiTheme="majorBidi" w:hAnsiTheme="majorBidi" w:cstheme="majorBidi"/>
        </w:rPr>
        <w:t>and (</w:t>
      </w:r>
      <w:r>
        <w:rPr>
          <w:rFonts w:asciiTheme="majorBidi" w:hAnsiTheme="majorBidi" w:cstheme="majorBidi"/>
        </w:rPr>
        <w:t>r</w:t>
      </w:r>
      <w:r w:rsidRPr="005A089B">
        <w:rPr>
          <w:rFonts w:asciiTheme="majorBidi" w:hAnsiTheme="majorBidi" w:cstheme="majorBidi"/>
        </w:rPr>
        <w:t>), we utilized Bland-Altman plots to visually depict the errors throughout one gait cycle for all participants. In these plots, the dashed blue line represents the mean error, and the mean ± 2SD is depicted as dashed red and green lines. Each distinct colour in these plots represents the results of one participant.</w:t>
      </w:r>
    </w:p>
    <w:sectPr w:rsidR="00B010F9" w:rsidRPr="0093489C" w:rsidSect="001F76E1">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1F1A"/>
    <w:rsid w:val="00010641"/>
    <w:rsid w:val="000D1F1A"/>
    <w:rsid w:val="0014425C"/>
    <w:rsid w:val="001F76E1"/>
    <w:rsid w:val="002A37B4"/>
    <w:rsid w:val="005A089B"/>
    <w:rsid w:val="006560CF"/>
    <w:rsid w:val="0093489C"/>
    <w:rsid w:val="00B010F9"/>
    <w:rsid w:val="00C00653"/>
    <w:rsid w:val="00EC467E"/>
    <w:rsid w:val="00FD367D"/>
  </w:rsids>
  <m:mathPr>
    <m:mathFont m:val="Cambria Math"/>
    <m:brkBin m:val="before"/>
    <m:brkBinSub m:val="--"/>
    <m:smallFrac m:val="0"/>
    <m:dispDef/>
    <m:lMargin m:val="0"/>
    <m:rMargin m:val="0"/>
    <m:defJc m:val="centerGroup"/>
    <m:wrapIndent m:val="1440"/>
    <m:intLim m:val="subSup"/>
    <m:naryLim m:val="undOvr"/>
  </m:mathPr>
  <w:themeFontLang w:val="en-NZ"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5D4E566"/>
  <w15:chartTrackingRefBased/>
  <w15:docId w15:val="{B4C305AE-D5D9-42F2-90BD-C7E464B1BA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NZ"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010F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10F9"/>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39"/>
    <w:rsid w:val="00B010F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7Colorful">
    <w:name w:val="Grid Table 7 Colorful"/>
    <w:basedOn w:val="TableNormal"/>
    <w:uiPriority w:val="52"/>
    <w:rsid w:val="00B010F9"/>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1Light-Accent3">
    <w:name w:val="Grid Table 1 Light Accent 3"/>
    <w:basedOn w:val="TableNormal"/>
    <w:uiPriority w:val="46"/>
    <w:rsid w:val="00B010F9"/>
    <w:pPr>
      <w:spacing w:after="0" w:line="240" w:lineRule="auto"/>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paragraph" w:styleId="Caption">
    <w:name w:val="caption"/>
    <w:basedOn w:val="Normal"/>
    <w:next w:val="Normal"/>
    <w:uiPriority w:val="35"/>
    <w:unhideWhenUsed/>
    <w:qFormat/>
    <w:rsid w:val="00B010F9"/>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3</Pages>
  <Words>552</Words>
  <Characters>2745</Characters>
  <Application>Microsoft Office Word</Application>
  <DocSecurity>0</DocSecurity>
  <Lines>53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Shima Mohammadi Moghadam</dc:creator>
  <cp:keywords/>
  <dc:description/>
  <cp:lastModifiedBy>Shima Mohammadi Moghadam</cp:lastModifiedBy>
  <cp:revision>10</cp:revision>
  <dcterms:created xsi:type="dcterms:W3CDTF">2024-01-07T23:59:00Z</dcterms:created>
  <dcterms:modified xsi:type="dcterms:W3CDTF">2024-01-08T00:51:00Z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63c71cbfa74d8a84a6199f66c32c969ab72dee433729efd10c4744c961e6eb9f</vt:lpwstr>
  </property>
</Properties>
</file>