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CFD9" w14:textId="77777777" w:rsidR="00564A8E" w:rsidRPr="00AB5BDD" w:rsidRDefault="00564A8E" w:rsidP="00564A8E">
      <w:pPr>
        <w:pStyle w:val="Title"/>
        <w:spacing w:line="480" w:lineRule="auto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</w:pPr>
      <w:r w:rsidRPr="00AB5BDD">
        <w:rPr>
          <w:rFonts w:asciiTheme="minorHAnsi" w:eastAsia="Times New Roman" w:hAnsiTheme="minorHAnsi" w:cstheme="minorHAnsi"/>
          <w:b/>
          <w:bCs/>
          <w:sz w:val="22"/>
          <w:szCs w:val="22"/>
          <w:shd w:val="clear" w:color="auto" w:fill="FFFFFF"/>
        </w:rPr>
        <w:t>Supplemental figures</w:t>
      </w:r>
    </w:p>
    <w:p w14:paraId="62067D37" w14:textId="77777777" w:rsidR="00564A8E" w:rsidRDefault="00564A8E" w:rsidP="00564A8E">
      <w:pPr>
        <w:spacing w:after="0" w:line="480" w:lineRule="auto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6647C462" wp14:editId="6A45C7EE">
            <wp:extent cx="4346219" cy="4029075"/>
            <wp:effectExtent l="0" t="0" r="0" b="0"/>
            <wp:docPr id="13" name="Picture 13" descr="A chart of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hart of different colored square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757" cy="403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E8877" w14:textId="77777777" w:rsidR="00564A8E" w:rsidRDefault="00564A8E" w:rsidP="00564A8E">
      <w:pPr>
        <w:spacing w:after="0" w:line="480" w:lineRule="auto"/>
        <w:jc w:val="both"/>
        <w:rPr>
          <w:rFonts w:eastAsia="Times New Roman"/>
          <w:sz w:val="22"/>
          <w:szCs w:val="22"/>
          <w:shd w:val="clear" w:color="auto" w:fill="FFFFFF"/>
        </w:rPr>
      </w:pPr>
      <w:r w:rsidRPr="00A72ED2">
        <w:rPr>
          <w:b/>
          <w:bCs/>
          <w:sz w:val="22"/>
          <w:szCs w:val="22"/>
        </w:rPr>
        <w:t>Supplemental figure 1.</w:t>
      </w:r>
      <w:r w:rsidRPr="00A72ED2">
        <w:rPr>
          <w:sz w:val="22"/>
          <w:szCs w:val="22"/>
        </w:rPr>
        <w:t xml:space="preserve"> A) Tornado plot representing the mutational spectrum for </w:t>
      </w:r>
      <w:r>
        <w:rPr>
          <w:sz w:val="22"/>
          <w:szCs w:val="22"/>
        </w:rPr>
        <w:t xml:space="preserve">wild-type </w:t>
      </w:r>
      <w:r w:rsidRPr="00A72ED2">
        <w:rPr>
          <w:sz w:val="22"/>
          <w:szCs w:val="22"/>
        </w:rPr>
        <w:t>and</w:t>
      </w:r>
      <w:r w:rsidRPr="00A72ED2">
        <w:rPr>
          <w:i/>
          <w:iCs/>
          <w:sz w:val="22"/>
          <w:szCs w:val="22"/>
        </w:rPr>
        <w:t xml:space="preserve"> xpa-1</w:t>
      </w:r>
      <w:r w:rsidRPr="00A72ED2">
        <w:rPr>
          <w:sz w:val="22"/>
          <w:szCs w:val="22"/>
        </w:rPr>
        <w:t xml:space="preserve"> mutant animals. </w:t>
      </w:r>
      <w:r>
        <w:rPr>
          <w:rFonts w:eastAsia="Times New Roman"/>
          <w:sz w:val="22"/>
          <w:szCs w:val="22"/>
          <w:shd w:val="clear" w:color="auto" w:fill="FFFFFF"/>
        </w:rPr>
        <w:br w:type="page"/>
      </w:r>
    </w:p>
    <w:p w14:paraId="18C5FCC6" w14:textId="77777777" w:rsidR="00564A8E" w:rsidRDefault="00564A8E" w:rsidP="00564A8E">
      <w:pPr>
        <w:spacing w:after="0" w:line="480" w:lineRule="auto"/>
        <w:jc w:val="both"/>
        <w:rPr>
          <w:rFonts w:eastAsia="Times New Roman" w:cstheme="minorHAnsi"/>
          <w:sz w:val="18"/>
          <w:szCs w:val="18"/>
          <w:shd w:val="clear" w:color="auto" w:fill="FFFFFF"/>
        </w:rPr>
      </w:pPr>
      <w:r>
        <w:rPr>
          <w:rFonts w:eastAsia="Times New Roman" w:cstheme="minorHAnsi"/>
          <w:noProof/>
          <w:sz w:val="18"/>
          <w:szCs w:val="18"/>
          <w:shd w:val="clear" w:color="auto" w:fill="FFFFFF"/>
        </w:rPr>
        <w:lastRenderedPageBreak/>
        <w:drawing>
          <wp:inline distT="0" distB="0" distL="0" distR="0" wp14:anchorId="1213D79F" wp14:editId="1E43A04B">
            <wp:extent cx="5943600" cy="4894580"/>
            <wp:effectExtent l="0" t="0" r="0" b="1270"/>
            <wp:docPr id="14" name="Picture 14" descr="A diagram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diagram of a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EC9A" w14:textId="77777777" w:rsidR="00564A8E" w:rsidRPr="008D3799" w:rsidRDefault="00564A8E" w:rsidP="00564A8E">
      <w:pPr>
        <w:spacing w:after="0" w:line="480" w:lineRule="auto"/>
        <w:jc w:val="both"/>
        <w:rPr>
          <w:rFonts w:eastAsia="Times New Roman"/>
          <w:sz w:val="22"/>
          <w:szCs w:val="22"/>
          <w:shd w:val="clear" w:color="auto" w:fill="FFFFFF"/>
        </w:rPr>
      </w:pPr>
      <w:r w:rsidRPr="00A72ED2">
        <w:rPr>
          <w:rFonts w:eastAsia="Times New Roman" w:cstheme="minorHAnsi"/>
          <w:b/>
          <w:bCs/>
          <w:sz w:val="22"/>
          <w:szCs w:val="22"/>
          <w:shd w:val="clear" w:color="auto" w:fill="FFFFFF"/>
        </w:rPr>
        <w:t>Supplemental figure 2.</w:t>
      </w:r>
      <w:r w:rsidRPr="00A72ED2">
        <w:rPr>
          <w:rFonts w:eastAsia="Times New Roman" w:cstheme="minorHAnsi"/>
          <w:sz w:val="22"/>
          <w:szCs w:val="22"/>
          <w:shd w:val="clear" w:color="auto" w:fill="FFFFFF"/>
        </w:rPr>
        <w:t xml:space="preserve"> A) </w:t>
      </w:r>
      <w:r w:rsidRPr="00A72ED2">
        <w:rPr>
          <w:rFonts w:cstheme="minorHAnsi"/>
          <w:color w:val="212121"/>
          <w:sz w:val="22"/>
          <w:szCs w:val="22"/>
        </w:rPr>
        <w:t xml:space="preserve">Schematic representation of the </w:t>
      </w:r>
      <w:r w:rsidRPr="00A72ED2">
        <w:rPr>
          <w:rFonts w:cstheme="minorHAnsi"/>
          <w:i/>
          <w:iCs/>
          <w:color w:val="212121"/>
          <w:sz w:val="22"/>
          <w:szCs w:val="22"/>
        </w:rPr>
        <w:t>trul-1</w:t>
      </w:r>
      <w:r w:rsidRPr="00A72ED2">
        <w:rPr>
          <w:rFonts w:cstheme="minorHAnsi"/>
          <w:color w:val="212121"/>
          <w:sz w:val="22"/>
          <w:szCs w:val="22"/>
        </w:rPr>
        <w:t xml:space="preserve"> mutant used in this study, including </w:t>
      </w:r>
      <w:r>
        <w:rPr>
          <w:rFonts w:cstheme="minorHAnsi"/>
          <w:color w:val="212121"/>
          <w:sz w:val="22"/>
          <w:szCs w:val="22"/>
        </w:rPr>
        <w:t xml:space="preserve">the sequence of the </w:t>
      </w:r>
      <w:r w:rsidRPr="00A72ED2">
        <w:rPr>
          <w:rFonts w:cstheme="minorHAnsi"/>
          <w:color w:val="212121"/>
          <w:sz w:val="22"/>
          <w:szCs w:val="22"/>
        </w:rPr>
        <w:t xml:space="preserve">sgRNA (blue-colored sequence) and PAM site used </w:t>
      </w:r>
      <w:r>
        <w:rPr>
          <w:rFonts w:cstheme="minorHAnsi"/>
          <w:color w:val="212121"/>
          <w:sz w:val="22"/>
          <w:szCs w:val="22"/>
        </w:rPr>
        <w:t>for</w:t>
      </w:r>
      <w:r w:rsidRPr="00A72ED2">
        <w:rPr>
          <w:rFonts w:cstheme="minorHAnsi"/>
          <w:color w:val="212121"/>
          <w:sz w:val="22"/>
          <w:szCs w:val="22"/>
        </w:rPr>
        <w:t xml:space="preserve"> CRISPR</w:t>
      </w:r>
      <w:r>
        <w:rPr>
          <w:rFonts w:cstheme="minorHAnsi"/>
          <w:color w:val="212121"/>
          <w:sz w:val="22"/>
          <w:szCs w:val="22"/>
        </w:rPr>
        <w:t>/C</w:t>
      </w:r>
      <w:r w:rsidRPr="00A72ED2">
        <w:rPr>
          <w:rFonts w:cstheme="minorHAnsi"/>
          <w:color w:val="212121"/>
          <w:sz w:val="22"/>
          <w:szCs w:val="22"/>
        </w:rPr>
        <w:t>as9-based mutagenesis</w:t>
      </w:r>
      <w:r w:rsidRPr="00A72ED2">
        <w:rPr>
          <w:sz w:val="22"/>
          <w:szCs w:val="22"/>
        </w:rPr>
        <w:t xml:space="preserve">. </w:t>
      </w:r>
      <w:r>
        <w:rPr>
          <w:sz w:val="22"/>
          <w:szCs w:val="22"/>
        </w:rPr>
        <w:t>T</w:t>
      </w:r>
      <w:r w:rsidRPr="00A72ED2">
        <w:rPr>
          <w:sz w:val="22"/>
          <w:szCs w:val="22"/>
        </w:rPr>
        <w:t xml:space="preserve">he </w:t>
      </w:r>
      <w:r>
        <w:rPr>
          <w:sz w:val="22"/>
          <w:szCs w:val="22"/>
        </w:rPr>
        <w:t xml:space="preserve">sequence that is lost in the </w:t>
      </w:r>
      <w:r w:rsidRPr="00A72ED2">
        <w:rPr>
          <w:i/>
          <w:iCs/>
          <w:sz w:val="22"/>
          <w:szCs w:val="22"/>
        </w:rPr>
        <w:t xml:space="preserve">lf321 </w:t>
      </w:r>
      <w:r>
        <w:rPr>
          <w:sz w:val="22"/>
          <w:szCs w:val="22"/>
        </w:rPr>
        <w:t xml:space="preserve">allele (a </w:t>
      </w:r>
      <w:r w:rsidRPr="00A72ED2">
        <w:rPr>
          <w:sz w:val="22"/>
          <w:szCs w:val="22"/>
        </w:rPr>
        <w:t>5bp deletion</w:t>
      </w:r>
      <w:r>
        <w:rPr>
          <w:sz w:val="22"/>
          <w:szCs w:val="22"/>
        </w:rPr>
        <w:t>) is indicated</w:t>
      </w:r>
      <w:r w:rsidRPr="00A72ED2">
        <w:rPr>
          <w:sz w:val="22"/>
          <w:szCs w:val="22"/>
        </w:rPr>
        <w:t xml:space="preserve">. B) </w:t>
      </w:r>
      <w:r>
        <w:rPr>
          <w:sz w:val="22"/>
          <w:szCs w:val="22"/>
        </w:rPr>
        <w:t xml:space="preserve">Progeny </w:t>
      </w:r>
      <w:r w:rsidRPr="00A72ED2">
        <w:rPr>
          <w:sz w:val="22"/>
          <w:szCs w:val="22"/>
        </w:rPr>
        <w:t>surviv</w:t>
      </w:r>
      <w:r>
        <w:rPr>
          <w:sz w:val="22"/>
          <w:szCs w:val="22"/>
        </w:rPr>
        <w:t>al of the indicated genotype is</w:t>
      </w:r>
      <w:r w:rsidRPr="00A72ED2">
        <w:rPr>
          <w:sz w:val="22"/>
          <w:szCs w:val="22"/>
        </w:rPr>
        <w:t xml:space="preserve"> calculated as the number of hatched eggs divided by the brood size. Red line denotes median. C) Quantification of brood size for the</w:t>
      </w:r>
      <w:r>
        <w:rPr>
          <w:sz w:val="22"/>
          <w:szCs w:val="22"/>
        </w:rPr>
        <w:t xml:space="preserve"> indicated genotype</w:t>
      </w:r>
      <w:r w:rsidRPr="00A72ED2">
        <w:rPr>
          <w:sz w:val="22"/>
          <w:szCs w:val="22"/>
        </w:rPr>
        <w:t>. Each data point represents the brood of a single hermaphrodite.</w:t>
      </w:r>
    </w:p>
    <w:p w14:paraId="5EE0F46D" w14:textId="77777777" w:rsidR="00110104" w:rsidRDefault="00110104"/>
    <w:sectPr w:rsidR="00110104" w:rsidSect="00F77FC3">
      <w:footerReference w:type="default" r:id="rId6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227239"/>
      <w:docPartObj>
        <w:docPartGallery w:val="Page Numbers (Bottom of Page)"/>
        <w:docPartUnique/>
      </w:docPartObj>
    </w:sdtPr>
    <w:sdtContent>
      <w:p w14:paraId="23691332" w14:textId="77777777" w:rsidR="00000000" w:rsidRDefault="00000000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1112369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8E"/>
    <w:rsid w:val="00110104"/>
    <w:rsid w:val="0021090F"/>
    <w:rsid w:val="00220E4E"/>
    <w:rsid w:val="003A76DF"/>
    <w:rsid w:val="00564A8E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8D5E4"/>
  <w15:chartTrackingRefBased/>
  <w15:docId w15:val="{200F04BB-CE91-4464-B3AD-5E2E8B72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A8E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4A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A8E"/>
    <w:rPr>
      <w:rFonts w:eastAsiaTheme="minorEastAsia"/>
      <w:kern w:val="0"/>
      <w:sz w:val="21"/>
      <w:szCs w:val="21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64A8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64A8E"/>
    <w:rPr>
      <w:rFonts w:asciiTheme="majorHAnsi" w:eastAsiaTheme="majorEastAsia" w:hAnsiTheme="majorHAnsi" w:cstheme="majorBidi"/>
      <w:color w:val="262626" w:themeColor="text1" w:themeTint="D9"/>
      <w:spacing w:val="-15"/>
      <w:kern w:val="0"/>
      <w:sz w:val="96"/>
      <w:szCs w:val="96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56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>Springer Nature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2024-02-05T06:42:00Z</dcterms:created>
  <dcterms:modified xsi:type="dcterms:W3CDTF">2024-02-05T06:42:00Z</dcterms:modified>
</cp:coreProperties>
</file>