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3640" w14:textId="77777777" w:rsidR="007F1F1F" w:rsidRPr="00C33F22" w:rsidRDefault="007F1F1F" w:rsidP="007F1F1F">
      <w:pPr>
        <w:ind w:right="4"/>
        <w:jc w:val="both"/>
        <w:rPr>
          <w:rFonts w:cs="Times New Roman"/>
          <w:b/>
          <w:bCs/>
          <w:color w:val="000000"/>
          <w:szCs w:val="24"/>
        </w:rPr>
      </w:pPr>
      <w:r w:rsidRPr="00C33F22">
        <w:rPr>
          <w:rFonts w:cs="Times New Roman"/>
          <w:b/>
          <w:bCs/>
          <w:color w:val="000000"/>
          <w:szCs w:val="24"/>
        </w:rPr>
        <w:t xml:space="preserve">Table 1: </w:t>
      </w:r>
      <w:r w:rsidRPr="00C33F22">
        <w:rPr>
          <w:rFonts w:cs="Times New Roman"/>
          <w:color w:val="000000"/>
          <w:szCs w:val="24"/>
        </w:rPr>
        <w:t>Summary of the identified research articles.</w:t>
      </w:r>
    </w:p>
    <w:tbl>
      <w:tblPr>
        <w:tblStyle w:val="ListTable6Colorful"/>
        <w:tblW w:w="9828" w:type="dxa"/>
        <w:tblLayout w:type="fixed"/>
        <w:tblLook w:val="04A0" w:firstRow="1" w:lastRow="0" w:firstColumn="1" w:lastColumn="0" w:noHBand="0" w:noVBand="1"/>
      </w:tblPr>
      <w:tblGrid>
        <w:gridCol w:w="2780"/>
        <w:gridCol w:w="2396"/>
        <w:gridCol w:w="2521"/>
        <w:gridCol w:w="2131"/>
      </w:tblGrid>
      <w:tr w:rsidR="007F1F1F" w14:paraId="143671A2" w14:textId="77777777" w:rsidTr="008B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tcBorders>
              <w:top w:val="single" w:sz="12" w:space="0" w:color="auto"/>
              <w:bottom w:val="single" w:sz="12" w:space="0" w:color="auto"/>
            </w:tcBorders>
          </w:tcPr>
          <w:p w14:paraId="65F500B3" w14:textId="77777777" w:rsidR="007F1F1F" w:rsidRPr="00515E22" w:rsidRDefault="007F1F1F" w:rsidP="008B7C31">
            <w:pPr>
              <w:ind w:right="4"/>
              <w:jc w:val="center"/>
              <w:rPr>
                <w:rFonts w:eastAsiaTheme="majorEastAsia"/>
                <w:sz w:val="22"/>
              </w:rPr>
            </w:pPr>
            <w:r w:rsidRPr="00E03032">
              <w:rPr>
                <w:sz w:val="22"/>
              </w:rPr>
              <w:t>Author</w:t>
            </w:r>
            <w:r>
              <w:rPr>
                <w:sz w:val="22"/>
              </w:rPr>
              <w:t xml:space="preserve"> (Year)</w:t>
            </w:r>
          </w:p>
        </w:tc>
        <w:tc>
          <w:tcPr>
            <w:tcW w:w="2396" w:type="dxa"/>
            <w:tcBorders>
              <w:top w:val="single" w:sz="12" w:space="0" w:color="auto"/>
              <w:bottom w:val="single" w:sz="12" w:space="0" w:color="auto"/>
            </w:tcBorders>
          </w:tcPr>
          <w:p w14:paraId="0328CFDD" w14:textId="77777777" w:rsidR="007F1F1F" w:rsidRPr="00E03032" w:rsidRDefault="007F1F1F" w:rsidP="008B7C31">
            <w:pPr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sz w:val="22"/>
              </w:rPr>
              <w:t>Study sample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</w:tcPr>
          <w:p w14:paraId="4FBAF5ED" w14:textId="77777777" w:rsidR="007F1F1F" w:rsidRPr="00E03032" w:rsidRDefault="007F1F1F" w:rsidP="008B7C31">
            <w:pPr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Study design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</w:tcBorders>
          </w:tcPr>
          <w:p w14:paraId="5279581F" w14:textId="77777777" w:rsidR="007F1F1F" w:rsidRPr="00E03032" w:rsidRDefault="007F1F1F" w:rsidP="008B7C31">
            <w:pPr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sz w:val="22"/>
              </w:rPr>
              <w:t>Study region</w:t>
            </w:r>
          </w:p>
        </w:tc>
      </w:tr>
      <w:tr w:rsidR="007F1F1F" w14:paraId="7BC23BE7" w14:textId="77777777" w:rsidTr="008B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tcBorders>
              <w:top w:val="single" w:sz="12" w:space="0" w:color="auto"/>
            </w:tcBorders>
          </w:tcPr>
          <w:p w14:paraId="07B21B90" w14:textId="77777777" w:rsidR="007F1F1F" w:rsidRPr="00E03032" w:rsidRDefault="007F1F1F" w:rsidP="008B7C31">
            <w:pPr>
              <w:ind w:right="4"/>
              <w:jc w:val="center"/>
              <w:rPr>
                <w:sz w:val="22"/>
              </w:rPr>
            </w:pPr>
            <w:r w:rsidRPr="00E03032">
              <w:rPr>
                <w:b w:val="0"/>
                <w:sz w:val="22"/>
              </w:rPr>
              <w:t xml:space="preserve">Hellgren, Kihamia, and Premji </w:t>
            </w:r>
            <w:r w:rsidRPr="00E03032">
              <w:rPr>
                <w:b w:val="0"/>
                <w:i/>
                <w:sz w:val="22"/>
              </w:rPr>
              <w:t>et al.</w:t>
            </w:r>
            <w:r w:rsidRPr="00E03032">
              <w:rPr>
                <w:b w:val="0"/>
                <w:sz w:val="22"/>
              </w:rPr>
              <w:t xml:space="preserve">[16] </w:t>
            </w:r>
          </w:p>
        </w:tc>
        <w:tc>
          <w:tcPr>
            <w:tcW w:w="2396" w:type="dxa"/>
            <w:tcBorders>
              <w:top w:val="single" w:sz="12" w:space="0" w:color="auto"/>
            </w:tcBorders>
          </w:tcPr>
          <w:p w14:paraId="56D81045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Forty-two [42] school-age children</w:t>
            </w:r>
          </w:p>
        </w:tc>
        <w:tc>
          <w:tcPr>
            <w:tcW w:w="2521" w:type="dxa"/>
            <w:tcBorders>
              <w:top w:val="single" w:sz="12" w:space="0" w:color="auto"/>
            </w:tcBorders>
          </w:tcPr>
          <w:p w14:paraId="39F5004F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A prospective study</w:t>
            </w:r>
            <w:r>
              <w:rPr>
                <w:sz w:val="22"/>
              </w:rPr>
              <w:t>.</w:t>
            </w:r>
          </w:p>
        </w:tc>
        <w:tc>
          <w:tcPr>
            <w:tcW w:w="2131" w:type="dxa"/>
            <w:tcBorders>
              <w:top w:val="single" w:sz="12" w:space="0" w:color="auto"/>
            </w:tcBorders>
          </w:tcPr>
          <w:p w14:paraId="071996FE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Tanzania</w:t>
            </w:r>
          </w:p>
        </w:tc>
      </w:tr>
      <w:tr w:rsidR="007F1F1F" w14:paraId="79D3710D" w14:textId="77777777" w:rsidTr="008B7C31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</w:tcPr>
          <w:p w14:paraId="6580FE82" w14:textId="77777777" w:rsidR="007F1F1F" w:rsidRPr="00E03032" w:rsidRDefault="007F1F1F" w:rsidP="008B7C31">
            <w:pPr>
              <w:ind w:right="4"/>
              <w:jc w:val="center"/>
              <w:rPr>
                <w:sz w:val="22"/>
                <w:vertAlign w:val="superscript"/>
              </w:rPr>
            </w:pPr>
            <w:r w:rsidRPr="00E03032">
              <w:rPr>
                <w:b w:val="0"/>
                <w:color w:val="231F20"/>
                <w:sz w:val="22"/>
              </w:rPr>
              <w:t>Gwetu and Chhagan [17]</w:t>
            </w:r>
          </w:p>
        </w:tc>
        <w:tc>
          <w:tcPr>
            <w:tcW w:w="2396" w:type="dxa"/>
          </w:tcPr>
          <w:p w14:paraId="20B0A928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color w:val="231F20"/>
                <w:sz w:val="22"/>
              </w:rPr>
              <w:t>Two hundred and four [204] school-age children.</w:t>
            </w:r>
          </w:p>
        </w:tc>
        <w:tc>
          <w:tcPr>
            <w:tcW w:w="2521" w:type="dxa"/>
          </w:tcPr>
          <w:p w14:paraId="34561489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color w:val="000000"/>
                <w:sz w:val="22"/>
              </w:rPr>
              <w:t>A longitudinal study.</w:t>
            </w:r>
          </w:p>
        </w:tc>
        <w:tc>
          <w:tcPr>
            <w:tcW w:w="2131" w:type="dxa"/>
          </w:tcPr>
          <w:p w14:paraId="655E9DAA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South Africa</w:t>
            </w:r>
          </w:p>
        </w:tc>
      </w:tr>
      <w:tr w:rsidR="007F1F1F" w14:paraId="5F60B44F" w14:textId="77777777" w:rsidTr="008B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</w:tcPr>
          <w:p w14:paraId="3FA4E7F3" w14:textId="77777777" w:rsidR="007F1F1F" w:rsidRPr="00E03032" w:rsidRDefault="007F1F1F" w:rsidP="008B7C31">
            <w:pPr>
              <w:ind w:right="4"/>
              <w:jc w:val="center"/>
              <w:rPr>
                <w:color w:val="231F20"/>
                <w:sz w:val="22"/>
              </w:rPr>
            </w:pPr>
            <w:r w:rsidRPr="00E03032">
              <w:rPr>
                <w:b w:val="0"/>
                <w:color w:val="231F20"/>
                <w:sz w:val="22"/>
              </w:rPr>
              <w:t>van Straten, Murray, and Levin [18]</w:t>
            </w:r>
          </w:p>
        </w:tc>
        <w:tc>
          <w:tcPr>
            <w:tcW w:w="2396" w:type="dxa"/>
          </w:tcPr>
          <w:p w14:paraId="3463223B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2"/>
              </w:rPr>
            </w:pPr>
            <w:r w:rsidRPr="00E03032">
              <w:rPr>
                <w:color w:val="231F20"/>
                <w:sz w:val="22"/>
              </w:rPr>
              <w:t>One hundred [100] adult surgical [including pregnant women] patients.</w:t>
            </w:r>
          </w:p>
        </w:tc>
        <w:tc>
          <w:tcPr>
            <w:tcW w:w="2521" w:type="dxa"/>
          </w:tcPr>
          <w:p w14:paraId="5A24F9D0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A randomised controlled trial.</w:t>
            </w:r>
          </w:p>
        </w:tc>
        <w:tc>
          <w:tcPr>
            <w:tcW w:w="2131" w:type="dxa"/>
          </w:tcPr>
          <w:p w14:paraId="57908C3C" w14:textId="77777777" w:rsidR="007F1F1F" w:rsidRPr="00E03032" w:rsidRDefault="007F1F1F" w:rsidP="008B7C31">
            <w:pPr>
              <w:ind w:righ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South Africa</w:t>
            </w:r>
          </w:p>
        </w:tc>
      </w:tr>
      <w:tr w:rsidR="007F1F1F" w14:paraId="35305111" w14:textId="77777777" w:rsidTr="008B7C31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0" w:type="dxa"/>
            <w:tcBorders>
              <w:bottom w:val="single" w:sz="12" w:space="0" w:color="auto"/>
            </w:tcBorders>
          </w:tcPr>
          <w:p w14:paraId="1BF224BA" w14:textId="77777777" w:rsidR="007F1F1F" w:rsidRPr="00E03032" w:rsidRDefault="007F1F1F" w:rsidP="008B7C31">
            <w:pPr>
              <w:ind w:right="4"/>
              <w:jc w:val="center"/>
              <w:rPr>
                <w:color w:val="231F20"/>
                <w:sz w:val="22"/>
                <w:lang w:val="it-IT"/>
              </w:rPr>
            </w:pPr>
            <w:r w:rsidRPr="00E03032">
              <w:rPr>
                <w:b w:val="0"/>
                <w:color w:val="231F20"/>
                <w:sz w:val="22"/>
                <w:lang w:val="it-IT"/>
              </w:rPr>
              <w:t xml:space="preserve">Oluwadun, Adekola, and Dada </w:t>
            </w:r>
            <w:r w:rsidRPr="00E03032">
              <w:rPr>
                <w:b w:val="0"/>
                <w:i/>
                <w:color w:val="231F20"/>
                <w:sz w:val="22"/>
                <w:lang w:val="it-IT"/>
              </w:rPr>
              <w:t>et al.</w:t>
            </w:r>
            <w:r w:rsidRPr="00E03032">
              <w:rPr>
                <w:b w:val="0"/>
                <w:color w:val="231F20"/>
                <w:sz w:val="22"/>
                <w:lang w:val="it-IT"/>
              </w:rPr>
              <w:t xml:space="preserve"> [19]</w:t>
            </w:r>
          </w:p>
        </w:tc>
        <w:tc>
          <w:tcPr>
            <w:tcW w:w="2396" w:type="dxa"/>
            <w:tcBorders>
              <w:bottom w:val="single" w:sz="12" w:space="0" w:color="auto"/>
            </w:tcBorders>
          </w:tcPr>
          <w:p w14:paraId="3377A7DF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31F20"/>
                <w:sz w:val="22"/>
              </w:rPr>
            </w:pPr>
            <w:r w:rsidRPr="00E03032">
              <w:rPr>
                <w:color w:val="231F20"/>
                <w:sz w:val="22"/>
              </w:rPr>
              <w:t>One hundred and two [102] adult surgical patients.</w:t>
            </w: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14:paraId="106FE79D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lang w:val="it-IT"/>
              </w:rPr>
            </w:pPr>
            <w:r w:rsidRPr="00E03032">
              <w:rPr>
                <w:color w:val="000000"/>
                <w:sz w:val="22"/>
              </w:rPr>
              <w:t>A randomised controlled trial.</w:t>
            </w:r>
          </w:p>
        </w:tc>
        <w:tc>
          <w:tcPr>
            <w:tcW w:w="2131" w:type="dxa"/>
            <w:tcBorders>
              <w:bottom w:val="single" w:sz="12" w:space="0" w:color="auto"/>
            </w:tcBorders>
          </w:tcPr>
          <w:p w14:paraId="30151E18" w14:textId="77777777" w:rsidR="007F1F1F" w:rsidRPr="00E03032" w:rsidRDefault="007F1F1F" w:rsidP="008B7C31">
            <w:pPr>
              <w:ind w:righ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it-IT"/>
              </w:rPr>
            </w:pPr>
            <w:r w:rsidRPr="00E03032">
              <w:rPr>
                <w:sz w:val="22"/>
                <w:lang w:val="it-IT"/>
              </w:rPr>
              <w:t>Nigeria</w:t>
            </w:r>
          </w:p>
        </w:tc>
      </w:tr>
    </w:tbl>
    <w:p w14:paraId="19A2C48E" w14:textId="77777777" w:rsidR="007F1F1F" w:rsidRPr="00E03032" w:rsidRDefault="007F1F1F" w:rsidP="007F1F1F">
      <w:pPr>
        <w:ind w:right="4"/>
        <w:jc w:val="both"/>
        <w:rPr>
          <w:sz w:val="22"/>
        </w:rPr>
      </w:pPr>
    </w:p>
    <w:p w14:paraId="6CC3151B" w14:textId="77777777" w:rsidR="007F1F1F" w:rsidRDefault="007F1F1F"/>
    <w:p w14:paraId="55739B2D" w14:textId="77777777" w:rsidR="007F1F1F" w:rsidRDefault="007F1F1F"/>
    <w:p w14:paraId="71601DD0" w14:textId="77777777" w:rsidR="007F1F1F" w:rsidRDefault="007F1F1F"/>
    <w:p w14:paraId="2252B92A" w14:textId="77777777" w:rsidR="007F1F1F" w:rsidRDefault="007F1F1F"/>
    <w:p w14:paraId="50B8948B" w14:textId="77777777" w:rsidR="007F1F1F" w:rsidRDefault="007F1F1F"/>
    <w:p w14:paraId="0DE16E25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0B399B98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3646B50E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01FD504D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5121989D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46C794D7" w14:textId="77777777" w:rsidR="007F1F1F" w:rsidRDefault="007F1F1F" w:rsidP="007F1F1F">
      <w:pPr>
        <w:spacing w:line="276" w:lineRule="auto"/>
        <w:ind w:right="4"/>
        <w:rPr>
          <w:rFonts w:cs="Times New Roman"/>
          <w:b/>
          <w:bCs/>
          <w:color w:val="000000"/>
          <w:szCs w:val="24"/>
        </w:rPr>
      </w:pPr>
    </w:p>
    <w:p w14:paraId="011641B6" w14:textId="77777777" w:rsidR="007F1F1F" w:rsidRDefault="007F1F1F" w:rsidP="007F1F1F">
      <w:pPr>
        <w:spacing w:line="276" w:lineRule="auto"/>
        <w:ind w:right="4"/>
        <w:rPr>
          <w:b/>
          <w:sz w:val="22"/>
        </w:rPr>
      </w:pPr>
    </w:p>
    <w:p w14:paraId="7695C306" w14:textId="77777777" w:rsidR="007F1F1F" w:rsidRDefault="007F1F1F" w:rsidP="007F1F1F">
      <w:pPr>
        <w:spacing w:line="276" w:lineRule="auto"/>
        <w:ind w:right="4"/>
        <w:rPr>
          <w:b/>
          <w:sz w:val="22"/>
        </w:rPr>
      </w:pPr>
    </w:p>
    <w:p w14:paraId="382FC617" w14:textId="409A32A5" w:rsidR="007F1F1F" w:rsidRPr="00E03032" w:rsidRDefault="007F1F1F" w:rsidP="007F1F1F">
      <w:pPr>
        <w:spacing w:line="276" w:lineRule="auto"/>
        <w:ind w:right="4"/>
        <w:rPr>
          <w:sz w:val="22"/>
        </w:rPr>
      </w:pPr>
      <w:r w:rsidRPr="00E03032">
        <w:rPr>
          <w:b/>
          <w:sz w:val="22"/>
        </w:rPr>
        <w:lastRenderedPageBreak/>
        <w:t xml:space="preserve">Table 2: </w:t>
      </w:r>
      <w:r w:rsidRPr="00E03032">
        <w:rPr>
          <w:sz w:val="22"/>
        </w:rPr>
        <w:t>The objectives and outcomes of the identified research articles.</w:t>
      </w:r>
    </w:p>
    <w:tbl>
      <w:tblPr>
        <w:tblStyle w:val="ListTable6Colorful"/>
        <w:tblW w:w="10055" w:type="dxa"/>
        <w:tblLayout w:type="fixed"/>
        <w:tblLook w:val="04A0" w:firstRow="1" w:lastRow="0" w:firstColumn="1" w:lastColumn="0" w:noHBand="0" w:noVBand="1"/>
      </w:tblPr>
      <w:tblGrid>
        <w:gridCol w:w="2127"/>
        <w:gridCol w:w="2267"/>
        <w:gridCol w:w="2977"/>
        <w:gridCol w:w="2684"/>
      </w:tblGrid>
      <w:tr w:rsidR="007F1F1F" w14:paraId="7DA088D4" w14:textId="77777777" w:rsidTr="008B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1BCF2524" w14:textId="77777777" w:rsidR="007F1F1F" w:rsidRPr="00C62225" w:rsidRDefault="007F1F1F" w:rsidP="008B7C31">
            <w:pPr>
              <w:spacing w:line="276" w:lineRule="auto"/>
              <w:ind w:right="4"/>
              <w:jc w:val="center"/>
              <w:rPr>
                <w:rFonts w:eastAsiaTheme="majorEastAsia"/>
                <w:sz w:val="22"/>
              </w:rPr>
            </w:pPr>
            <w:r w:rsidRPr="00E03032">
              <w:rPr>
                <w:sz w:val="22"/>
              </w:rPr>
              <w:t>Author</w:t>
            </w:r>
            <w:r>
              <w:rPr>
                <w:sz w:val="22"/>
              </w:rPr>
              <w:t xml:space="preserve"> (Year)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</w:tcPr>
          <w:p w14:paraId="74D0A62C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Study objective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0383ECDC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 xml:space="preserve">Primary outcome 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</w:tcBorders>
          </w:tcPr>
          <w:p w14:paraId="77226599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Secondary outcome</w:t>
            </w:r>
          </w:p>
        </w:tc>
      </w:tr>
      <w:tr w:rsidR="007F1F1F" w14:paraId="48CBFC71" w14:textId="77777777" w:rsidTr="008B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auto"/>
            </w:tcBorders>
          </w:tcPr>
          <w:p w14:paraId="12AE1CBD" w14:textId="77777777" w:rsidR="007F1F1F" w:rsidRPr="00E03032" w:rsidRDefault="007F1F1F" w:rsidP="008B7C31">
            <w:pPr>
              <w:spacing w:line="276" w:lineRule="auto"/>
              <w:ind w:right="4"/>
              <w:jc w:val="both"/>
              <w:rPr>
                <w:sz w:val="22"/>
              </w:rPr>
            </w:pPr>
            <w:r w:rsidRPr="00E03032">
              <w:rPr>
                <w:b w:val="0"/>
                <w:sz w:val="22"/>
              </w:rPr>
              <w:t xml:space="preserve">Hellgren, Kihamia, and Premji </w:t>
            </w:r>
            <w:r w:rsidRPr="00E03032">
              <w:rPr>
                <w:b w:val="0"/>
                <w:i/>
                <w:sz w:val="22"/>
              </w:rPr>
              <w:t>et al.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bCs w:val="0"/>
                <w:sz w:val="22"/>
              </w:rPr>
              <w:t>1989</w:t>
            </w:r>
            <w:r w:rsidRPr="00E03032">
              <w:rPr>
                <w:b w:val="0"/>
                <w:bCs w:val="0"/>
                <w:sz w:val="22"/>
              </w:rPr>
              <w:t xml:space="preserve"> </w:t>
            </w:r>
            <w:r w:rsidRPr="00E03032">
              <w:rPr>
                <w:b w:val="0"/>
                <w:sz w:val="22"/>
              </w:rPr>
              <w:t>[16]</w:t>
            </w:r>
          </w:p>
        </w:tc>
        <w:tc>
          <w:tcPr>
            <w:tcW w:w="2267" w:type="dxa"/>
            <w:tcBorders>
              <w:top w:val="single" w:sz="12" w:space="0" w:color="auto"/>
            </w:tcBorders>
          </w:tcPr>
          <w:p w14:paraId="3C912B8B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To evaluate the usefulness of 5% EMLA cream in Tanzanian school children undergoing venepuncture.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284045C5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Absence of pain was observed in 39 participants (93%), slight pain in two participants (4.7%), and moderate pain in one participant (2.3%).</w:t>
            </w:r>
          </w:p>
        </w:tc>
        <w:tc>
          <w:tcPr>
            <w:tcW w:w="2684" w:type="dxa"/>
            <w:tcBorders>
              <w:top w:val="single" w:sz="12" w:space="0" w:color="auto"/>
            </w:tcBorders>
          </w:tcPr>
          <w:p w14:paraId="44C15AFA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No skin reaction [general or local] was observed</w:t>
            </w:r>
          </w:p>
        </w:tc>
      </w:tr>
      <w:tr w:rsidR="007F1F1F" w14:paraId="7B5BFDF0" w14:textId="77777777" w:rsidTr="008B7C31">
        <w:trPr>
          <w:trHeight w:val="1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12" w:space="0" w:color="auto"/>
            </w:tcBorders>
          </w:tcPr>
          <w:p w14:paraId="54A049CD" w14:textId="77777777" w:rsidR="007F1F1F" w:rsidRPr="00E03032" w:rsidRDefault="007F1F1F" w:rsidP="008B7C31">
            <w:pPr>
              <w:spacing w:line="276" w:lineRule="auto"/>
              <w:ind w:right="4"/>
              <w:jc w:val="both"/>
              <w:rPr>
                <w:sz w:val="22"/>
                <w:vertAlign w:val="superscript"/>
              </w:rPr>
            </w:pPr>
            <w:r w:rsidRPr="00E03032">
              <w:rPr>
                <w:b w:val="0"/>
                <w:color w:val="231F20"/>
                <w:sz w:val="22"/>
              </w:rPr>
              <w:t>Gwetu and Chhagan</w:t>
            </w:r>
            <w:r>
              <w:rPr>
                <w:b w:val="0"/>
                <w:color w:val="231F20"/>
                <w:sz w:val="22"/>
              </w:rPr>
              <w:t xml:space="preserve"> </w:t>
            </w:r>
            <w:r>
              <w:rPr>
                <w:b w:val="0"/>
                <w:bCs w:val="0"/>
                <w:color w:val="231F20"/>
                <w:sz w:val="22"/>
              </w:rPr>
              <w:t>2015</w:t>
            </w:r>
            <w:r w:rsidRPr="00E03032">
              <w:rPr>
                <w:b w:val="0"/>
                <w:bCs w:val="0"/>
                <w:color w:val="231F20"/>
                <w:sz w:val="22"/>
              </w:rPr>
              <w:t xml:space="preserve"> </w:t>
            </w:r>
            <w:r w:rsidRPr="00E03032">
              <w:rPr>
                <w:b w:val="0"/>
                <w:color w:val="231F20"/>
                <w:sz w:val="22"/>
              </w:rPr>
              <w:t>[17]</w:t>
            </w:r>
          </w:p>
        </w:tc>
        <w:tc>
          <w:tcPr>
            <w:tcW w:w="2267" w:type="dxa"/>
            <w:tcBorders>
              <w:bottom w:val="single" w:sz="12" w:space="0" w:color="auto"/>
            </w:tcBorders>
          </w:tcPr>
          <w:p w14:paraId="243C13A4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To evaluate the efficacy of 5% EMLA cream in reducing pain in school-aged children in a field setting.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2FCA5013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Pain reduction in 168 (91.3%) participants that received 5% EMLA compared to 5 (25%) in the control group [no treatment]</w:t>
            </w:r>
          </w:p>
          <w:p w14:paraId="7F6EA60A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  <w:p w14:paraId="52E4D63A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Furthermore, 3 (1.6%) and 13 (7.6%) participants in the 5% EMLA group complained of moderate pain and mild discomfort, respectively.</w:t>
            </w:r>
          </w:p>
          <w:p w14:paraId="2FFB4E01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  <w:p w14:paraId="56EC5B85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color w:val="000000"/>
                <w:sz w:val="22"/>
              </w:rPr>
              <w:t>Lower VAS score in participants that received 5% EMLA compared to control (p &lt; 0.001)</w:t>
            </w:r>
          </w:p>
        </w:tc>
        <w:tc>
          <w:tcPr>
            <w:tcW w:w="2684" w:type="dxa"/>
            <w:tcBorders>
              <w:bottom w:val="single" w:sz="12" w:space="0" w:color="auto"/>
            </w:tcBorders>
          </w:tcPr>
          <w:p w14:paraId="447FF161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sz w:val="22"/>
              </w:rPr>
              <w:t>No systemic, dermatological, itching or local reactions were observed.</w:t>
            </w:r>
          </w:p>
        </w:tc>
      </w:tr>
    </w:tbl>
    <w:p w14:paraId="1329C904" w14:textId="77777777" w:rsidR="007F1F1F" w:rsidRPr="00C33F22" w:rsidRDefault="007F1F1F" w:rsidP="007F1F1F">
      <w:pPr>
        <w:spacing w:line="276" w:lineRule="auto"/>
        <w:ind w:right="4"/>
        <w:jc w:val="both"/>
      </w:pPr>
      <w:r w:rsidRPr="00C33F22">
        <w:t>*5% EMLA: Eutectic mixture of local anaesthetics</w:t>
      </w:r>
      <w:r>
        <w:t xml:space="preserve"> (contains 2.5% Lidocaine and 2.5% Prilocaine in an oil-water emulsion)</w:t>
      </w:r>
      <w:r w:rsidRPr="00C33F22">
        <w:t>; VAS: Visual analogue scale; NRS: Numerical rating scale; VRS: Verbal rating scale; CI: Confidence interval.</w:t>
      </w:r>
    </w:p>
    <w:p w14:paraId="4511566D" w14:textId="77777777" w:rsidR="007F1F1F" w:rsidRDefault="007F1F1F" w:rsidP="007F1F1F">
      <w:pPr>
        <w:ind w:right="4"/>
        <w:jc w:val="both"/>
      </w:pPr>
    </w:p>
    <w:p w14:paraId="4C7178B0" w14:textId="77777777" w:rsidR="007F1F1F" w:rsidRDefault="007F1F1F"/>
    <w:p w14:paraId="04242996" w14:textId="77777777" w:rsidR="007F1F1F" w:rsidRDefault="007F1F1F"/>
    <w:p w14:paraId="388D0E8F" w14:textId="77777777" w:rsidR="007F1F1F" w:rsidRDefault="007F1F1F"/>
    <w:p w14:paraId="0AF3CC67" w14:textId="77777777" w:rsidR="007F1F1F" w:rsidRDefault="007F1F1F"/>
    <w:p w14:paraId="6A867F5D" w14:textId="77777777" w:rsidR="007F1F1F" w:rsidRDefault="007F1F1F"/>
    <w:p w14:paraId="21FADACB" w14:textId="77777777" w:rsidR="007F1F1F" w:rsidRDefault="007F1F1F"/>
    <w:p w14:paraId="716807C5" w14:textId="77777777" w:rsidR="007F1F1F" w:rsidRDefault="007F1F1F"/>
    <w:p w14:paraId="564AD451" w14:textId="77777777" w:rsidR="007F1F1F" w:rsidRDefault="007F1F1F"/>
    <w:p w14:paraId="2217CE53" w14:textId="77777777" w:rsidR="007F1F1F" w:rsidRPr="00AB63B9" w:rsidRDefault="007F1F1F" w:rsidP="007F1F1F">
      <w:pPr>
        <w:spacing w:line="276" w:lineRule="auto"/>
        <w:ind w:right="4"/>
        <w:rPr>
          <w:sz w:val="22"/>
        </w:rPr>
      </w:pPr>
      <w:r w:rsidRPr="00E03032">
        <w:rPr>
          <w:b/>
          <w:sz w:val="22"/>
        </w:rPr>
        <w:lastRenderedPageBreak/>
        <w:t xml:space="preserve">Table 2: </w:t>
      </w:r>
      <w:r w:rsidRPr="00E03032">
        <w:rPr>
          <w:sz w:val="22"/>
        </w:rPr>
        <w:t>The objectives and outcomes of the identified research articles</w:t>
      </w:r>
      <w:r>
        <w:rPr>
          <w:sz w:val="22"/>
        </w:rPr>
        <w:t xml:space="preserve"> [continued].</w:t>
      </w:r>
    </w:p>
    <w:tbl>
      <w:tblPr>
        <w:tblStyle w:val="ListTable6Colorful"/>
        <w:tblW w:w="9757" w:type="dxa"/>
        <w:tblLayout w:type="fixed"/>
        <w:tblLook w:val="04A0" w:firstRow="1" w:lastRow="0" w:firstColumn="1" w:lastColumn="0" w:noHBand="0" w:noVBand="1"/>
      </w:tblPr>
      <w:tblGrid>
        <w:gridCol w:w="2064"/>
        <w:gridCol w:w="2200"/>
        <w:gridCol w:w="2889"/>
        <w:gridCol w:w="2604"/>
      </w:tblGrid>
      <w:tr w:rsidR="007F1F1F" w:rsidRPr="00E03032" w14:paraId="65686D38" w14:textId="77777777" w:rsidTr="008B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single" w:sz="12" w:space="0" w:color="auto"/>
              <w:bottom w:val="single" w:sz="12" w:space="0" w:color="auto"/>
            </w:tcBorders>
          </w:tcPr>
          <w:p w14:paraId="06530B51" w14:textId="77777777" w:rsidR="007F1F1F" w:rsidRPr="00C62225" w:rsidRDefault="007F1F1F" w:rsidP="008B7C31">
            <w:pPr>
              <w:spacing w:line="276" w:lineRule="auto"/>
              <w:ind w:right="4"/>
              <w:jc w:val="center"/>
              <w:rPr>
                <w:rFonts w:eastAsiaTheme="majorEastAsia"/>
                <w:sz w:val="22"/>
              </w:rPr>
            </w:pPr>
            <w:r w:rsidRPr="00E03032">
              <w:rPr>
                <w:sz w:val="22"/>
              </w:rPr>
              <w:t>Author</w:t>
            </w:r>
            <w:r>
              <w:rPr>
                <w:sz w:val="22"/>
              </w:rPr>
              <w:t xml:space="preserve"> (Year)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</w:tcPr>
          <w:p w14:paraId="3AE5C8A4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Study objective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</w:tcPr>
          <w:p w14:paraId="1C4F077C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 xml:space="preserve">Primary outcome 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</w:tcPr>
          <w:p w14:paraId="1EDED39A" w14:textId="77777777" w:rsidR="007F1F1F" w:rsidRPr="00E03032" w:rsidRDefault="007F1F1F" w:rsidP="008B7C31">
            <w:pPr>
              <w:spacing w:line="276" w:lineRule="auto"/>
              <w:ind w:right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Secondary outcome</w:t>
            </w:r>
          </w:p>
        </w:tc>
      </w:tr>
      <w:tr w:rsidR="007F1F1F" w:rsidRPr="00E03032" w14:paraId="3D3A98DD" w14:textId="77777777" w:rsidTr="008B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single" w:sz="12" w:space="0" w:color="auto"/>
            </w:tcBorders>
          </w:tcPr>
          <w:p w14:paraId="7232F8F9" w14:textId="77777777" w:rsidR="007F1F1F" w:rsidRPr="00E03032" w:rsidRDefault="007F1F1F" w:rsidP="008B7C31">
            <w:pPr>
              <w:spacing w:line="276" w:lineRule="auto"/>
              <w:ind w:right="4"/>
              <w:jc w:val="both"/>
              <w:rPr>
                <w:sz w:val="22"/>
              </w:rPr>
            </w:pPr>
            <w:r w:rsidRPr="00E03032">
              <w:rPr>
                <w:b w:val="0"/>
                <w:color w:val="231F20"/>
                <w:sz w:val="22"/>
              </w:rPr>
              <w:t>van Straten, Murray, and Levin</w:t>
            </w:r>
            <w:r>
              <w:rPr>
                <w:b w:val="0"/>
                <w:color w:val="231F20"/>
                <w:sz w:val="22"/>
              </w:rPr>
              <w:t xml:space="preserve"> </w:t>
            </w:r>
            <w:r>
              <w:rPr>
                <w:b w:val="0"/>
                <w:bCs w:val="0"/>
                <w:color w:val="231F20"/>
                <w:sz w:val="22"/>
              </w:rPr>
              <w:t xml:space="preserve">2018 </w:t>
            </w:r>
            <w:r w:rsidRPr="00E03032">
              <w:rPr>
                <w:b w:val="0"/>
                <w:bCs w:val="0"/>
                <w:color w:val="231F20"/>
                <w:sz w:val="22"/>
              </w:rPr>
              <w:t xml:space="preserve"> </w:t>
            </w:r>
            <w:r w:rsidRPr="00E03032">
              <w:rPr>
                <w:b w:val="0"/>
                <w:color w:val="231F20"/>
                <w:sz w:val="22"/>
              </w:rPr>
              <w:t>[18]</w:t>
            </w:r>
          </w:p>
        </w:tc>
        <w:tc>
          <w:tcPr>
            <w:tcW w:w="2200" w:type="dxa"/>
            <w:tcBorders>
              <w:top w:val="single" w:sz="12" w:space="0" w:color="auto"/>
            </w:tcBorders>
          </w:tcPr>
          <w:p w14:paraId="28865D6C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To evaluate whether pre-treatment with Xylocaine® 10% Pump Spray could facilitate analgesia for venipuncture.</w:t>
            </w:r>
          </w:p>
        </w:tc>
        <w:tc>
          <w:tcPr>
            <w:tcW w:w="2889" w:type="dxa"/>
            <w:tcBorders>
              <w:top w:val="single" w:sz="12" w:space="0" w:color="auto"/>
            </w:tcBorders>
          </w:tcPr>
          <w:p w14:paraId="45BAC08A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sz w:val="22"/>
              </w:rPr>
              <w:t xml:space="preserve">Lower NRS scores in participants who received the Xylocaine® 10% Pump Spray [median 2; 95% CI 2-3] compared to the score for those that received saline [median 4; 95% CI 3-5] </w:t>
            </w:r>
            <w:r w:rsidRPr="00E03032">
              <w:rPr>
                <w:color w:val="000000"/>
                <w:sz w:val="22"/>
              </w:rPr>
              <w:t>(p &lt; 0.001)</w:t>
            </w:r>
          </w:p>
          <w:p w14:paraId="287952D7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14:paraId="516BBA60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 xml:space="preserve">Nil pain occurrence in 10 (20%) participants who received Xylocaine® compared to 2 (4%) of those who received saline. </w:t>
            </w:r>
          </w:p>
        </w:tc>
        <w:tc>
          <w:tcPr>
            <w:tcW w:w="2604" w:type="dxa"/>
            <w:tcBorders>
              <w:top w:val="single" w:sz="12" w:space="0" w:color="auto"/>
            </w:tcBorders>
          </w:tcPr>
          <w:p w14:paraId="2CD9DE86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sz w:val="22"/>
              </w:rPr>
              <w:t>No adverse reactions or skin changes were observed.</w:t>
            </w:r>
          </w:p>
        </w:tc>
      </w:tr>
      <w:tr w:rsidR="007F1F1F" w:rsidRPr="00E03032" w14:paraId="555CC5F9" w14:textId="77777777" w:rsidTr="008B7C31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bottom w:val="single" w:sz="12" w:space="0" w:color="auto"/>
            </w:tcBorders>
          </w:tcPr>
          <w:p w14:paraId="0C073C7E" w14:textId="77777777" w:rsidR="007F1F1F" w:rsidRPr="00E03032" w:rsidRDefault="007F1F1F" w:rsidP="008B7C31">
            <w:pPr>
              <w:spacing w:line="276" w:lineRule="auto"/>
              <w:ind w:right="4"/>
              <w:jc w:val="both"/>
              <w:rPr>
                <w:sz w:val="22"/>
              </w:rPr>
            </w:pPr>
            <w:r w:rsidRPr="00E03032">
              <w:rPr>
                <w:b w:val="0"/>
                <w:color w:val="231F20"/>
                <w:sz w:val="22"/>
                <w:lang w:val="it-IT"/>
              </w:rPr>
              <w:t xml:space="preserve">Oluwadun, Adekola, and Dada </w:t>
            </w:r>
            <w:r w:rsidRPr="00E03032">
              <w:rPr>
                <w:b w:val="0"/>
                <w:i/>
                <w:color w:val="231F20"/>
                <w:sz w:val="22"/>
                <w:lang w:val="it-IT"/>
              </w:rPr>
              <w:t>et al.</w:t>
            </w:r>
            <w:r>
              <w:rPr>
                <w:b w:val="0"/>
                <w:color w:val="231F20"/>
                <w:sz w:val="22"/>
                <w:lang w:val="it-IT"/>
              </w:rPr>
              <w:t xml:space="preserve"> </w:t>
            </w:r>
            <w:r>
              <w:rPr>
                <w:b w:val="0"/>
                <w:bCs w:val="0"/>
                <w:color w:val="231F20"/>
                <w:sz w:val="22"/>
                <w:lang w:val="it-IT"/>
              </w:rPr>
              <w:t>2019</w:t>
            </w:r>
            <w:r w:rsidRPr="00E03032">
              <w:rPr>
                <w:b w:val="0"/>
                <w:bCs w:val="0"/>
                <w:color w:val="231F20"/>
                <w:sz w:val="22"/>
                <w:lang w:val="it-IT"/>
              </w:rPr>
              <w:t xml:space="preserve"> </w:t>
            </w:r>
            <w:r w:rsidRPr="00E03032">
              <w:rPr>
                <w:b w:val="0"/>
                <w:color w:val="231F20"/>
                <w:sz w:val="22"/>
                <w:lang w:val="it-IT"/>
              </w:rPr>
              <w:t>[19]</w:t>
            </w:r>
          </w:p>
        </w:tc>
        <w:tc>
          <w:tcPr>
            <w:tcW w:w="2200" w:type="dxa"/>
            <w:tcBorders>
              <w:bottom w:val="single" w:sz="12" w:space="0" w:color="auto"/>
            </w:tcBorders>
          </w:tcPr>
          <w:p w14:paraId="0CA857F6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To compare the efficacy of 5% EMLA to 10% lidocaine cream and placebo in the reduction of PVC insertion pain.</w:t>
            </w:r>
          </w:p>
        </w:tc>
        <w:tc>
          <w:tcPr>
            <w:tcW w:w="2889" w:type="dxa"/>
            <w:tcBorders>
              <w:bottom w:val="single" w:sz="12" w:space="0" w:color="auto"/>
            </w:tcBorders>
          </w:tcPr>
          <w:p w14:paraId="314335F6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>Lower mean VAS scores in the 5% EMLA group (2.62±1.76 cm) and 10% Lidocaine group (1.85±1.58 cm) compared to placebo [KY gel] treatment (4.78 ±1.88 cm), p&lt;0.001.</w:t>
            </w:r>
          </w:p>
          <w:p w14:paraId="7A79DDAE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  <w:p w14:paraId="303A48B5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color w:val="000000"/>
                <w:sz w:val="22"/>
              </w:rPr>
              <w:t>Thirteen (38.2%) and 18 (52.9%) patients who received 5% EMLA and 10% Lidocaine, respectively, were expressionless during cannulation compared to 6 (17.6%) patients who received placebo.</w:t>
            </w:r>
          </w:p>
        </w:tc>
        <w:tc>
          <w:tcPr>
            <w:tcW w:w="2604" w:type="dxa"/>
            <w:tcBorders>
              <w:bottom w:val="single" w:sz="12" w:space="0" w:color="auto"/>
            </w:tcBorders>
          </w:tcPr>
          <w:p w14:paraId="47042231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 xml:space="preserve">Burning skin sensations were observed in one participant (2.9%) who received 5% EMLA and two participants (5.9%) who received 10% lidocaine. </w:t>
            </w:r>
          </w:p>
          <w:p w14:paraId="04A094DC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  <w:p w14:paraId="1F7B7458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 w:rsidRPr="00E03032">
              <w:rPr>
                <w:color w:val="000000"/>
                <w:sz w:val="22"/>
              </w:rPr>
              <w:t xml:space="preserve">Tingling sensation in one participant (2.9%) who received 10% lidocaine. </w:t>
            </w:r>
          </w:p>
          <w:p w14:paraId="5E2B2531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  <w:p w14:paraId="383E9EBF" w14:textId="77777777" w:rsidR="007F1F1F" w:rsidRPr="00E03032" w:rsidRDefault="007F1F1F" w:rsidP="008B7C31">
            <w:pPr>
              <w:spacing w:line="276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03032">
              <w:rPr>
                <w:color w:val="000000"/>
                <w:sz w:val="22"/>
              </w:rPr>
              <w:t>Blanching of the skin in one participant (2.9%) in all three groups after cessation of treatment creams.</w:t>
            </w:r>
          </w:p>
        </w:tc>
      </w:tr>
    </w:tbl>
    <w:p w14:paraId="6323D153" w14:textId="77777777" w:rsidR="007F1F1F" w:rsidRPr="00C33F22" w:rsidRDefault="007F1F1F" w:rsidP="007F1F1F">
      <w:pPr>
        <w:spacing w:line="276" w:lineRule="auto"/>
        <w:ind w:right="4"/>
        <w:jc w:val="both"/>
      </w:pPr>
      <w:r w:rsidRPr="00C33F22">
        <w:t>*5% EMLA: Eutectic mixture of local anaesthetics</w:t>
      </w:r>
      <w:r>
        <w:t xml:space="preserve"> (contains 2.5% Lidocaine and 2.5% Prilocaine in an oil-water emulsion)</w:t>
      </w:r>
      <w:r w:rsidRPr="00C33F22">
        <w:t>; VAS: Visual analogue scale; NRS: Numerical rating scale; VRS: Verbal rating scale; CI: Confidence interval.</w:t>
      </w:r>
    </w:p>
    <w:p w14:paraId="572ADAC6" w14:textId="77777777" w:rsidR="007F1F1F" w:rsidRDefault="007F1F1F"/>
    <w:sectPr w:rsidR="007F1F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zMDUxMjU3NTQyNjNU0lEKTi0uzszPAykwrAUA3B+bjCwAAAA="/>
  </w:docVars>
  <w:rsids>
    <w:rsidRoot w:val="007F1F1F"/>
    <w:rsid w:val="007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2E5F"/>
  <w15:chartTrackingRefBased/>
  <w15:docId w15:val="{9765BED2-55AC-43E6-A38D-8D48AEE9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1F"/>
    <w:pPr>
      <w:spacing w:after="0" w:line="48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F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F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F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F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F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F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F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F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F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1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F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F1F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F1F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1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F1F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7F1F1F"/>
    <w:pPr>
      <w:spacing w:after="0" w:line="240" w:lineRule="auto"/>
    </w:pPr>
    <w:rPr>
      <w:rFonts w:ascii="Times New Roman" w:hAnsi="Times New Roman"/>
      <w:color w:val="000000" w:themeColor="text1"/>
      <w:kern w:val="0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Osadolor Aiseosa Jr</dc:creator>
  <cp:keywords/>
  <dc:description/>
  <cp:lastModifiedBy>Osadolor Aiseosa Jr</cp:lastModifiedBy>
  <cp:revision>1</cp:revision>
  <dcterms:created xsi:type="dcterms:W3CDTF">2024-01-25T19:43:00Z</dcterms:created>
  <dcterms:modified xsi:type="dcterms:W3CDTF">2024-01-25T19:47:00Z</dcterms:modified>
</cp:coreProperties>
</file>