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44D0" w14:textId="77777777" w:rsidR="006F481A" w:rsidRPr="006F481A" w:rsidRDefault="006F481A" w:rsidP="006F481A">
      <w:pPr>
        <w:rPr>
          <w:rFonts w:ascii="Arial" w:eastAsia="等线" w:hAnsi="Arial" w:cs="Arial"/>
          <w:b/>
          <w:bCs/>
          <w:kern w:val="24"/>
          <w:sz w:val="28"/>
          <w:szCs w:val="28"/>
        </w:rPr>
      </w:pPr>
      <w:r w:rsidRPr="006F481A">
        <w:rPr>
          <w:rFonts w:ascii="Arial" w:eastAsia="等线" w:hAnsi="Arial" w:cs="Arial"/>
          <w:b/>
          <w:bCs/>
          <w:kern w:val="24"/>
          <w:sz w:val="28"/>
          <w:szCs w:val="28"/>
        </w:rPr>
        <w:t>Supplementary Figures</w:t>
      </w:r>
    </w:p>
    <w:p w14:paraId="3760BB33" w14:textId="6A5A515B" w:rsidR="006F481A" w:rsidRPr="006F481A" w:rsidRDefault="006743EB" w:rsidP="006F481A">
      <w:pPr>
        <w:jc w:val="center"/>
        <w:rPr>
          <w:rFonts w:ascii="Arial" w:eastAsia="等线" w:hAnsi="Arial" w:cs="Arial"/>
          <w:b/>
          <w:bCs/>
          <w:kern w:val="24"/>
          <w:sz w:val="28"/>
          <w:szCs w:val="28"/>
        </w:rPr>
      </w:pPr>
      <w:r>
        <w:rPr>
          <w:rFonts w:ascii="Arial" w:eastAsia="等线" w:hAnsi="Arial" w:cs="Arial"/>
          <w:b/>
          <w:bCs/>
          <w:noProof/>
          <w:kern w:val="24"/>
          <w:sz w:val="28"/>
          <w:szCs w:val="28"/>
        </w:rPr>
        <w:drawing>
          <wp:inline distT="0" distB="0" distL="0" distR="0" wp14:anchorId="3570E364" wp14:editId="5E39CC2A">
            <wp:extent cx="5772150" cy="4486275"/>
            <wp:effectExtent l="0" t="0" r="0" b="9525"/>
            <wp:docPr id="2" name="图片 2" descr="D:\桌面D盘\Figure and Tables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桌面D盘\Figure and Tables\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72FD" w14:textId="2B2837DB" w:rsidR="006F481A" w:rsidRPr="008D2D88" w:rsidRDefault="006F481A" w:rsidP="0013663E">
      <w:pPr>
        <w:spacing w:line="360" w:lineRule="auto"/>
        <w:rPr>
          <w:rFonts w:ascii="Times New Roman" w:eastAsia="等线" w:hAnsi="Times New Roman" w:cs="Times New Roman"/>
          <w:kern w:val="24"/>
          <w:sz w:val="22"/>
        </w:rPr>
      </w:pPr>
      <w:r w:rsidRPr="006743EB">
        <w:rPr>
          <w:rFonts w:ascii="Times New Roman" w:eastAsia="宋体" w:hAnsi="Times New Roman" w:cs="Times New Roman"/>
          <w:b/>
          <w:bCs/>
          <w:iCs/>
          <w:sz w:val="22"/>
        </w:rPr>
        <w:t>Fig. S1</w:t>
      </w:r>
      <w:r w:rsidRPr="006743EB">
        <w:rPr>
          <w:rFonts w:ascii="Times New Roman" w:eastAsia="宋体" w:hAnsi="Times New Roman" w:cs="Times New Roman" w:hint="eastAsia"/>
          <w:b/>
          <w:bCs/>
          <w:iCs/>
          <w:sz w:val="22"/>
        </w:rPr>
        <w:t xml:space="preserve"> 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CAPS markers and InDel markers used to characterize the alien segment </w:t>
      </w:r>
      <w:r w:rsidR="002F361C"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present 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in 98M71.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>(a)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CAPS marker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 xml:space="preserve">pku6B97F 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(6.03 Mb,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BstU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I);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>(b)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InDel marker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pku6B1059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(85.79 Mb);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>(c)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CAPS marker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pku6B1851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(209.24 Mb,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Afl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III);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>(d)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CAPS marker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pku6B2389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(415.87 Mb,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Hha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I);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>(e)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InDel marker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pku6B2836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(512.19 Mb);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>(f)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InDel marker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pku6B613M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(613.11 Mb);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 xml:space="preserve">(g) 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CAPS marker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pku6B4135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(687.02Mb,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Cla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I); and 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>(h)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CAPS</w:t>
      </w:r>
      <w:r w:rsidRPr="006743EB">
        <w:rPr>
          <w:rFonts w:ascii="Times New Roman" w:eastAsia="等线" w:hAnsi="Times New Roman" w:cs="Times New Roman"/>
          <w:b/>
          <w:bCs/>
          <w:color w:val="000000"/>
          <w:kern w:val="24"/>
          <w:sz w:val="22"/>
        </w:rPr>
        <w:t xml:space="preserve">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pku6B4191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(690.96 Mb, 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Pvu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I). </w:t>
      </w:r>
      <w:r w:rsidR="00890C08">
        <w:rPr>
          <w:rFonts w:ascii="Times New Roman" w:eastAsia="等线" w:hAnsi="Times New Roman" w:cs="Times New Roman"/>
          <w:kern w:val="24"/>
          <w:sz w:val="22"/>
        </w:rPr>
        <w:t>T</w:t>
      </w:r>
      <w:r w:rsidR="00890C08">
        <w:rPr>
          <w:rFonts w:ascii="Times New Roman" w:eastAsia="等线" w:hAnsi="Times New Roman" w:cs="Times New Roman" w:hint="eastAsia"/>
          <w:kern w:val="24"/>
          <w:sz w:val="22"/>
        </w:rPr>
        <w:t>he</w:t>
      </w:r>
      <w:r w:rsidR="00890C08">
        <w:rPr>
          <w:rFonts w:ascii="Times New Roman" w:eastAsia="等线" w:hAnsi="Times New Roman" w:cs="Times New Roman"/>
          <w:kern w:val="24"/>
          <w:sz w:val="22"/>
        </w:rPr>
        <w:t xml:space="preserve"> marker </w:t>
      </w:r>
      <w:r w:rsidR="00890C08"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pku6B4191</w:t>
      </w:r>
      <w:r w:rsidR="00890C08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 xml:space="preserve"> </w:t>
      </w:r>
      <w:r w:rsidR="00890C08" w:rsidRPr="008D2D88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was located outside the introgressed segment and </w:t>
      </w:r>
      <w:r w:rsidR="00890C08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was </w:t>
      </w:r>
      <w:r w:rsidR="00890C08" w:rsidRPr="008D2D88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developed based on the </w:t>
      </w:r>
      <w:r w:rsidR="00890C08" w:rsidRPr="008D2D88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T. aestivum</w:t>
      </w:r>
      <w:r w:rsidR="00890C08" w:rsidRPr="008D2D88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allele</w:t>
      </w:r>
      <w:r w:rsidR="00890C08">
        <w:rPr>
          <w:rFonts w:ascii="Times New Roman" w:eastAsia="等线" w:hAnsi="Times New Roman" w:cs="Times New Roman"/>
          <w:color w:val="000000"/>
          <w:kern w:val="24"/>
          <w:sz w:val="22"/>
        </w:rPr>
        <w:t>.</w:t>
      </w:r>
      <w:r w:rsidR="00890C08">
        <w:rPr>
          <w:rFonts w:ascii="Times New Roman" w:eastAsia="等线" w:hAnsi="Times New Roman" w:cs="Times New Roman" w:hint="eastAsia"/>
          <w:kern w:val="24"/>
          <w:sz w:val="22"/>
        </w:rPr>
        <w:t xml:space="preserve"> 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1, CS; 2, Avocet-S; 3, Kronos; 4, Zavitan; 5, 98M71; 6, </w:t>
      </w:r>
      <w:r w:rsidR="002F361C"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>Thatcher-</w:t>
      </w:r>
      <w:r w:rsidR="002F361C"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Lr53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>; 7, TH02 (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Ae. sharonens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>); 8, TL05 (</w:t>
      </w:r>
      <w:r w:rsidRPr="006743EB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Ae. longissima</w:t>
      </w:r>
      <w:r w:rsidRPr="006743EB">
        <w:rPr>
          <w:rFonts w:ascii="Times New Roman" w:eastAsia="等线" w:hAnsi="Times New Roman" w:cs="Times New Roman"/>
          <w:color w:val="000000"/>
          <w:kern w:val="24"/>
          <w:sz w:val="22"/>
        </w:rPr>
        <w:t>). M, markers. Coordinates are based on CS RefSeq v1.1.</w:t>
      </w:r>
      <w:r w:rsidRPr="006743EB">
        <w:rPr>
          <w:rFonts w:ascii="Times New Roman" w:eastAsia="等线" w:hAnsi="Times New Roman" w:cs="Times New Roman"/>
          <w:kern w:val="24"/>
          <w:sz w:val="22"/>
        </w:rPr>
        <w:t xml:space="preserve"> Arrowheads represent wheat bands and arrows represent </w:t>
      </w:r>
      <w:r w:rsidRPr="006743EB">
        <w:rPr>
          <w:rFonts w:ascii="Times New Roman" w:eastAsia="等线" w:hAnsi="Times New Roman" w:cs="Times New Roman"/>
          <w:i/>
          <w:iCs/>
          <w:kern w:val="24"/>
          <w:sz w:val="22"/>
        </w:rPr>
        <w:t xml:space="preserve">Ae. sharonens/Ae. longissima </w:t>
      </w:r>
      <w:r w:rsidRPr="006743EB">
        <w:rPr>
          <w:rFonts w:ascii="Times New Roman" w:eastAsia="等线" w:hAnsi="Times New Roman" w:cs="Times New Roman"/>
          <w:kern w:val="24"/>
          <w:sz w:val="22"/>
        </w:rPr>
        <w:t>bands.</w:t>
      </w:r>
      <w:r w:rsidR="008D2D88">
        <w:rPr>
          <w:rFonts w:ascii="Times New Roman" w:eastAsia="等线" w:hAnsi="Times New Roman" w:cs="Times New Roman"/>
          <w:kern w:val="24"/>
          <w:sz w:val="22"/>
        </w:rPr>
        <w:t xml:space="preserve"> </w:t>
      </w:r>
    </w:p>
    <w:p w14:paraId="671A171E" w14:textId="77777777" w:rsidR="006F481A" w:rsidRPr="006F481A" w:rsidRDefault="006F481A" w:rsidP="006F481A">
      <w:pPr>
        <w:rPr>
          <w:rFonts w:ascii="Times New Roman" w:eastAsia="宋体" w:hAnsi="Times New Roman" w:cs="Times New Roman"/>
          <w:sz w:val="24"/>
          <w:szCs w:val="24"/>
        </w:rPr>
      </w:pPr>
    </w:p>
    <w:p w14:paraId="6EF5D77A" w14:textId="77777777" w:rsidR="006F481A" w:rsidRPr="006F481A" w:rsidRDefault="006F481A" w:rsidP="006F481A">
      <w:pPr>
        <w:widowControl/>
        <w:jc w:val="left"/>
        <w:rPr>
          <w:rFonts w:ascii="Arial" w:eastAsia="等线" w:hAnsi="Arial" w:cs="Arial"/>
          <w:b/>
          <w:bCs/>
          <w:kern w:val="24"/>
          <w:sz w:val="28"/>
          <w:szCs w:val="28"/>
        </w:rPr>
      </w:pPr>
      <w:r w:rsidRPr="006F481A">
        <w:rPr>
          <w:rFonts w:ascii="Arial" w:eastAsia="等线" w:hAnsi="Arial" w:cs="Arial"/>
          <w:b/>
          <w:bCs/>
          <w:kern w:val="24"/>
          <w:sz w:val="28"/>
          <w:szCs w:val="28"/>
        </w:rPr>
        <w:br w:type="page"/>
      </w:r>
    </w:p>
    <w:p w14:paraId="68584DA4" w14:textId="77777777" w:rsidR="006F481A" w:rsidRPr="006F481A" w:rsidRDefault="00D418BE" w:rsidP="006F481A">
      <w:pPr>
        <w:jc w:val="center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  <w:noProof/>
        </w:rPr>
        <w:lastRenderedPageBreak/>
        <w:drawing>
          <wp:inline distT="0" distB="0" distL="0" distR="0" wp14:anchorId="3A5EC871" wp14:editId="613C7B3A">
            <wp:extent cx="5811012" cy="252374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1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78331" w14:textId="0821D542" w:rsidR="006F481A" w:rsidRPr="00913DCD" w:rsidRDefault="006F481A" w:rsidP="0013663E">
      <w:pPr>
        <w:widowControl/>
        <w:spacing w:line="360" w:lineRule="auto"/>
        <w:jc w:val="left"/>
        <w:rPr>
          <w:rFonts w:ascii="Calibri" w:eastAsia="宋体" w:hAnsi="Calibri" w:cs="Times New Roman"/>
          <w:sz w:val="22"/>
        </w:rPr>
      </w:pPr>
      <w:r w:rsidRPr="00913DCD">
        <w:rPr>
          <w:rFonts w:ascii="Times New Roman" w:eastAsia="宋体" w:hAnsi="Times New Roman" w:cs="Times New Roman"/>
          <w:b/>
          <w:bCs/>
          <w:iCs/>
          <w:sz w:val="22"/>
        </w:rPr>
        <w:t>Fig. S2</w:t>
      </w:r>
      <w:r w:rsidRPr="00913DCD">
        <w:rPr>
          <w:rFonts w:ascii="Times New Roman" w:eastAsia="宋体" w:hAnsi="Times New Roman" w:cs="Times New Roman" w:hint="eastAsia"/>
          <w:b/>
          <w:bCs/>
          <w:iCs/>
          <w:sz w:val="22"/>
        </w:rPr>
        <w:t xml:space="preserve"> </w:t>
      </w:r>
      <w:r w:rsidRPr="00913DCD">
        <w:rPr>
          <w:rFonts w:ascii="Times New Roman" w:eastAsia="宋体" w:hAnsi="Times New Roman" w:cs="+mn-cs"/>
          <w:color w:val="000000"/>
          <w:sz w:val="22"/>
        </w:rPr>
        <w:t xml:space="preserve">GISH images of the wheat line 98M71. Genomic DNA of </w:t>
      </w:r>
      <w:r w:rsidRPr="00913DCD">
        <w:rPr>
          <w:rFonts w:ascii="Times New Roman" w:eastAsia="宋体" w:hAnsi="Times New Roman" w:cs="+mn-cs"/>
          <w:i/>
          <w:iCs/>
          <w:color w:val="000000"/>
          <w:sz w:val="22"/>
        </w:rPr>
        <w:t>Ae. longissima</w:t>
      </w:r>
      <w:r w:rsidRPr="00913DCD">
        <w:rPr>
          <w:rFonts w:ascii="Times New Roman" w:eastAsia="宋体" w:hAnsi="Times New Roman" w:cs="+mn-cs"/>
          <w:color w:val="000000"/>
          <w:sz w:val="22"/>
        </w:rPr>
        <w:t xml:space="preserve"> (S</w:t>
      </w:r>
      <w:r w:rsidRPr="00913DCD">
        <w:rPr>
          <w:rFonts w:ascii="Times New Roman" w:eastAsia="宋体" w:hAnsi="Times New Roman" w:cs="+mn-cs"/>
          <w:color w:val="000000"/>
          <w:position w:val="7"/>
          <w:sz w:val="22"/>
          <w:vertAlign w:val="superscript"/>
        </w:rPr>
        <w:t>l</w:t>
      </w:r>
      <w:r w:rsidRPr="00913DCD">
        <w:rPr>
          <w:rFonts w:ascii="Times New Roman" w:eastAsia="宋体" w:hAnsi="Times New Roman" w:cs="+mn-cs"/>
          <w:color w:val="000000"/>
          <w:sz w:val="22"/>
        </w:rPr>
        <w:t>S</w:t>
      </w:r>
      <w:r w:rsidRPr="00913DCD">
        <w:rPr>
          <w:rFonts w:ascii="Times New Roman" w:eastAsia="宋体" w:hAnsi="Times New Roman" w:cs="+mn-cs"/>
          <w:color w:val="000000"/>
          <w:position w:val="7"/>
          <w:sz w:val="22"/>
          <w:vertAlign w:val="superscript"/>
        </w:rPr>
        <w:t>l</w:t>
      </w:r>
      <w:r w:rsidRPr="00913DCD">
        <w:rPr>
          <w:rFonts w:ascii="Times New Roman" w:eastAsia="宋体" w:hAnsi="Times New Roman" w:cs="+mn-cs"/>
          <w:color w:val="000000"/>
          <w:sz w:val="22"/>
        </w:rPr>
        <w:t xml:space="preserve">) and </w:t>
      </w:r>
      <w:r w:rsidRPr="00913DCD">
        <w:rPr>
          <w:rFonts w:ascii="Times New Roman" w:eastAsia="宋体" w:hAnsi="Times New Roman" w:cs="+mn-cs"/>
          <w:i/>
          <w:iCs/>
          <w:color w:val="000000"/>
          <w:sz w:val="22"/>
        </w:rPr>
        <w:t xml:space="preserve">Ae. sharonensis </w:t>
      </w:r>
      <w:r w:rsidRPr="00913DCD">
        <w:rPr>
          <w:rFonts w:ascii="Times New Roman" w:eastAsia="宋体" w:hAnsi="Times New Roman" w:cs="+mn-cs"/>
          <w:color w:val="000000"/>
          <w:sz w:val="22"/>
        </w:rPr>
        <w:t>(S</w:t>
      </w:r>
      <w:r w:rsidRPr="00913DCD">
        <w:rPr>
          <w:rFonts w:ascii="Times New Roman" w:eastAsia="宋体" w:hAnsi="Times New Roman" w:cs="+mn-cs"/>
          <w:color w:val="000000"/>
          <w:position w:val="7"/>
          <w:sz w:val="22"/>
          <w:vertAlign w:val="superscript"/>
        </w:rPr>
        <w:t>sh</w:t>
      </w:r>
      <w:r w:rsidRPr="00913DCD">
        <w:rPr>
          <w:rFonts w:ascii="Times New Roman" w:eastAsia="宋体" w:hAnsi="Times New Roman" w:cs="+mn-cs"/>
          <w:color w:val="000000"/>
          <w:sz w:val="22"/>
        </w:rPr>
        <w:t>S</w:t>
      </w:r>
      <w:r w:rsidRPr="00913DCD">
        <w:rPr>
          <w:rFonts w:ascii="Times New Roman" w:eastAsia="宋体" w:hAnsi="Times New Roman" w:cs="+mn-cs"/>
          <w:color w:val="000000"/>
          <w:position w:val="7"/>
          <w:sz w:val="22"/>
          <w:vertAlign w:val="superscript"/>
        </w:rPr>
        <w:t>sh</w:t>
      </w:r>
      <w:r w:rsidRPr="00913DCD">
        <w:rPr>
          <w:rFonts w:ascii="Times New Roman" w:eastAsia="宋体" w:hAnsi="Times New Roman" w:cs="+mn-cs"/>
          <w:color w:val="000000"/>
          <w:sz w:val="22"/>
        </w:rPr>
        <w:t>) were labelled by the Atto550 NT labelling kit (red) and Atto488 NT labelling kit (green), respectively. Yellow arrows indicate the introgressed 6S chromosomes.</w:t>
      </w:r>
    </w:p>
    <w:p w14:paraId="1B60B6E2" w14:textId="77777777" w:rsidR="006F481A" w:rsidRPr="006F481A" w:rsidRDefault="006F481A" w:rsidP="0013663E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854CBE6" w14:textId="77777777" w:rsidR="006F481A" w:rsidRPr="006F481A" w:rsidRDefault="006F481A" w:rsidP="006F481A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81F218E" w14:textId="77777777" w:rsidR="006F481A" w:rsidRPr="006F481A" w:rsidRDefault="006F481A" w:rsidP="006F481A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F481A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56D1759" w14:textId="77777777" w:rsidR="0013663E" w:rsidRDefault="0013663E" w:rsidP="006F481A">
      <w:pPr>
        <w:widowControl/>
        <w:jc w:val="left"/>
        <w:rPr>
          <w:rFonts w:ascii="Times New Roman" w:eastAsia="宋体" w:hAnsi="Times New Roman" w:cs="Times New Roman"/>
          <w:noProof/>
          <w:sz w:val="24"/>
          <w:szCs w:val="24"/>
        </w:rPr>
        <w:sectPr w:rsidR="0013663E" w:rsidSect="005B64AF">
          <w:footerReference w:type="default" r:id="rId8"/>
          <w:pgSz w:w="11906" w:h="16838"/>
          <w:pgMar w:top="1440" w:right="1247" w:bottom="1440" w:left="1247" w:header="851" w:footer="992" w:gutter="0"/>
          <w:cols w:space="425"/>
          <w:docGrid w:type="lines" w:linePitch="312"/>
        </w:sectPr>
      </w:pPr>
    </w:p>
    <w:p w14:paraId="7D5706BF" w14:textId="0CDAB64A" w:rsidR="006F481A" w:rsidRPr="006F481A" w:rsidRDefault="0013663E" w:rsidP="0013663E">
      <w:pPr>
        <w:widowControl/>
        <w:jc w:val="center"/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3D9077" wp14:editId="58F6BDC3">
            <wp:extent cx="6297930" cy="3834765"/>
            <wp:effectExtent l="0" t="0" r="7620" b="0"/>
            <wp:docPr id="1197864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AAB624" w14:textId="14FF0591" w:rsidR="006F481A" w:rsidRPr="006F481A" w:rsidRDefault="006F481A" w:rsidP="006F481A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3D5614D" w14:textId="77777777" w:rsidR="0013663E" w:rsidRPr="00F23D26" w:rsidRDefault="006F481A" w:rsidP="0013663E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2"/>
        </w:rPr>
        <w:sectPr w:rsidR="0013663E" w:rsidRPr="00F23D26" w:rsidSect="005B64AF">
          <w:pgSz w:w="11906" w:h="16838"/>
          <w:pgMar w:top="1440" w:right="851" w:bottom="1440" w:left="851" w:header="851" w:footer="992" w:gutter="0"/>
          <w:cols w:space="425"/>
          <w:docGrid w:type="linesAndChars" w:linePitch="312"/>
        </w:sectPr>
      </w:pPr>
      <w:r w:rsidRPr="00F23D26">
        <w:rPr>
          <w:rFonts w:ascii="Times New Roman" w:eastAsia="宋体" w:hAnsi="Times New Roman" w:cs="Times New Roman"/>
          <w:b/>
          <w:bCs/>
          <w:iCs/>
          <w:sz w:val="22"/>
        </w:rPr>
        <w:t xml:space="preserve">Fig. S3 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Micro-collinearity analysis of the 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 xml:space="preserve">Lr53 and Yr35 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candidate region among different 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 xml:space="preserve">Triticeae 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genomes. Candidate genes for our target region were identified from the genome sequences of 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Ae. sharonensis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(TH02 and AS_1644), 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 xml:space="preserve">Ae. longissima 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(TL05 and AEG-6782-2), 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 xml:space="preserve">T. dicoccoides 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(Zavitan, WEW), 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T. durum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 (Svevo), and 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 xml:space="preserve">T. aestivum 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>(Kariega, Arina</w:t>
      </w:r>
      <w:r w:rsidRPr="00F23D26">
        <w:rPr>
          <w:rFonts w:ascii="Times New Roman" w:eastAsia="等线" w:hAnsi="Times New Roman" w:cs="Times New Roman"/>
          <w:i/>
          <w:iCs/>
          <w:color w:val="000000"/>
          <w:kern w:val="24"/>
          <w:sz w:val="22"/>
        </w:rPr>
        <w:t>LrFor</w:t>
      </w:r>
      <w:r w:rsidRPr="00F23D26">
        <w:rPr>
          <w:rFonts w:ascii="Times New Roman" w:eastAsia="等线" w:hAnsi="Times New Roman" w:cs="Times New Roman"/>
          <w:color w:val="000000"/>
          <w:kern w:val="24"/>
          <w:sz w:val="22"/>
        </w:rPr>
        <w:t xml:space="preserve">, Jagger, Fielder, CS = IWGSC). Genes are represented by pentagons. Lines indicate similarity among genes. The figure was generated using the Triticeae-GeneTribe </w:t>
      </w:r>
      <w:r w:rsidRPr="00F23D26">
        <w:rPr>
          <w:rFonts w:ascii="Times New Roman" w:eastAsia="宋体" w:hAnsi="Times New Roman" w:cs="Times New Roman"/>
          <w:sz w:val="22"/>
        </w:rPr>
        <w:t>database (</w:t>
      </w:r>
      <w:hyperlink r:id="rId10" w:history="1">
        <w:r w:rsidRPr="00F23D26">
          <w:rPr>
            <w:rFonts w:ascii="Times New Roman" w:eastAsia="宋体" w:hAnsi="Times New Roman" w:cs="Times New Roman"/>
            <w:color w:val="0563C1"/>
            <w:sz w:val="22"/>
            <w:u w:val="single"/>
          </w:rPr>
          <w:t>http://wheat.cau.edu.cn/TGT/</w:t>
        </w:r>
      </w:hyperlink>
      <w:r w:rsidRPr="00F23D26">
        <w:rPr>
          <w:rFonts w:ascii="Times New Roman" w:eastAsia="宋体" w:hAnsi="Times New Roman" w:cs="Times New Roman"/>
          <w:sz w:val="22"/>
        </w:rPr>
        <w:t xml:space="preserve">) </w:t>
      </w:r>
      <w:r w:rsidRPr="00F23D26">
        <w:rPr>
          <w:rFonts w:ascii="Times New Roman" w:eastAsia="宋体" w:hAnsi="Times New Roman" w:cs="Times New Roman"/>
          <w:sz w:val="22"/>
        </w:rPr>
        <w:fldChar w:fldCharType="begin"/>
      </w:r>
      <w:r w:rsidRPr="00F23D26">
        <w:rPr>
          <w:rFonts w:ascii="Times New Roman" w:eastAsia="宋体" w:hAnsi="Times New Roman" w:cs="Times New Roman"/>
          <w:sz w:val="22"/>
        </w:rPr>
        <w:instrText xml:space="preserve"> ADDIN EN.CITE &lt;EndNote&gt;&lt;Cite&gt;&lt;Author&gt;Chen&lt;/Author&gt;&lt;Year&gt;2020&lt;/Year&gt;&lt;RecNum&gt;554&lt;/RecNum&gt;&lt;DisplayText&gt;(Chen et al. 2020)&lt;/DisplayText&gt;&lt;record&gt;&lt;rec-number&gt;554&lt;/rec-number&gt;&lt;foreign-keys&gt;&lt;key app="EN" db-id="x5aszwsf7ft9xhe2zv0x0pv4sdxetzwzaavr" timestamp="1673406100"&gt;554&lt;/key&gt;&lt;/foreign-keys&gt;&lt;ref-type name="Journal Article"&gt;17&lt;/ref-type&gt;&lt;contributors&gt;&lt;authors&gt;&lt;author&gt;Chen, Yongming&lt;/author&gt;&lt;author&gt;Song, Wanjun&lt;/author&gt;&lt;author&gt;Xie, Xiaoming&lt;/author&gt;&lt;author&gt;Wang, Zihao&lt;/author&gt;&lt;author&gt;Guan, Panfeng&lt;/author&gt;&lt;author&gt;Peng, Huiru&lt;/author&gt;&lt;author&gt;Jiao, Yuannian&lt;/author&gt;&lt;author&gt;Ni, Zhongfu&lt;/author&gt;&lt;author&gt;Sun, Qixin&lt;/author&gt;&lt;author&gt;Guo, Weilong&lt;/author&gt;&lt;/authors&gt;&lt;/contributors&gt;&lt;titles&gt;&lt;title&gt;A collinearity-incorporating homology inference strategy for connecting emerging assemblies in the triticeae tribe as a pilot practice in the plant pangenomic era&lt;/title&gt;&lt;secondary-title&gt;Molecular Plant&lt;/secondary-title&gt;&lt;/titles&gt;&lt;periodical&gt;&lt;full-title&gt;Molecular Plant&lt;/full-title&gt;&lt;/periodical&gt;&lt;pages&gt;1694-1708&lt;/pages&gt;&lt;volume&gt;13&lt;/volume&gt;&lt;number&gt;12&lt;/number&gt;&lt;dates&gt;&lt;year&gt;2020&lt;/year&gt;&lt;/dates&gt;&lt;isbn&gt;1674-2052&lt;/isbn&gt;&lt;urls&gt;&lt;/urls&gt;&lt;/record&gt;&lt;/Cite&gt;&lt;/EndNote&gt;</w:instrText>
      </w:r>
      <w:r w:rsidRPr="00F23D26">
        <w:rPr>
          <w:rFonts w:ascii="Times New Roman" w:eastAsia="宋体" w:hAnsi="Times New Roman" w:cs="Times New Roman"/>
          <w:sz w:val="22"/>
        </w:rPr>
        <w:fldChar w:fldCharType="separate"/>
      </w:r>
      <w:r w:rsidRPr="00F23D26">
        <w:rPr>
          <w:rFonts w:ascii="Times New Roman" w:eastAsia="宋体" w:hAnsi="Times New Roman" w:cs="Times New Roman"/>
          <w:noProof/>
          <w:sz w:val="22"/>
        </w:rPr>
        <w:t>(Chen et al. 2020)</w:t>
      </w:r>
      <w:r w:rsidRPr="00F23D26">
        <w:rPr>
          <w:rFonts w:ascii="Times New Roman" w:eastAsia="宋体" w:hAnsi="Times New Roman" w:cs="Times New Roman"/>
          <w:sz w:val="22"/>
        </w:rPr>
        <w:fldChar w:fldCharType="end"/>
      </w:r>
      <w:r w:rsidRPr="00F23D26">
        <w:rPr>
          <w:rFonts w:ascii="Times New Roman" w:eastAsia="宋体" w:hAnsi="Times New Roman" w:cs="Times New Roman"/>
          <w:sz w:val="22"/>
        </w:rPr>
        <w:t>.</w:t>
      </w:r>
    </w:p>
    <w:p w14:paraId="6BD4FBDD" w14:textId="4C028BFB" w:rsidR="006F481A" w:rsidRPr="00D418BE" w:rsidRDefault="006F481A" w:rsidP="0013663E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30FCCE8" w14:textId="7BB6833B" w:rsidR="0013663E" w:rsidRDefault="0013663E" w:rsidP="0013663E">
      <w:pPr>
        <w:widowControl/>
        <w:jc w:val="center"/>
        <w:rPr>
          <w:rFonts w:ascii="Times New Roman" w:eastAsia="宋体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iCs/>
          <w:noProof/>
          <w:sz w:val="24"/>
          <w:szCs w:val="24"/>
        </w:rPr>
        <w:drawing>
          <wp:inline distT="0" distB="0" distL="0" distR="0" wp14:anchorId="3441ED00" wp14:editId="20125E40">
            <wp:extent cx="4243070" cy="4676140"/>
            <wp:effectExtent l="0" t="0" r="0" b="0"/>
            <wp:docPr id="12323732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46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E11F0" w14:textId="77777777" w:rsidR="006F481A" w:rsidRDefault="006F481A" w:rsidP="0013663E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24"/>
          <w:sz w:val="22"/>
        </w:rPr>
      </w:pPr>
      <w:r w:rsidRPr="00F23D26">
        <w:rPr>
          <w:rFonts w:ascii="Times New Roman" w:eastAsia="宋体" w:hAnsi="Times New Roman" w:cs="Times New Roman"/>
          <w:b/>
          <w:bCs/>
          <w:iCs/>
          <w:sz w:val="22"/>
        </w:rPr>
        <w:t xml:space="preserve">Fig. S4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Transcript levels of </w:t>
      </w:r>
      <w:r w:rsidRPr="00F23D26">
        <w:rPr>
          <w:rFonts w:ascii="Times New Roman" w:eastAsia="等线" w:hAnsi="Times New Roman" w:cs="Times New Roman"/>
          <w:b/>
          <w:bCs/>
          <w:color w:val="000000"/>
          <w:sz w:val="22"/>
        </w:rPr>
        <w:t>(a)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F23D26">
        <w:rPr>
          <w:rFonts w:ascii="Times New Roman" w:eastAsia="宋体" w:hAnsi="Times New Roman" w:cs="Times New Roman"/>
          <w:i/>
          <w:iCs/>
          <w:color w:val="000000"/>
          <w:kern w:val="24"/>
          <w:sz w:val="22"/>
        </w:rPr>
        <w:t>Ae.longissima.TL05.6S01G0003400.1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and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F23D26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(b) </w:t>
      </w:r>
      <w:r w:rsidRPr="00F23D26">
        <w:rPr>
          <w:rFonts w:ascii="Times New Roman" w:eastAsia="宋体" w:hAnsi="Times New Roman" w:cs="Times New Roman"/>
          <w:i/>
          <w:iCs/>
          <w:color w:val="000000"/>
          <w:kern w:val="24"/>
          <w:sz w:val="22"/>
        </w:rPr>
        <w:t>Ae.longissima.TL05.6S01G0003400.1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>in mock-inoculated (green)</w:t>
      </w:r>
      <w:r w:rsidR="0013663E"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 xml:space="preserve"> </w:t>
      </w:r>
      <w:r w:rsidR="0013663E" w:rsidRPr="00F23D26">
        <w:rPr>
          <w:rFonts w:ascii="Times New Roman" w:eastAsia="等线" w:hAnsi="Times New Roman" w:cs="Times New Roman"/>
          <w:color w:val="000000"/>
          <w:sz w:val="22"/>
        </w:rPr>
        <w:t xml:space="preserve">and </w:t>
      </w:r>
      <w:r w:rsidR="0013663E"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Pt</w:t>
      </w:r>
      <w:r w:rsidR="0013663E" w:rsidRPr="00F23D26">
        <w:rPr>
          <w:rFonts w:ascii="Times New Roman" w:eastAsia="等线" w:hAnsi="Times New Roman" w:cs="Times New Roman"/>
          <w:color w:val="000000"/>
          <w:sz w:val="22"/>
        </w:rPr>
        <w:t xml:space="preserve">-inoculated (blue)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plants </w:t>
      </w:r>
      <w:r w:rsidR="0013663E" w:rsidRPr="00F23D26">
        <w:rPr>
          <w:rFonts w:ascii="Times New Roman" w:eastAsia="等线" w:hAnsi="Times New Roman" w:cs="Times New Roman"/>
          <w:color w:val="000000"/>
          <w:sz w:val="22"/>
        </w:rPr>
        <w:t xml:space="preserve">of 98M71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>at 6 d post-inoculation (dpi).</w:t>
      </w:r>
      <w:r w:rsidRPr="00F23D26">
        <w:rPr>
          <w:rFonts w:ascii="Times New Roman" w:eastAsia="宋体" w:hAnsi="Times New Roman" w:cs="Times New Roman"/>
          <w:color w:val="0070C0"/>
          <w:sz w:val="22"/>
        </w:rPr>
        <w:t xml:space="preserve">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Seedlings of 98M71 was inoculated with 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Pt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race THDB and mock inoculated in two independent growth chambers and leaf samples from different plants were collected at 6 dpi. Transcript levels were expressed as fold-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Actin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(n = 4). Error bars represent standard errors of the mean. 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>*</w:t>
      </w:r>
      <w:r w:rsidRPr="00F23D26">
        <w:rPr>
          <w:rFonts w:ascii="Times New Roman" w:eastAsia="宋体" w:hAnsi="Times New Roman" w:cs="Times New Roman"/>
          <w:i/>
          <w:iCs/>
          <w:color w:val="000000"/>
          <w:kern w:val="24"/>
          <w:sz w:val="22"/>
        </w:rPr>
        <w:t>P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&lt; 0.05; **</w:t>
      </w:r>
      <w:r w:rsidRPr="00F23D26">
        <w:rPr>
          <w:rFonts w:ascii="Times New Roman" w:eastAsia="宋体" w:hAnsi="Times New Roman" w:cs="Times New Roman"/>
          <w:i/>
          <w:iCs/>
          <w:color w:val="000000"/>
          <w:kern w:val="24"/>
          <w:sz w:val="22"/>
        </w:rPr>
        <w:t>P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&lt; 0.01.</w:t>
      </w:r>
    </w:p>
    <w:p w14:paraId="4FF5233C" w14:textId="77777777" w:rsidR="007D359A" w:rsidRDefault="007D359A" w:rsidP="0013663E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24"/>
          <w:sz w:val="22"/>
        </w:rPr>
      </w:pPr>
    </w:p>
    <w:p w14:paraId="12BA8D72" w14:textId="5011EE51" w:rsidR="007D359A" w:rsidRDefault="007D359A">
      <w:pPr>
        <w:widowControl/>
        <w:jc w:val="left"/>
        <w:rPr>
          <w:rFonts w:ascii="Times New Roman" w:eastAsia="宋体" w:hAnsi="Times New Roman" w:cs="Times New Roman"/>
          <w:color w:val="000000"/>
          <w:kern w:val="24"/>
          <w:sz w:val="22"/>
        </w:rPr>
      </w:pPr>
      <w:r>
        <w:rPr>
          <w:rFonts w:ascii="Times New Roman" w:eastAsia="宋体" w:hAnsi="Times New Roman" w:cs="Times New Roman"/>
          <w:color w:val="000000"/>
          <w:kern w:val="24"/>
          <w:sz w:val="22"/>
        </w:rPr>
        <w:br w:type="page"/>
      </w:r>
    </w:p>
    <w:p w14:paraId="5AF06C5F" w14:textId="711EFF7A" w:rsidR="007D359A" w:rsidRDefault="00BE36ED" w:rsidP="00BE36ED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24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24"/>
          <w:sz w:val="22"/>
        </w:rPr>
        <w:lastRenderedPageBreak/>
        <w:drawing>
          <wp:inline distT="0" distB="0" distL="0" distR="0" wp14:anchorId="74B556AC" wp14:editId="2EB5021E">
            <wp:extent cx="3919855" cy="4633595"/>
            <wp:effectExtent l="0" t="0" r="0" b="0"/>
            <wp:docPr id="13548669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463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ADA0F" w14:textId="73FD8B8D" w:rsidR="00BE36ED" w:rsidRDefault="00BE36ED" w:rsidP="00BE36ED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24"/>
          <w:sz w:val="22"/>
        </w:rPr>
      </w:pPr>
      <w:r w:rsidRPr="00F23D26">
        <w:rPr>
          <w:rFonts w:ascii="Times New Roman" w:eastAsia="宋体" w:hAnsi="Times New Roman" w:cs="Times New Roman"/>
          <w:b/>
          <w:bCs/>
          <w:iCs/>
          <w:sz w:val="22"/>
        </w:rPr>
        <w:t>Fig. S</w:t>
      </w:r>
      <w:r>
        <w:rPr>
          <w:rFonts w:ascii="Times New Roman" w:eastAsia="宋体" w:hAnsi="Times New Roman" w:cs="Times New Roman"/>
          <w:b/>
          <w:bCs/>
          <w:iCs/>
          <w:sz w:val="22"/>
        </w:rPr>
        <w:t>5</w:t>
      </w:r>
      <w:r w:rsidRPr="00F23D26">
        <w:rPr>
          <w:rFonts w:ascii="Times New Roman" w:eastAsia="宋体" w:hAnsi="Times New Roman" w:cs="Times New Roman"/>
          <w:b/>
          <w:bCs/>
          <w:iCs/>
          <w:sz w:val="22"/>
        </w:rPr>
        <w:t xml:space="preserve">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Transcript levels of </w:t>
      </w:r>
      <w:r w:rsidRPr="00F23D26">
        <w:rPr>
          <w:rFonts w:ascii="Times New Roman" w:eastAsia="等线" w:hAnsi="Times New Roman" w:cs="Times New Roman"/>
          <w:b/>
          <w:bCs/>
          <w:color w:val="000000"/>
          <w:sz w:val="22"/>
        </w:rPr>
        <w:t>(a)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="0060663E" w:rsidRPr="0060663E">
        <w:rPr>
          <w:rFonts w:ascii="Times New Roman" w:eastAsia="等线" w:hAnsi="Times New Roman" w:cs="Times New Roman"/>
          <w:i/>
          <w:iCs/>
          <w:color w:val="000000"/>
          <w:sz w:val="22"/>
        </w:rPr>
        <w:t>Ae.longissima.TL05.6S01G0003200.1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and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F23D26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(b) </w:t>
      </w:r>
      <w:r w:rsidR="0060663E" w:rsidRPr="0060663E">
        <w:rPr>
          <w:rFonts w:ascii="Times New Roman" w:eastAsia="等线" w:hAnsi="Times New Roman" w:cs="Times New Roman"/>
          <w:i/>
          <w:iCs/>
          <w:color w:val="000000"/>
          <w:sz w:val="22"/>
        </w:rPr>
        <w:t>Ae.longissima.TL05.6S01G0009000.1</w:t>
      </w:r>
      <w:r w:rsidR="0060663E">
        <w:rPr>
          <w:rFonts w:cs="Times New Roman"/>
          <w:i/>
          <w:iCs/>
          <w:noProof/>
          <w:sz w:val="24"/>
        </w:rPr>
        <w:t xml:space="preserve">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>in mock-inoculated (green)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 xml:space="preserve">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and 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P</w:t>
      </w:r>
      <w:r w:rsidR="0060663E">
        <w:rPr>
          <w:rFonts w:ascii="Times New Roman" w:eastAsia="等线" w:hAnsi="Times New Roman" w:cs="Times New Roman"/>
          <w:i/>
          <w:iCs/>
          <w:color w:val="000000"/>
          <w:sz w:val="22"/>
        </w:rPr>
        <w:t>s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t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>-inoculated (blue) plants of 98M71 at 6 dpi.</w:t>
      </w:r>
      <w:r w:rsidRPr="00F23D26">
        <w:rPr>
          <w:rFonts w:ascii="Times New Roman" w:eastAsia="宋体" w:hAnsi="Times New Roman" w:cs="Times New Roman"/>
          <w:color w:val="0070C0"/>
          <w:sz w:val="22"/>
        </w:rPr>
        <w:t xml:space="preserve"> 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Seedlings of 98M71 was inoculated with 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P</w:t>
      </w:r>
      <w:r w:rsidR="0060663E">
        <w:rPr>
          <w:rFonts w:ascii="Times New Roman" w:eastAsia="等线" w:hAnsi="Times New Roman" w:cs="Times New Roman"/>
          <w:i/>
          <w:iCs/>
          <w:color w:val="000000"/>
          <w:sz w:val="22"/>
        </w:rPr>
        <w:t>s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t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race </w:t>
      </w:r>
      <w:r w:rsidR="0060663E" w:rsidRPr="0060663E">
        <w:rPr>
          <w:rFonts w:ascii="Times New Roman" w:eastAsia="等线" w:hAnsi="Times New Roman" w:cs="Times New Roman"/>
          <w:color w:val="000000"/>
          <w:sz w:val="22"/>
        </w:rPr>
        <w:t>CYR34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and mock inoculated in two independent growth chambers and leaf samples from different plants were collected at 6 dpi. Transcript levels were expressed as fold-</w:t>
      </w:r>
      <w:r w:rsidRPr="00F23D26">
        <w:rPr>
          <w:rFonts w:ascii="Times New Roman" w:eastAsia="等线" w:hAnsi="Times New Roman" w:cs="Times New Roman"/>
          <w:i/>
          <w:iCs/>
          <w:color w:val="000000"/>
          <w:sz w:val="22"/>
        </w:rPr>
        <w:t>Actin</w:t>
      </w:r>
      <w:r w:rsidRPr="00F23D26">
        <w:rPr>
          <w:rFonts w:ascii="Times New Roman" w:eastAsia="等线" w:hAnsi="Times New Roman" w:cs="Times New Roman"/>
          <w:color w:val="000000"/>
          <w:sz w:val="22"/>
        </w:rPr>
        <w:t xml:space="preserve"> (n = 4). Error bars represent standard errors of the mean. 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>*</w:t>
      </w:r>
      <w:r w:rsidRPr="00F23D26">
        <w:rPr>
          <w:rFonts w:ascii="Times New Roman" w:eastAsia="宋体" w:hAnsi="Times New Roman" w:cs="Times New Roman"/>
          <w:i/>
          <w:iCs/>
          <w:color w:val="000000"/>
          <w:kern w:val="24"/>
          <w:sz w:val="22"/>
        </w:rPr>
        <w:t>P</w:t>
      </w:r>
      <w:r w:rsidRPr="00F23D26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&lt; 0.05.</w:t>
      </w:r>
    </w:p>
    <w:p w14:paraId="038CEAA2" w14:textId="77777777" w:rsidR="007D359A" w:rsidRDefault="007D359A" w:rsidP="0013663E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24"/>
          <w:sz w:val="22"/>
        </w:rPr>
      </w:pPr>
    </w:p>
    <w:p w14:paraId="64CF35F5" w14:textId="70E2D388" w:rsidR="007D359A" w:rsidRPr="00F23D26" w:rsidRDefault="007D359A" w:rsidP="0013663E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2"/>
        </w:rPr>
        <w:sectPr w:rsidR="007D359A" w:rsidRPr="00F23D26" w:rsidSect="005B64AF">
          <w:pgSz w:w="11906" w:h="16838"/>
          <w:pgMar w:top="1440" w:right="1247" w:bottom="1440" w:left="1247" w:header="851" w:footer="992" w:gutter="0"/>
          <w:cols w:space="425"/>
          <w:docGrid w:type="lines" w:linePitch="312"/>
        </w:sectPr>
      </w:pPr>
    </w:p>
    <w:p w14:paraId="7C55EEC3" w14:textId="7CFF97DF" w:rsidR="006F481A" w:rsidRPr="006F481A" w:rsidRDefault="00D17733" w:rsidP="006F481A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39C6CD" wp14:editId="09618387">
            <wp:extent cx="6242685" cy="4389755"/>
            <wp:effectExtent l="0" t="0" r="5715" b="0"/>
            <wp:docPr id="19188167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38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5AB39" w14:textId="44548A33" w:rsidR="006F481A" w:rsidRPr="00F23D26" w:rsidRDefault="006F481A" w:rsidP="00505733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23D26">
        <w:rPr>
          <w:rFonts w:ascii="Times New Roman" w:eastAsia="宋体" w:hAnsi="Times New Roman" w:cs="Times New Roman"/>
          <w:b/>
          <w:bCs/>
          <w:iCs/>
          <w:kern w:val="0"/>
          <w:sz w:val="22"/>
        </w:rPr>
        <w:t>Fig. S</w:t>
      </w:r>
      <w:r w:rsidR="000A4AAC">
        <w:rPr>
          <w:rFonts w:ascii="Times New Roman" w:eastAsia="宋体" w:hAnsi="Times New Roman" w:cs="Times New Roman"/>
          <w:b/>
          <w:bCs/>
          <w:iCs/>
          <w:kern w:val="0"/>
          <w:sz w:val="22"/>
        </w:rPr>
        <w:t>6</w:t>
      </w:r>
      <w:r w:rsidRPr="00F23D26">
        <w:rPr>
          <w:rFonts w:ascii="Times New Roman" w:eastAsia="宋体" w:hAnsi="Times New Roman" w:cs="Times New Roman"/>
          <w:b/>
          <w:bCs/>
          <w:iCs/>
          <w:kern w:val="0"/>
          <w:sz w:val="22"/>
        </w:rPr>
        <w:t xml:space="preserve"> </w:t>
      </w:r>
      <w:r w:rsidRPr="00F23D26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PCR amplification with the marker </w:t>
      </w:r>
      <w:r w:rsidRPr="00F23D26">
        <w:rPr>
          <w:rFonts w:ascii="Times New Roman" w:eastAsia="微软雅黑" w:hAnsi="Times New Roman" w:cs="Times New Roman"/>
          <w:i/>
          <w:iCs/>
          <w:color w:val="000000"/>
          <w:kern w:val="24"/>
          <w:sz w:val="22"/>
        </w:rPr>
        <w:t>pku6B3127</w:t>
      </w:r>
      <w:r w:rsidRPr="00F23D26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 and treatment of the amplified PCR products with restriction enzyme </w:t>
      </w:r>
      <w:r w:rsidRPr="00F23D26">
        <w:rPr>
          <w:rFonts w:ascii="Times New Roman" w:eastAsia="微软雅黑" w:hAnsi="Times New Roman" w:cs="Times New Roman"/>
          <w:i/>
          <w:iCs/>
          <w:color w:val="000000"/>
          <w:kern w:val="24"/>
          <w:sz w:val="22"/>
        </w:rPr>
        <w:t>Ava</w:t>
      </w:r>
      <w:r w:rsidRPr="00F23D26">
        <w:rPr>
          <w:rFonts w:ascii="Times New Roman" w:eastAsia="微软雅黑" w:hAnsi="Times New Roman" w:cs="Times New Roman"/>
          <w:color w:val="000000"/>
          <w:kern w:val="24"/>
          <w:sz w:val="22"/>
        </w:rPr>
        <w:t>I. The bands of 418-bp and 700-bp (red arrow) are present only in the introgression line 98M71 (Table S1</w:t>
      </w:r>
      <w:r w:rsidR="000A4AAC">
        <w:rPr>
          <w:rFonts w:ascii="Times New Roman" w:eastAsia="微软雅黑" w:hAnsi="Times New Roman" w:cs="Times New Roman"/>
          <w:color w:val="000000"/>
          <w:kern w:val="24"/>
          <w:sz w:val="22"/>
        </w:rPr>
        <w:t>4</w:t>
      </w:r>
      <w:r w:rsidRPr="00F23D26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). No amplification product was found in 11 tested </w:t>
      </w:r>
      <w:r w:rsidRPr="00F23D26">
        <w:rPr>
          <w:rFonts w:ascii="Times New Roman" w:eastAsia="微软雅黑" w:hAnsi="Times New Roman" w:cs="Times New Roman"/>
          <w:i/>
          <w:iCs/>
          <w:color w:val="000000"/>
          <w:kern w:val="24"/>
          <w:sz w:val="22"/>
        </w:rPr>
        <w:t xml:space="preserve">T. turgidum </w:t>
      </w:r>
      <w:r w:rsidRPr="00F23D26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(e.g. PI 221400, PI225332, and PI 254164). Treatment of the amplified PCR products with restriction enzyme </w:t>
      </w:r>
      <w:r w:rsidRPr="00F23D26">
        <w:rPr>
          <w:rFonts w:ascii="Times New Roman" w:eastAsia="微软雅黑" w:hAnsi="Times New Roman" w:cs="Times New Roman"/>
          <w:i/>
          <w:iCs/>
          <w:color w:val="000000"/>
          <w:kern w:val="24"/>
          <w:sz w:val="22"/>
        </w:rPr>
        <w:t>Ava</w:t>
      </w:r>
      <w:r w:rsidRPr="00F23D26">
        <w:rPr>
          <w:rFonts w:ascii="Times New Roman" w:eastAsia="微软雅黑" w:hAnsi="Times New Roman" w:cs="Times New Roman"/>
          <w:color w:val="000000"/>
          <w:kern w:val="24"/>
          <w:sz w:val="22"/>
        </w:rPr>
        <w:t>I generated a single 1118-bp (green arrow) band for the other tetraploid wheat accessions (e.g. CItr7687, CItr12213, and CItr12214). M, DNA ladders.</w:t>
      </w:r>
    </w:p>
    <w:p w14:paraId="5F767143" w14:textId="77777777" w:rsidR="006F481A" w:rsidRPr="006F481A" w:rsidRDefault="006F481A" w:rsidP="006F481A">
      <w:pPr>
        <w:widowControl/>
        <w:jc w:val="left"/>
        <w:rPr>
          <w:rFonts w:ascii="Times New Roman" w:eastAsia="宋体" w:hAnsi="Times New Roman" w:cs="Times New Roman"/>
          <w:sz w:val="24"/>
        </w:rPr>
        <w:sectPr w:rsidR="006F481A" w:rsidRPr="006F481A" w:rsidSect="005B64AF">
          <w:pgSz w:w="11906" w:h="16838"/>
          <w:pgMar w:top="1440" w:right="851" w:bottom="1440" w:left="851" w:header="851" w:footer="992" w:gutter="0"/>
          <w:cols w:space="425"/>
          <w:docGrid w:type="linesAndChars" w:linePitch="312"/>
        </w:sectPr>
      </w:pPr>
    </w:p>
    <w:p w14:paraId="2989E886" w14:textId="2F0EA6B8" w:rsidR="003B4DC5" w:rsidRDefault="003B4DC5" w:rsidP="003B4DC5">
      <w:pPr>
        <w:jc w:val="center"/>
        <w:rPr>
          <w:rFonts w:ascii="Times New Roman" w:eastAsia="宋体" w:hAnsi="Times New Roman" w:cs="Times New Roman"/>
          <w:b/>
          <w:sz w:val="22"/>
        </w:rPr>
      </w:pPr>
      <w:r>
        <w:rPr>
          <w:rFonts w:ascii="Times New Roman" w:eastAsia="宋体" w:hAnsi="Times New Roman" w:cs="Times New Roman"/>
          <w:b/>
          <w:noProof/>
          <w:sz w:val="22"/>
        </w:rPr>
        <w:lastRenderedPageBreak/>
        <w:drawing>
          <wp:inline distT="0" distB="0" distL="0" distR="0" wp14:anchorId="468EDC61" wp14:editId="76E2DF41">
            <wp:extent cx="4269600" cy="3798000"/>
            <wp:effectExtent l="0" t="0" r="0" b="0"/>
            <wp:docPr id="3079474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00" cy="379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3B5677" w14:textId="1D882C13" w:rsidR="003B4DC5" w:rsidRPr="003B4DC5" w:rsidRDefault="003B4DC5" w:rsidP="003B4DC5">
      <w:pPr>
        <w:widowControl/>
        <w:spacing w:line="360" w:lineRule="auto"/>
        <w:jc w:val="left"/>
        <w:rPr>
          <w:rFonts w:ascii="Times New Roman" w:eastAsia="微软雅黑" w:hAnsi="Times New Roman" w:cs="Times New Roman"/>
          <w:color w:val="000000"/>
          <w:kern w:val="24"/>
          <w:sz w:val="22"/>
        </w:rPr>
      </w:pPr>
      <w:bookmarkStart w:id="0" w:name="OLE_LINK75"/>
      <w:r w:rsidRPr="003B4DC5">
        <w:rPr>
          <w:rFonts w:ascii="Times New Roman" w:eastAsia="微软雅黑" w:hAnsi="Times New Roman" w:cs="Times New Roman"/>
          <w:b/>
          <w:bCs/>
          <w:color w:val="000000"/>
          <w:kern w:val="24"/>
          <w:sz w:val="22"/>
        </w:rPr>
        <w:t xml:space="preserve">Fig. </w:t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2"/>
        </w:rPr>
        <w:t>S7</w:t>
      </w:r>
      <w:r w:rsidRPr="003B4DC5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 </w:t>
      </w:r>
      <w:bookmarkEnd w:id="0"/>
      <w:r w:rsidRPr="003B4DC5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Fluorescence in situ hybridization (FISH) image of </w:t>
      </w:r>
      <w:r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the </w:t>
      </w:r>
      <w:r w:rsidRPr="003B4DC5">
        <w:rPr>
          <w:rFonts w:ascii="Times New Roman" w:eastAsia="微软雅黑" w:hAnsi="Times New Roman" w:cs="Times New Roman"/>
          <w:color w:val="000000"/>
          <w:kern w:val="24"/>
          <w:sz w:val="22"/>
        </w:rPr>
        <w:t>resistant recombinant line</w:t>
      </w:r>
      <w:r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 </w:t>
      </w:r>
      <w:r w:rsidRPr="003B4DC5">
        <w:rPr>
          <w:rFonts w:ascii="Times New Roman" w:eastAsia="微软雅黑" w:hAnsi="Times New Roman" w:cs="Times New Roman"/>
          <w:color w:val="000000"/>
          <w:kern w:val="24"/>
          <w:sz w:val="22"/>
        </w:rPr>
        <w:t>C580. Probes pSc119.2 (green), pTa535 (red), and pTa713 (yellow) were used for the hybridization experiments. Y</w:t>
      </w:r>
      <w:r w:rsidRPr="003B4DC5">
        <w:rPr>
          <w:rFonts w:ascii="Times New Roman" w:eastAsia="微软雅黑" w:hAnsi="Times New Roman" w:cs="Times New Roman" w:hint="eastAsia"/>
          <w:color w:val="000000"/>
          <w:kern w:val="24"/>
          <w:sz w:val="22"/>
        </w:rPr>
        <w:t>ellow</w:t>
      </w:r>
      <w:r w:rsidRPr="003B4DC5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 arrows indicate the Oligo-pSc119.2 signals in the telomeric region of the alien chromosome arm 6SS and white arrows represent the Oligo-pSc119.2 signals in the telomeric region of wheat (CS) chromosome arm 6BL. </w:t>
      </w:r>
    </w:p>
    <w:p w14:paraId="5ED4FFAB" w14:textId="77777777" w:rsidR="003B4DC5" w:rsidRDefault="003B4DC5" w:rsidP="00F23D26">
      <w:pPr>
        <w:ind w:left="442" w:hangingChars="200" w:hanging="442"/>
        <w:jc w:val="left"/>
        <w:rPr>
          <w:rFonts w:ascii="Times New Roman" w:eastAsia="宋体" w:hAnsi="Times New Roman" w:cs="Times New Roman"/>
          <w:b/>
          <w:sz w:val="22"/>
        </w:rPr>
      </w:pPr>
    </w:p>
    <w:p w14:paraId="404AB934" w14:textId="1B9ED32C" w:rsidR="002A5A47" w:rsidRDefault="002A5A47">
      <w:pPr>
        <w:widowControl/>
        <w:jc w:val="left"/>
        <w:rPr>
          <w:rFonts w:ascii="Times New Roman" w:eastAsia="宋体" w:hAnsi="Times New Roman" w:cs="Times New Roman"/>
          <w:b/>
          <w:sz w:val="22"/>
        </w:rPr>
      </w:pPr>
      <w:r>
        <w:rPr>
          <w:rFonts w:ascii="Times New Roman" w:eastAsia="宋体" w:hAnsi="Times New Roman" w:cs="Times New Roman"/>
          <w:b/>
          <w:sz w:val="22"/>
        </w:rPr>
        <w:br w:type="page"/>
      </w:r>
    </w:p>
    <w:p w14:paraId="0D2EECFC" w14:textId="77777777" w:rsidR="002A5A47" w:rsidRDefault="002A5A47" w:rsidP="00F23D26">
      <w:pPr>
        <w:ind w:left="442" w:hangingChars="200" w:hanging="442"/>
        <w:jc w:val="left"/>
        <w:rPr>
          <w:rFonts w:ascii="Times New Roman" w:eastAsia="宋体" w:hAnsi="Times New Roman" w:cs="Times New Roman"/>
          <w:b/>
          <w:sz w:val="22"/>
        </w:rPr>
        <w:sectPr w:rsidR="002A5A47" w:rsidSect="005B64AF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7180412" w14:textId="0B47FA54" w:rsidR="002A5A47" w:rsidRDefault="002A5A47" w:rsidP="002A5A47">
      <w:pPr>
        <w:ind w:left="442" w:hangingChars="200" w:hanging="442"/>
        <w:jc w:val="center"/>
        <w:rPr>
          <w:rFonts w:ascii="Times New Roman" w:eastAsia="宋体" w:hAnsi="Times New Roman" w:cs="Times New Roman"/>
          <w:b/>
          <w:sz w:val="22"/>
        </w:rPr>
      </w:pPr>
      <w:r>
        <w:rPr>
          <w:rFonts w:ascii="Times New Roman" w:eastAsia="宋体" w:hAnsi="Times New Roman" w:cs="Times New Roman"/>
          <w:b/>
          <w:noProof/>
          <w:sz w:val="22"/>
        </w:rPr>
        <w:lastRenderedPageBreak/>
        <w:drawing>
          <wp:inline distT="0" distB="0" distL="0" distR="0" wp14:anchorId="5F9EE8DE" wp14:editId="27F55EF1">
            <wp:extent cx="5560060" cy="4237355"/>
            <wp:effectExtent l="0" t="0" r="2540" b="0"/>
            <wp:docPr id="1306092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423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88126" w14:textId="43A064A6" w:rsidR="002A5A47" w:rsidRDefault="002A5A47" w:rsidP="002A5A47">
      <w:pPr>
        <w:spacing w:line="360" w:lineRule="auto"/>
        <w:jc w:val="left"/>
        <w:rPr>
          <w:rFonts w:ascii="Times New Roman" w:eastAsia="宋体" w:hAnsi="Times New Roman" w:cs="Times New Roman"/>
          <w:b/>
          <w:sz w:val="22"/>
        </w:rPr>
      </w:pPr>
      <w:r w:rsidRPr="003B4DC5">
        <w:rPr>
          <w:rFonts w:ascii="Times New Roman" w:eastAsia="微软雅黑" w:hAnsi="Times New Roman" w:cs="Times New Roman"/>
          <w:b/>
          <w:bCs/>
          <w:color w:val="000000"/>
          <w:kern w:val="24"/>
          <w:sz w:val="22"/>
        </w:rPr>
        <w:t xml:space="preserve">Fig. </w:t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2"/>
        </w:rPr>
        <w:t>S</w:t>
      </w:r>
      <w:r w:rsidR="00264989">
        <w:rPr>
          <w:rFonts w:ascii="Times New Roman" w:eastAsia="微软雅黑" w:hAnsi="Times New Roman" w:cs="Times New Roman"/>
          <w:b/>
          <w:bCs/>
          <w:color w:val="000000"/>
          <w:kern w:val="24"/>
          <w:sz w:val="22"/>
        </w:rPr>
        <w:t>8</w:t>
      </w:r>
      <w:r w:rsidRPr="003B4DC5">
        <w:rPr>
          <w:rFonts w:ascii="Times New Roman" w:eastAsia="微软雅黑" w:hAnsi="Times New Roman" w:cs="Times New Roman"/>
          <w:color w:val="000000"/>
          <w:kern w:val="24"/>
          <w:sz w:val="22"/>
        </w:rPr>
        <w:t xml:space="preserve"> </w:t>
      </w:r>
      <w:r w:rsidRPr="002A5A47">
        <w:rPr>
          <w:rFonts w:ascii="Times New Roman" w:hAnsi="Times New Roman" w:cs="Times New Roman"/>
          <w:noProof/>
          <w:sz w:val="24"/>
        </w:rPr>
        <w:t xml:space="preserve">Infection types observed in </w:t>
      </w:r>
      <w:bookmarkStart w:id="1" w:name="_Hlk156985984"/>
      <w:r w:rsidRPr="002A5A47">
        <w:rPr>
          <w:rFonts w:ascii="Times New Roman" w:hAnsi="Times New Roman" w:cs="Times New Roman"/>
          <w:noProof/>
          <w:sz w:val="24"/>
        </w:rPr>
        <w:t xml:space="preserve">the </w:t>
      </w:r>
      <w:r w:rsidRPr="002A5A47">
        <w:rPr>
          <w:rFonts w:ascii="Times New Roman" w:hAnsi="Times New Roman" w:cs="Times New Roman"/>
          <w:noProof/>
          <w:sz w:val="24"/>
        </w:rPr>
        <w:t>recombinant line</w:t>
      </w:r>
      <w:bookmarkEnd w:id="1"/>
      <w:r w:rsidRPr="002A5A47">
        <w:rPr>
          <w:rFonts w:ascii="Times New Roman" w:hAnsi="Times New Roman" w:cs="Times New Roman"/>
          <w:noProof/>
          <w:sz w:val="24"/>
        </w:rPr>
        <w:t xml:space="preserve"> C580, </w:t>
      </w:r>
      <w:r>
        <w:rPr>
          <w:rFonts w:ascii="Times New Roman" w:hAnsi="Times New Roman" w:cs="Times New Roman"/>
          <w:noProof/>
          <w:sz w:val="24"/>
        </w:rPr>
        <w:t xml:space="preserve">the </w:t>
      </w:r>
      <w:r w:rsidRPr="002A5A47">
        <w:rPr>
          <w:rFonts w:ascii="Times New Roman" w:hAnsi="Times New Roman" w:cs="Times New Roman"/>
          <w:noProof/>
          <w:sz w:val="24"/>
        </w:rPr>
        <w:t>original introgress</w:t>
      </w:r>
      <w:r>
        <w:rPr>
          <w:rFonts w:ascii="Times New Roman" w:hAnsi="Times New Roman" w:cs="Times New Roman"/>
          <w:noProof/>
          <w:sz w:val="24"/>
        </w:rPr>
        <w:t>ion line 98M71,</w:t>
      </w:r>
      <w:r w:rsidRPr="002A5A47">
        <w:rPr>
          <w:rFonts w:ascii="Times New Roman" w:hAnsi="Times New Roman" w:cs="Times New Roman"/>
          <w:noProof/>
          <w:sz w:val="24"/>
        </w:rPr>
        <w:t xml:space="preserve"> and </w:t>
      </w:r>
      <w:r>
        <w:rPr>
          <w:rFonts w:ascii="Times New Roman" w:hAnsi="Times New Roman" w:cs="Times New Roman"/>
          <w:noProof/>
          <w:sz w:val="24"/>
        </w:rPr>
        <w:t xml:space="preserve">the </w:t>
      </w:r>
      <w:r w:rsidRPr="002A5A47">
        <w:rPr>
          <w:rFonts w:ascii="Times New Roman" w:hAnsi="Times New Roman" w:cs="Times New Roman"/>
          <w:noProof/>
          <w:sz w:val="24"/>
        </w:rPr>
        <w:t>recurrent parent</w:t>
      </w:r>
      <w:r>
        <w:rPr>
          <w:rFonts w:ascii="Times New Roman" w:hAnsi="Times New Roman" w:cs="Times New Roman"/>
          <w:noProof/>
          <w:sz w:val="24"/>
        </w:rPr>
        <w:t xml:space="preserve"> CS (Chinese Spring)</w:t>
      </w:r>
      <w:r w:rsidRPr="002A5A47">
        <w:rPr>
          <w:rFonts w:ascii="Times New Roman" w:hAnsi="Times New Roman" w:cs="Times New Roman"/>
          <w:noProof/>
          <w:sz w:val="24"/>
        </w:rPr>
        <w:t xml:space="preserve">. Plants were challenged with five </w:t>
      </w:r>
      <w:r w:rsidRPr="002A5A47">
        <w:rPr>
          <w:rFonts w:ascii="Times New Roman" w:hAnsi="Times New Roman" w:cs="Times New Roman"/>
          <w:i/>
          <w:iCs/>
          <w:noProof/>
          <w:sz w:val="24"/>
        </w:rPr>
        <w:t>Pt</w:t>
      </w:r>
      <w:r w:rsidRPr="002A5A47">
        <w:rPr>
          <w:rFonts w:ascii="Times New Roman" w:hAnsi="Times New Roman" w:cs="Times New Roman"/>
          <w:noProof/>
          <w:sz w:val="24"/>
        </w:rPr>
        <w:t xml:space="preserve"> races (FHJR</w:t>
      </w:r>
      <w:r>
        <w:rPr>
          <w:rFonts w:ascii="Times New Roman" w:hAnsi="Times New Roman" w:cs="Times New Roman"/>
          <w:noProof/>
          <w:sz w:val="24"/>
        </w:rPr>
        <w:t>,</w:t>
      </w:r>
      <w:r w:rsidRPr="002A5A47">
        <w:rPr>
          <w:rFonts w:ascii="Times New Roman" w:hAnsi="Times New Roman" w:cs="Times New Roman"/>
          <w:noProof/>
          <w:sz w:val="24"/>
        </w:rPr>
        <w:t xml:space="preserve"> </w:t>
      </w:r>
      <w:r w:rsidRPr="002A5A47">
        <w:rPr>
          <w:rFonts w:ascii="Times New Roman" w:hAnsi="Times New Roman" w:cs="Times New Roman"/>
          <w:noProof/>
          <w:sz w:val="24"/>
        </w:rPr>
        <w:t>PHQS,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2A5A47">
        <w:rPr>
          <w:rFonts w:ascii="Times New Roman" w:hAnsi="Times New Roman" w:cs="Times New Roman"/>
          <w:noProof/>
          <w:sz w:val="24"/>
        </w:rPr>
        <w:t>PHRT,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2A5A47">
        <w:rPr>
          <w:rFonts w:ascii="Times New Roman" w:hAnsi="Times New Roman" w:cs="Times New Roman"/>
          <w:noProof/>
          <w:sz w:val="24"/>
        </w:rPr>
        <w:t>PHTT,</w:t>
      </w:r>
      <w:r>
        <w:rPr>
          <w:rFonts w:ascii="Times New Roman" w:hAnsi="Times New Roman" w:cs="Times New Roman"/>
          <w:noProof/>
          <w:sz w:val="24"/>
        </w:rPr>
        <w:t xml:space="preserve"> and </w:t>
      </w:r>
      <w:r w:rsidRPr="002A5A47">
        <w:rPr>
          <w:rFonts w:ascii="Times New Roman" w:hAnsi="Times New Roman" w:cs="Times New Roman"/>
          <w:noProof/>
          <w:sz w:val="24"/>
        </w:rPr>
        <w:t xml:space="preserve">THDB) and one </w:t>
      </w:r>
      <w:r w:rsidRPr="002A5A47">
        <w:rPr>
          <w:rFonts w:ascii="Times New Roman" w:hAnsi="Times New Roman" w:cs="Times New Roman"/>
          <w:i/>
          <w:iCs/>
          <w:noProof/>
          <w:sz w:val="24"/>
        </w:rPr>
        <w:t>Pst</w:t>
      </w:r>
      <w:r w:rsidRPr="002A5A47">
        <w:rPr>
          <w:rFonts w:ascii="Times New Roman" w:hAnsi="Times New Roman" w:cs="Times New Roman"/>
          <w:noProof/>
          <w:sz w:val="24"/>
        </w:rPr>
        <w:t xml:space="preserve"> race (CYR34). </w:t>
      </w:r>
    </w:p>
    <w:p w14:paraId="12D6CDDF" w14:textId="77777777" w:rsidR="002A5A47" w:rsidRDefault="002A5A47" w:rsidP="002A5A47">
      <w:pPr>
        <w:spacing w:line="360" w:lineRule="auto"/>
        <w:ind w:left="442"/>
        <w:jc w:val="left"/>
        <w:rPr>
          <w:rFonts w:ascii="Times New Roman" w:eastAsia="宋体" w:hAnsi="Times New Roman" w:cs="Times New Roman" w:hint="eastAsia"/>
          <w:b/>
          <w:sz w:val="22"/>
        </w:rPr>
      </w:pPr>
    </w:p>
    <w:p w14:paraId="5C4628E8" w14:textId="77777777" w:rsidR="002A5A47" w:rsidRDefault="002A5A47" w:rsidP="00F23D26">
      <w:pPr>
        <w:ind w:left="442" w:hangingChars="200" w:hanging="442"/>
        <w:jc w:val="left"/>
        <w:rPr>
          <w:rFonts w:ascii="Times New Roman" w:eastAsia="宋体" w:hAnsi="Times New Roman" w:cs="Times New Roman"/>
          <w:b/>
          <w:sz w:val="22"/>
        </w:rPr>
        <w:sectPr w:rsidR="002A5A47" w:rsidSect="005B64AF">
          <w:pgSz w:w="11906" w:h="16838" w:code="9"/>
          <w:pgMar w:top="1440" w:right="1418" w:bottom="1440" w:left="1418" w:header="851" w:footer="992" w:gutter="0"/>
          <w:cols w:space="425"/>
          <w:docGrid w:type="linesAndChars" w:linePitch="312"/>
        </w:sectPr>
      </w:pPr>
    </w:p>
    <w:p w14:paraId="5DE40316" w14:textId="2C612BB9" w:rsidR="006F481A" w:rsidRPr="00F23D26" w:rsidRDefault="006F481A" w:rsidP="00F23D26">
      <w:pPr>
        <w:ind w:left="442" w:hangingChars="200" w:hanging="442"/>
        <w:jc w:val="left"/>
        <w:rPr>
          <w:rFonts w:ascii="Times New Roman" w:eastAsia="宋体" w:hAnsi="Times New Roman" w:cs="Times New Roman"/>
          <w:b/>
          <w:sz w:val="22"/>
        </w:rPr>
      </w:pPr>
      <w:r w:rsidRPr="00F23D26">
        <w:rPr>
          <w:rFonts w:ascii="Times New Roman" w:eastAsia="宋体" w:hAnsi="Times New Roman" w:cs="Times New Roman"/>
          <w:b/>
          <w:sz w:val="22"/>
        </w:rPr>
        <w:lastRenderedPageBreak/>
        <w:t xml:space="preserve">References </w:t>
      </w:r>
    </w:p>
    <w:p w14:paraId="0F57447A" w14:textId="77777777" w:rsidR="00EC7821" w:rsidRPr="00F23D26" w:rsidRDefault="006F481A" w:rsidP="00F23D26">
      <w:pPr>
        <w:ind w:left="440" w:hangingChars="200" w:hanging="440"/>
        <w:rPr>
          <w:sz w:val="22"/>
        </w:rPr>
      </w:pPr>
      <w:r w:rsidRPr="00F23D26">
        <w:rPr>
          <w:rFonts w:ascii="Times New Roman" w:eastAsia="宋体" w:hAnsi="Times New Roman" w:cs="Times New Roman"/>
          <w:bCs/>
          <w:sz w:val="22"/>
        </w:rPr>
        <w:fldChar w:fldCharType="begin"/>
      </w:r>
      <w:r w:rsidRPr="00F23D26">
        <w:rPr>
          <w:rFonts w:ascii="Times New Roman" w:eastAsia="宋体" w:hAnsi="Times New Roman" w:cs="Times New Roman"/>
          <w:bCs/>
          <w:sz w:val="22"/>
        </w:rPr>
        <w:instrText xml:space="preserve"> ADDIN EN.REFLIST </w:instrText>
      </w:r>
      <w:r w:rsidRPr="00F23D26">
        <w:rPr>
          <w:rFonts w:ascii="Times New Roman" w:eastAsia="宋体" w:hAnsi="Times New Roman" w:cs="Times New Roman"/>
          <w:bCs/>
          <w:sz w:val="22"/>
        </w:rPr>
        <w:fldChar w:fldCharType="separate"/>
      </w:r>
      <w:r w:rsidRPr="00F23D26">
        <w:rPr>
          <w:rFonts w:ascii="Times New Roman" w:eastAsia="宋体" w:hAnsi="Times New Roman" w:cs="Times New Roman"/>
          <w:sz w:val="22"/>
        </w:rPr>
        <w:t>Chen Y, Song W, Xie X, Wang Z, Guan P, Peng H, Jiao Y, Ni Z, Sun Q, Guo W (2020) A collinearity-incorporating homology inference strategy for connecting emerging assemblies in the Triticeae tribe as a pilot practice in the plant pangenomic era. Molecular Plant 13:1694-1708</w:t>
      </w:r>
      <w:r w:rsidRPr="00F23D26">
        <w:rPr>
          <w:rFonts w:ascii="Times New Roman" w:eastAsia="宋体" w:hAnsi="Times New Roman" w:cs="Times New Roman"/>
          <w:bCs/>
          <w:sz w:val="22"/>
        </w:rPr>
        <w:fldChar w:fldCharType="end"/>
      </w:r>
    </w:p>
    <w:sectPr w:rsidR="00EC7821" w:rsidRPr="00F23D26" w:rsidSect="005B64A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1120F" w14:textId="77777777" w:rsidR="005B64AF" w:rsidRDefault="005B64AF" w:rsidP="006F481A">
      <w:r>
        <w:separator/>
      </w:r>
    </w:p>
  </w:endnote>
  <w:endnote w:type="continuationSeparator" w:id="0">
    <w:p w14:paraId="7E1921BC" w14:textId="77777777" w:rsidR="005B64AF" w:rsidRDefault="005B64AF" w:rsidP="006F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+mn-cs"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93430" w14:textId="77777777" w:rsidR="006F481A" w:rsidRDefault="006F481A" w:rsidP="00DB578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1C3D" w14:textId="77777777" w:rsidR="005B64AF" w:rsidRDefault="005B64AF" w:rsidP="006F481A">
      <w:r>
        <w:separator/>
      </w:r>
    </w:p>
  </w:footnote>
  <w:footnote w:type="continuationSeparator" w:id="0">
    <w:p w14:paraId="6D83922D" w14:textId="77777777" w:rsidR="005B64AF" w:rsidRDefault="005B64AF" w:rsidP="006F4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3C"/>
    <w:rsid w:val="000A4AAC"/>
    <w:rsid w:val="000D7EC0"/>
    <w:rsid w:val="0013663E"/>
    <w:rsid w:val="00156941"/>
    <w:rsid w:val="00264989"/>
    <w:rsid w:val="002A254D"/>
    <w:rsid w:val="002A5A47"/>
    <w:rsid w:val="002F361C"/>
    <w:rsid w:val="00344806"/>
    <w:rsid w:val="003958BD"/>
    <w:rsid w:val="003B4DC5"/>
    <w:rsid w:val="004E436A"/>
    <w:rsid w:val="00505733"/>
    <w:rsid w:val="005B64AF"/>
    <w:rsid w:val="0060663E"/>
    <w:rsid w:val="006743EB"/>
    <w:rsid w:val="006F481A"/>
    <w:rsid w:val="0077162F"/>
    <w:rsid w:val="007A0E03"/>
    <w:rsid w:val="007D359A"/>
    <w:rsid w:val="00824EFD"/>
    <w:rsid w:val="00861769"/>
    <w:rsid w:val="00890C08"/>
    <w:rsid w:val="008D2D88"/>
    <w:rsid w:val="00913DCD"/>
    <w:rsid w:val="0097183C"/>
    <w:rsid w:val="009B0958"/>
    <w:rsid w:val="00A22DA0"/>
    <w:rsid w:val="00B016DF"/>
    <w:rsid w:val="00B300C8"/>
    <w:rsid w:val="00BD59D2"/>
    <w:rsid w:val="00BE36ED"/>
    <w:rsid w:val="00D17733"/>
    <w:rsid w:val="00D418BE"/>
    <w:rsid w:val="00D8711A"/>
    <w:rsid w:val="00EC7821"/>
    <w:rsid w:val="00F2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C9A50"/>
  <w15:docId w15:val="{3D05D1D0-ADC6-4786-9163-C6107A8E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48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4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481A"/>
    <w:rPr>
      <w:sz w:val="18"/>
      <w:szCs w:val="18"/>
    </w:rPr>
  </w:style>
  <w:style w:type="character" w:styleId="a7">
    <w:name w:val="annotation reference"/>
    <w:uiPriority w:val="99"/>
    <w:semiHidden/>
    <w:unhideWhenUsed/>
    <w:rsid w:val="006F481A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6F481A"/>
    <w:pPr>
      <w:jc w:val="left"/>
    </w:pPr>
    <w:rPr>
      <w:rFonts w:ascii="Calibri" w:eastAsia="宋体" w:hAnsi="Calibri" w:cs="Times New Roman"/>
    </w:rPr>
  </w:style>
  <w:style w:type="character" w:customStyle="1" w:styleId="a9">
    <w:name w:val="批注文字 字符"/>
    <w:basedOn w:val="a0"/>
    <w:link w:val="a8"/>
    <w:uiPriority w:val="99"/>
    <w:semiHidden/>
    <w:rsid w:val="006F481A"/>
    <w:rPr>
      <w:rFonts w:ascii="Calibri" w:eastAsia="宋体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F48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F481A"/>
    <w:rPr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13663E"/>
    <w:rPr>
      <w:rFonts w:asciiTheme="minorHAnsi" w:eastAsiaTheme="minorEastAsia" w:hAnsiTheme="minorHAnsi" w:cstheme="minorBidi"/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13663E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hyperlink" Target="http://wheat.cau.edu.cn/TGT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Shisheng Chen</cp:lastModifiedBy>
  <cp:revision>13</cp:revision>
  <dcterms:created xsi:type="dcterms:W3CDTF">2024-01-06T02:07:00Z</dcterms:created>
  <dcterms:modified xsi:type="dcterms:W3CDTF">2024-01-24T14:04:00Z</dcterms:modified>
</cp:coreProperties>
</file>