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9A55D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 w:rsidRPr="00800AC9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Extended Data</w:t>
      </w:r>
    </w:p>
    <w:p w14:paraId="7CB9E781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b/>
          <w:bCs/>
          <w:noProof/>
          <w:kern w:val="0"/>
          <w:sz w:val="22"/>
          <w:szCs w:val="22"/>
          <w:lang w:eastAsia="en-US"/>
        </w:rPr>
        <w:drawing>
          <wp:inline distT="0" distB="0" distL="0" distR="0" wp14:anchorId="46CB0E68" wp14:editId="54996563">
            <wp:extent cx="4271643" cy="2228750"/>
            <wp:effectExtent l="0" t="0" r="0" b="635"/>
            <wp:docPr id="3083447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44774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43" cy="22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3307C" w14:textId="77777777" w:rsidR="00393765" w:rsidRDefault="00393765" w:rsidP="00393765">
      <w:pPr>
        <w:widowControl/>
        <w:spacing w:line="360" w:lineRule="auto"/>
        <w:rPr>
          <w:rFonts w:ascii="Minion Pro" w:hAnsi="Minion Pro"/>
        </w:rPr>
      </w:pPr>
      <w:r w:rsidRPr="00DC18C0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Extended Data Fig. 1. </w:t>
      </w:r>
      <w:r w:rsidRPr="00DC18C0">
        <w:rPr>
          <w:rFonts w:ascii="Minion Pro" w:hAnsi="Minion Pro"/>
          <w:b/>
          <w:bCs/>
        </w:rPr>
        <w:t>Changes o</w:t>
      </w:r>
      <w:r w:rsidRPr="00800AC9">
        <w:rPr>
          <w:rFonts w:ascii="Minion Pro" w:hAnsi="Minion Pro"/>
          <w:b/>
          <w:bCs/>
        </w:rPr>
        <w:t>f hematoma size at different time points after ICH induction by collagenase. a</w:t>
      </w:r>
      <w:r w:rsidRPr="00800AC9">
        <w:rPr>
          <w:rFonts w:ascii="Minion Pro" w:hAnsi="Minion Pro"/>
        </w:rPr>
        <w:t xml:space="preserve">, The position and size of hematoma at 6 h, d 1, d 3, and d 7 post-ICH, respectively, were shown in continuous coronal brain </w:t>
      </w:r>
      <w:r>
        <w:rPr>
          <w:rFonts w:ascii="Minion Pro" w:hAnsi="Minion Pro"/>
        </w:rPr>
        <w:t>sections</w:t>
      </w:r>
      <w:r w:rsidRPr="00800AC9">
        <w:rPr>
          <w:rFonts w:ascii="Minion Pro" w:hAnsi="Minion Pro"/>
        </w:rPr>
        <w:t xml:space="preserve"> of mice. The thickness of each brain slice was 200 μm. </w:t>
      </w:r>
      <w:r w:rsidRPr="00800AC9">
        <w:rPr>
          <w:rFonts w:ascii="Minion Pro" w:hAnsi="Minion Pro"/>
          <w:b/>
          <w:bCs/>
        </w:rPr>
        <w:t>b</w:t>
      </w:r>
      <w:r w:rsidRPr="00800AC9">
        <w:rPr>
          <w:rFonts w:ascii="Minion Pro" w:hAnsi="Minion Pro"/>
        </w:rPr>
        <w:t xml:space="preserve">, Statistics of hematoma size at different time point after collagenase-induced hemorrhage. Data displayed mean values and </w:t>
      </w:r>
      <w:r>
        <w:rPr>
          <w:rFonts w:ascii="Minion Pro" w:hAnsi="Minion Pro"/>
        </w:rPr>
        <w:t>SD</w:t>
      </w:r>
      <w:r w:rsidRPr="00800AC9">
        <w:rPr>
          <w:rFonts w:ascii="Minion Pro" w:hAnsi="Minion Pro"/>
        </w:rPr>
        <w:t>.</w:t>
      </w:r>
    </w:p>
    <w:p w14:paraId="4697B8D2" w14:textId="77777777" w:rsidR="00393765" w:rsidRPr="00800AC9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p w14:paraId="459A3DD6" w14:textId="77777777" w:rsidR="00393765" w:rsidRDefault="00393765" w:rsidP="00393765">
      <w:pPr>
        <w:widowControl/>
        <w:jc w:val="left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br w:type="page"/>
      </w:r>
    </w:p>
    <w:p w14:paraId="49431AA6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b/>
          <w:bCs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1BD40C2A" wp14:editId="0AF78441">
            <wp:extent cx="5938806" cy="3905884"/>
            <wp:effectExtent l="0" t="0" r="5080" b="0"/>
            <wp:docPr id="4222231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22310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806" cy="390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23F54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 w:rsidRPr="008606A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Extended Data Fig. 2. Quality Control and Clustering Analysis of Single-Cell RNA Sequencing.</w:t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</w:t>
      </w:r>
      <w:r w:rsidRPr="008606A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a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, </w:t>
      </w:r>
      <w:r w:rsidRPr="008606AC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The number of detected genes per cell, the total number of molecules detected in the cell and the percentage of mitochondrial genes for each sample.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 w:rsidRPr="008606A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b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,</w:t>
      </w:r>
      <w:r w:rsidRPr="008606AC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UMAP clustering distribution of high-quality cells after quality control. Each point represents a cell, colored by cell cluster.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 w:rsidRPr="008606A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c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,</w:t>
      </w:r>
      <w:r w:rsidRPr="008606AC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Distribution of cell clusters across different samples.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 w:rsidRPr="008606A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d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,</w:t>
      </w:r>
      <w:r w:rsidRPr="008606AC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Relative expression levels of the top 10 marker genes in each cell cluster.</w:t>
      </w:r>
    </w:p>
    <w:p w14:paraId="0A243802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</w:p>
    <w:p w14:paraId="2A856AF0" w14:textId="77777777" w:rsidR="00393765" w:rsidRDefault="00393765" w:rsidP="00393765">
      <w:pPr>
        <w:widowControl/>
        <w:jc w:val="left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br w:type="page"/>
      </w:r>
    </w:p>
    <w:p w14:paraId="5B64343B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b/>
          <w:bCs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1D562D62" wp14:editId="077E14FB">
            <wp:extent cx="5786754" cy="5518595"/>
            <wp:effectExtent l="0" t="0" r="5080" b="6350"/>
            <wp:docPr id="13771441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44197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54" cy="551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49A5F" w14:textId="77777777" w:rsidR="00393765" w:rsidRDefault="00393765" w:rsidP="00393765">
      <w:pPr>
        <w:widowControl/>
        <w:spacing w:line="360" w:lineRule="auto"/>
        <w:rPr>
          <w:rFonts w:ascii="Minion Pro" w:hAnsi="Minion Pro"/>
        </w:rPr>
      </w:pPr>
      <w:r w:rsidRPr="00DC18C0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Extended Data Fig. 3. </w:t>
      </w:r>
      <w:r w:rsidRPr="00DC18C0">
        <w:rPr>
          <w:rFonts w:ascii="Minion Pro" w:hAnsi="Minion Pro"/>
          <w:b/>
          <w:bCs/>
        </w:rPr>
        <w:t>Morphological changes of astrocytes and expression pattern of PS</w:t>
      </w:r>
      <w:r>
        <w:rPr>
          <w:rFonts w:ascii="Minion Pro" w:hAnsi="Minion Pro"/>
          <w:b/>
          <w:bCs/>
        </w:rPr>
        <w:t>A</w:t>
      </w:r>
      <w:r w:rsidRPr="00DC18C0">
        <w:rPr>
          <w:rFonts w:ascii="Minion Pro" w:hAnsi="Minion Pro"/>
          <w:b/>
          <w:bCs/>
        </w:rPr>
        <w:t>P-GPR37L1 signal in astrocytes in perihematoma</w:t>
      </w:r>
      <w:r>
        <w:rPr>
          <w:rFonts w:ascii="Minion Pro" w:hAnsi="Minion Pro"/>
          <w:b/>
          <w:bCs/>
        </w:rPr>
        <w:t>l</w:t>
      </w:r>
      <w:r w:rsidRPr="00DC18C0">
        <w:rPr>
          <w:rFonts w:ascii="Minion Pro" w:hAnsi="Minion Pro"/>
          <w:b/>
          <w:bCs/>
        </w:rPr>
        <w:t xml:space="preserve"> lesions after ICH.</w:t>
      </w:r>
      <w:r>
        <w:rPr>
          <w:rFonts w:ascii="Minion Pro" w:hAnsi="Minion Pro"/>
          <w:b/>
          <w:bCs/>
        </w:rPr>
        <w:t xml:space="preserve"> </w:t>
      </w:r>
      <w:r w:rsidRPr="00A51900">
        <w:rPr>
          <w:rFonts w:ascii="Minion Pro" w:hAnsi="Minion Pro"/>
          <w:b/>
          <w:bCs/>
        </w:rPr>
        <w:t>a</w:t>
      </w:r>
      <w:r>
        <w:rPr>
          <w:rFonts w:ascii="Minion Pro" w:hAnsi="Minion Pro"/>
        </w:rPr>
        <w:t>, I</w:t>
      </w:r>
      <w:r w:rsidRPr="00EE637C">
        <w:rPr>
          <w:rFonts w:ascii="Minion Pro" w:hAnsi="Minion Pro"/>
        </w:rPr>
        <w:t>mmunofluorescence staining</w:t>
      </w:r>
      <w:r>
        <w:rPr>
          <w:rFonts w:ascii="Minion Pro" w:hAnsi="Minion Pro"/>
        </w:rPr>
        <w:t xml:space="preserve"> using </w:t>
      </w:r>
      <w:r w:rsidRPr="00EE637C">
        <w:rPr>
          <w:rFonts w:ascii="Minion Pro" w:hAnsi="Minion Pro"/>
        </w:rPr>
        <w:t xml:space="preserve">GFAP antibody was </w:t>
      </w:r>
      <w:r>
        <w:rPr>
          <w:rFonts w:ascii="Minion Pro" w:hAnsi="Minion Pro"/>
        </w:rPr>
        <w:t>performed</w:t>
      </w:r>
      <w:r w:rsidRPr="00EE637C">
        <w:rPr>
          <w:rFonts w:ascii="Minion Pro" w:hAnsi="Minion Pro"/>
        </w:rPr>
        <w:t xml:space="preserve"> to label the morphological changes of astrocytes </w:t>
      </w:r>
      <w:r>
        <w:rPr>
          <w:rFonts w:ascii="Minion Pro" w:hAnsi="Minion Pro"/>
        </w:rPr>
        <w:t>in</w:t>
      </w:r>
      <w:r w:rsidRPr="00EE637C">
        <w:rPr>
          <w:rFonts w:ascii="Minion Pro" w:hAnsi="Minion Pro"/>
        </w:rPr>
        <w:t xml:space="preserve"> normal striatum around hematoma at different times </w:t>
      </w:r>
      <w:r>
        <w:rPr>
          <w:rFonts w:ascii="Minion Pro" w:hAnsi="Minion Pro"/>
        </w:rPr>
        <w:t>after</w:t>
      </w:r>
      <w:r w:rsidRPr="00EE637C">
        <w:rPr>
          <w:rFonts w:ascii="Minion Pro" w:hAnsi="Minion Pro"/>
        </w:rPr>
        <w:t xml:space="preserve"> ICH. The white dotted line </w:t>
      </w:r>
      <w:r>
        <w:rPr>
          <w:rFonts w:ascii="Minion Pro" w:hAnsi="Minion Pro"/>
        </w:rPr>
        <w:t>o</w:t>
      </w:r>
      <w:r w:rsidRPr="00EE637C">
        <w:rPr>
          <w:rFonts w:ascii="Minion Pro" w:hAnsi="Minion Pro"/>
        </w:rPr>
        <w:t>utline</w:t>
      </w:r>
      <w:r>
        <w:rPr>
          <w:rFonts w:ascii="Minion Pro" w:hAnsi="Minion Pro"/>
        </w:rPr>
        <w:t>d</w:t>
      </w:r>
      <w:r w:rsidRPr="00EE637C">
        <w:rPr>
          <w:rFonts w:ascii="Minion Pro" w:hAnsi="Minion Pro"/>
        </w:rPr>
        <w:t xml:space="preserve"> the hematoma's boundary to the upper right. GFAP+ astrocytes formed a distinct glial scar structure around the hematoma </w:t>
      </w:r>
      <w:r>
        <w:rPr>
          <w:rFonts w:ascii="Minion Pro" w:hAnsi="Minion Pro"/>
        </w:rPr>
        <w:t>at d 7 a</w:t>
      </w:r>
      <w:r w:rsidRPr="00EE637C">
        <w:rPr>
          <w:rFonts w:ascii="Minion Pro" w:hAnsi="Minion Pro"/>
        </w:rPr>
        <w:t>fter ICH, and the astrocytes adjacent to the hematoma were arranged in a palisad</w:t>
      </w:r>
      <w:r>
        <w:rPr>
          <w:rFonts w:ascii="Minion Pro" w:hAnsi="Minion Pro"/>
        </w:rPr>
        <w:t>ing</w:t>
      </w:r>
      <w:r w:rsidRPr="00EE637C">
        <w:rPr>
          <w:rFonts w:ascii="Minion Pro" w:hAnsi="Minion Pro"/>
        </w:rPr>
        <w:t xml:space="preserve"> pattern (between white and cyan dashed lines).</w:t>
      </w:r>
      <w:r>
        <w:rPr>
          <w:rFonts w:ascii="Minion Pro" w:hAnsi="Minion Pro"/>
        </w:rPr>
        <w:t xml:space="preserve"> Scale bar: 100 μm. </w:t>
      </w:r>
      <w:r w:rsidRPr="008A7F93">
        <w:rPr>
          <w:rFonts w:ascii="Minion Pro" w:hAnsi="Minion Pro"/>
          <w:b/>
          <w:bCs/>
        </w:rPr>
        <w:t>b</w:t>
      </w:r>
      <w:r>
        <w:rPr>
          <w:rFonts w:ascii="Minion Pro" w:hAnsi="Minion Pro"/>
        </w:rPr>
        <w:t xml:space="preserve">, </w:t>
      </w:r>
      <w:r w:rsidRPr="001E1E1A">
        <w:rPr>
          <w:rFonts w:ascii="Minion Pro" w:hAnsi="Minion Pro"/>
        </w:rPr>
        <w:t xml:space="preserve">UMAP </w:t>
      </w:r>
      <w:r>
        <w:rPr>
          <w:rFonts w:ascii="Minion Pro" w:hAnsi="Minion Pro"/>
        </w:rPr>
        <w:t>displayed</w:t>
      </w:r>
      <w:r w:rsidRPr="001E1E1A">
        <w:rPr>
          <w:rFonts w:ascii="Minion Pro" w:hAnsi="Minion Pro"/>
        </w:rPr>
        <w:t xml:space="preserve"> the expression of </w:t>
      </w:r>
      <w:r w:rsidRPr="001E1E1A">
        <w:rPr>
          <w:rFonts w:ascii="Minion Pro" w:hAnsi="Minion Pro"/>
          <w:i/>
          <w:iCs/>
        </w:rPr>
        <w:t>Psap</w:t>
      </w:r>
      <w:r w:rsidRPr="001E1E1A">
        <w:rPr>
          <w:rFonts w:ascii="Minion Pro" w:hAnsi="Minion Pro"/>
        </w:rPr>
        <w:t xml:space="preserve"> and </w:t>
      </w:r>
      <w:r w:rsidRPr="001E1E1A">
        <w:rPr>
          <w:rFonts w:ascii="Minion Pro" w:hAnsi="Minion Pro"/>
          <w:i/>
          <w:iCs/>
        </w:rPr>
        <w:t>Gpr37l1</w:t>
      </w:r>
      <w:r w:rsidRPr="001E1E1A">
        <w:rPr>
          <w:rFonts w:ascii="Minion Pro" w:hAnsi="Minion Pro"/>
        </w:rPr>
        <w:t xml:space="preserve"> in all cell populations and astrocyte sub</w:t>
      </w:r>
      <w:r>
        <w:rPr>
          <w:rFonts w:ascii="Minion Pro" w:hAnsi="Minion Pro"/>
        </w:rPr>
        <w:t>type</w:t>
      </w:r>
      <w:r w:rsidRPr="001E1E1A">
        <w:rPr>
          <w:rFonts w:ascii="Minion Pro" w:hAnsi="Minion Pro"/>
        </w:rPr>
        <w:t>s</w:t>
      </w:r>
      <w:r>
        <w:rPr>
          <w:rFonts w:ascii="Minion Pro" w:hAnsi="Minion Pro"/>
        </w:rPr>
        <w:t>, respectively</w:t>
      </w:r>
      <w:r w:rsidRPr="001E1E1A">
        <w:rPr>
          <w:rFonts w:ascii="Minion Pro" w:hAnsi="Minion Pro"/>
        </w:rPr>
        <w:t>.</w:t>
      </w:r>
      <w:r>
        <w:rPr>
          <w:rFonts w:ascii="Minion Pro" w:hAnsi="Minion Pro"/>
        </w:rPr>
        <w:t xml:space="preserve"> </w:t>
      </w:r>
      <w:r w:rsidRPr="009A38E3">
        <w:rPr>
          <w:rFonts w:ascii="Minion Pro" w:hAnsi="Minion Pro"/>
          <w:b/>
          <w:bCs/>
        </w:rPr>
        <w:t>c</w:t>
      </w:r>
      <w:r>
        <w:rPr>
          <w:rFonts w:ascii="Minion Pro" w:hAnsi="Minion Pro"/>
        </w:rPr>
        <w:t>, B</w:t>
      </w:r>
      <w:r w:rsidRPr="009A38E3">
        <w:rPr>
          <w:rFonts w:ascii="Minion Pro" w:hAnsi="Minion Pro"/>
        </w:rPr>
        <w:t>ubble map show</w:t>
      </w:r>
      <w:r>
        <w:rPr>
          <w:rFonts w:ascii="Minion Pro" w:hAnsi="Minion Pro"/>
        </w:rPr>
        <w:t>ed</w:t>
      </w:r>
      <w:r w:rsidRPr="009A38E3">
        <w:rPr>
          <w:rFonts w:ascii="Minion Pro" w:hAnsi="Minion Pro"/>
        </w:rPr>
        <w:t xml:space="preserve"> the gene expression patterns of </w:t>
      </w:r>
      <w:r w:rsidRPr="00175744">
        <w:rPr>
          <w:rFonts w:ascii="Minion Pro" w:hAnsi="Minion Pro"/>
          <w:i/>
          <w:iCs/>
        </w:rPr>
        <w:t>Psap</w:t>
      </w:r>
      <w:r>
        <w:rPr>
          <w:rFonts w:ascii="Minion Pro" w:hAnsi="Minion Pro"/>
        </w:rPr>
        <w:t>,</w:t>
      </w:r>
      <w:r w:rsidRPr="009A38E3">
        <w:rPr>
          <w:rFonts w:ascii="Minion Pro" w:hAnsi="Minion Pro"/>
        </w:rPr>
        <w:t xml:space="preserve"> </w:t>
      </w:r>
      <w:r w:rsidRPr="00175744">
        <w:rPr>
          <w:rFonts w:ascii="Minion Pro" w:hAnsi="Minion Pro"/>
          <w:i/>
          <w:iCs/>
        </w:rPr>
        <w:t>Gpr37</w:t>
      </w:r>
      <w:r w:rsidRPr="009A38E3">
        <w:rPr>
          <w:rFonts w:ascii="Minion Pro" w:hAnsi="Minion Pro"/>
        </w:rPr>
        <w:t xml:space="preserve">, and </w:t>
      </w:r>
      <w:r w:rsidRPr="00175744">
        <w:rPr>
          <w:rFonts w:ascii="Minion Pro" w:hAnsi="Minion Pro"/>
          <w:i/>
          <w:iCs/>
        </w:rPr>
        <w:t>Gpr37l1</w:t>
      </w:r>
      <w:r w:rsidRPr="009A38E3">
        <w:rPr>
          <w:rFonts w:ascii="Minion Pro" w:hAnsi="Minion Pro"/>
        </w:rPr>
        <w:t xml:space="preserve"> in P</w:t>
      </w:r>
      <w:r>
        <w:rPr>
          <w:rFonts w:ascii="Minion Pro" w:hAnsi="Minion Pro"/>
        </w:rPr>
        <w:t>SAP</w:t>
      </w:r>
      <w:r w:rsidRPr="009A38E3">
        <w:rPr>
          <w:rFonts w:ascii="Minion Pro" w:hAnsi="Minion Pro"/>
        </w:rPr>
        <w:t xml:space="preserve"> pathway</w:t>
      </w:r>
      <w:r w:rsidRPr="00175744">
        <w:rPr>
          <w:rFonts w:ascii="Minion Pro" w:hAnsi="Minion Pro"/>
        </w:rPr>
        <w:t xml:space="preserve"> in different cell types.</w:t>
      </w:r>
      <w:r>
        <w:rPr>
          <w:rFonts w:ascii="Minion Pro" w:hAnsi="Minion Pro"/>
        </w:rPr>
        <w:t xml:space="preserve"> </w:t>
      </w:r>
      <w:r w:rsidRPr="001E1E1A">
        <w:rPr>
          <w:rFonts w:ascii="Minion Pro" w:hAnsi="Minion Pro"/>
          <w:b/>
          <w:bCs/>
        </w:rPr>
        <w:t>d</w:t>
      </w:r>
      <w:r>
        <w:rPr>
          <w:rFonts w:ascii="Minion Pro" w:hAnsi="Minion Pro"/>
        </w:rPr>
        <w:t>, E</w:t>
      </w:r>
      <w:r w:rsidRPr="001E1E1A">
        <w:rPr>
          <w:rFonts w:ascii="Minion Pro" w:hAnsi="Minion Pro"/>
        </w:rPr>
        <w:t xml:space="preserve">xpression of GPR37L1 in </w:t>
      </w:r>
      <w:r>
        <w:rPr>
          <w:rFonts w:ascii="Minion Pro" w:hAnsi="Minion Pro"/>
        </w:rPr>
        <w:t>GFAP</w:t>
      </w:r>
      <w:r w:rsidRPr="001E1E1A">
        <w:rPr>
          <w:rFonts w:ascii="Minion Pro" w:hAnsi="Minion Pro"/>
          <w:vertAlign w:val="superscript"/>
        </w:rPr>
        <w:t>+</w:t>
      </w:r>
      <w:r>
        <w:rPr>
          <w:rFonts w:ascii="Minion Pro" w:hAnsi="Minion Pro"/>
        </w:rPr>
        <w:t xml:space="preserve"> </w:t>
      </w:r>
      <w:r w:rsidRPr="001E1E1A">
        <w:rPr>
          <w:rFonts w:ascii="Minion Pro" w:hAnsi="Minion Pro"/>
        </w:rPr>
        <w:t xml:space="preserve">astrocytes </w:t>
      </w:r>
      <w:r>
        <w:rPr>
          <w:rFonts w:ascii="Minion Pro" w:hAnsi="Minion Pro"/>
        </w:rPr>
        <w:t xml:space="preserve">in control group and ICH groups </w:t>
      </w:r>
      <w:r w:rsidRPr="001E1E1A">
        <w:rPr>
          <w:rFonts w:ascii="Minion Pro" w:hAnsi="Minion Pro"/>
        </w:rPr>
        <w:t>at different time point</w:t>
      </w:r>
      <w:r>
        <w:rPr>
          <w:rFonts w:ascii="Minion Pro" w:hAnsi="Minion Pro"/>
        </w:rPr>
        <w:t>s</w:t>
      </w:r>
      <w:r w:rsidRPr="001E1E1A">
        <w:rPr>
          <w:rFonts w:ascii="Minion Pro" w:hAnsi="Minion Pro"/>
        </w:rPr>
        <w:t xml:space="preserve"> were revealed by immunofluorescence staining.</w:t>
      </w:r>
      <w:r>
        <w:rPr>
          <w:rFonts w:ascii="Minion Pro" w:hAnsi="Minion Pro"/>
        </w:rPr>
        <w:t xml:space="preserve"> Scale bar: 100 μm.</w:t>
      </w:r>
    </w:p>
    <w:p w14:paraId="3312E74F" w14:textId="77777777" w:rsidR="00393765" w:rsidRDefault="00393765" w:rsidP="00393765">
      <w:pPr>
        <w:widowControl/>
        <w:spacing w:line="360" w:lineRule="auto"/>
        <w:rPr>
          <w:rFonts w:ascii="Minion Pro" w:hAnsi="Minion Pro"/>
        </w:rPr>
      </w:pPr>
    </w:p>
    <w:p w14:paraId="77408F66" w14:textId="77777777" w:rsidR="00393765" w:rsidRDefault="00393765" w:rsidP="00393765">
      <w:pPr>
        <w:widowControl/>
        <w:jc w:val="left"/>
        <w:rPr>
          <w:rFonts w:ascii="Minion Pro" w:hAnsi="Minion Pro"/>
        </w:rPr>
      </w:pPr>
      <w:r>
        <w:rPr>
          <w:rFonts w:ascii="Minion Pro" w:hAnsi="Minion Pro"/>
        </w:rPr>
        <w:br w:type="page"/>
      </w:r>
    </w:p>
    <w:p w14:paraId="02CA23C2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 w:hint="eastAsia"/>
          <w:b/>
          <w:bCs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446B2554" wp14:editId="3F2848CF">
            <wp:extent cx="5933952" cy="4406140"/>
            <wp:effectExtent l="0" t="0" r="0" b="0"/>
            <wp:docPr id="1206855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85530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952" cy="4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softHyphen/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softHyphen/>
      </w:r>
    </w:p>
    <w:p w14:paraId="1FCA8BF1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Extended Data Fig. 4. Cell-</w:t>
      </w:r>
      <w:r w:rsidRPr="00C041A1">
        <w:rPr>
          <w:rFonts w:ascii="Minion Pro" w:eastAsia="SimSun" w:hAnsi="Minion Pro" w:cs="Times New Roman" w:hint="eastAsia"/>
          <w:b/>
          <w:bCs/>
          <w:kern w:val="0"/>
          <w:sz w:val="22"/>
          <w:szCs w:val="22"/>
        </w:rPr>
        <w:t>cell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communication analysis of intercellular outgoing and incoming signaling patterns in control group and ICH groups by CellChat. 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The heat map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s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show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ed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the relative strength of the signaling pathways sent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(outgoing)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and received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(incoming)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between cell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types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in 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control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(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a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) </w:t>
      </w:r>
      <w:r w:rsidRPr="00C041A1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and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at 6 h (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b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d 1 (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c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d 3 (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d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and d 7 (</w:t>
      </w:r>
      <w:r w:rsidRPr="00C041A1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e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 post-ICH, respectively.</w:t>
      </w:r>
    </w:p>
    <w:p w14:paraId="38675473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p w14:paraId="6F1F9D96" w14:textId="77777777" w:rsidR="00393765" w:rsidRDefault="00393765" w:rsidP="00393765">
      <w:pPr>
        <w:widowControl/>
        <w:jc w:val="left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br w:type="page"/>
      </w:r>
    </w:p>
    <w:p w14:paraId="2AED6D38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 w:hint="eastAsia"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263E3F2F" wp14:editId="3259EEBB">
            <wp:extent cx="4950037" cy="8220709"/>
            <wp:effectExtent l="0" t="0" r="3175" b="9525"/>
            <wp:docPr id="3494269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26962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037" cy="8220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3BC35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lastRenderedPageBreak/>
        <w:t>Extended Data Fig. 5. The intercellular communication signal networks received by astrocytes and the contribution of ligand-receptor pairs.</w:t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Heatmap show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ed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the relative importance of each cell group based on the computed four network centrality measures of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PTN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a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COLLAGEN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d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MK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g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FN1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j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 and THBS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m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signaling network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, respectively. 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Relative contribution of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main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ligand-receptor pair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s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to the overall communication network of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PTN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b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COLLAGEN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e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MK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h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FN1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k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 and THBS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n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) 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signaling pathway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. 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Dot plot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s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show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ed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the expression distribution of signaling genes involved in the inferred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PTN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c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COLLAGEN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f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MK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i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), FN1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l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 and THBS (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o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)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signaling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pathway</w:t>
      </w:r>
      <w:r w:rsidRPr="008F3FCB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.</w:t>
      </w:r>
    </w:p>
    <w:p w14:paraId="65D8264D" w14:textId="77777777" w:rsidR="00393765" w:rsidRDefault="00393765" w:rsidP="00393765">
      <w:pPr>
        <w:widowControl/>
        <w:jc w:val="left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br w:type="page"/>
      </w:r>
    </w:p>
    <w:p w14:paraId="30424B4A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 w:hint="eastAsia"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5CD0254A" wp14:editId="55B59675">
            <wp:extent cx="5318759" cy="8225154"/>
            <wp:effectExtent l="0" t="0" r="0" b="5080"/>
            <wp:docPr id="4514273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27337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59" cy="822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F1E43" w14:textId="77777777" w:rsidR="00393765" w:rsidRPr="00A33AEE" w:rsidRDefault="00393765" w:rsidP="00393765">
      <w:pPr>
        <w:pStyle w:val="ListParagraph"/>
        <w:spacing w:line="360" w:lineRule="auto"/>
        <w:ind w:left="0"/>
        <w:rPr>
          <w:rFonts w:ascii="Minion Pro" w:hAnsi="Minion Pro"/>
        </w:rPr>
      </w:pPr>
      <w:r w:rsidRPr="00EB44C0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lastRenderedPageBreak/>
        <w:t xml:space="preserve">Extended Data Fig. 6. Deletion of astrocyte </w:t>
      </w:r>
      <w:r w:rsidRPr="00EB44C0">
        <w:rPr>
          <w:rFonts w:ascii="Minion Pro" w:eastAsia="SimSun" w:hAnsi="Minion Pro" w:cs="Times New Roman"/>
          <w:b/>
          <w:bCs/>
          <w:i/>
          <w:iCs/>
          <w:kern w:val="0"/>
          <w:sz w:val="22"/>
          <w:szCs w:val="22"/>
          <w:lang w:eastAsia="en-US"/>
        </w:rPr>
        <w:t>Gpr37l1</w:t>
      </w:r>
      <w:r w:rsidRPr="00EB44C0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aggravated nerve injury and inflammatory response after ICH.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 w:rsidRPr="00AB201B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a</w:t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-</w:t>
      </w:r>
      <w:r>
        <w:rPr>
          <w:rFonts w:ascii="Minion Pro" w:eastAsia="SimSun" w:hAnsi="Minion Pro" w:cs="Times New Roman" w:hint="eastAsia"/>
          <w:b/>
          <w:bCs/>
          <w:kern w:val="0"/>
          <w:sz w:val="22"/>
          <w:szCs w:val="22"/>
        </w:rPr>
        <w:t>c</w:t>
      </w:r>
      <w:r>
        <w:rPr>
          <w:rFonts w:ascii="Minion Pro" w:hAnsi="Minion Pro"/>
        </w:rPr>
        <w:t>, Distribution of A1 (</w:t>
      </w:r>
      <w:r w:rsidRPr="007239DE">
        <w:rPr>
          <w:rFonts w:ascii="Minion Pro" w:hAnsi="Minion Pro"/>
          <w:b/>
          <w:bCs/>
        </w:rPr>
        <w:t>a</w:t>
      </w:r>
      <w:r>
        <w:rPr>
          <w:rFonts w:ascii="Minion Pro" w:hAnsi="Minion Pro"/>
        </w:rPr>
        <w:t>, C3+/GFAP+), A-axon (</w:t>
      </w:r>
      <w:r w:rsidRPr="007239DE">
        <w:rPr>
          <w:rFonts w:ascii="Minion Pro" w:hAnsi="Minion Pro"/>
          <w:b/>
          <w:bCs/>
        </w:rPr>
        <w:t>b</w:t>
      </w:r>
      <w:r>
        <w:rPr>
          <w:rFonts w:ascii="Minion Pro" w:hAnsi="Minion Pro"/>
        </w:rPr>
        <w:t>, Gria2+/GFAP+) and A-immu (</w:t>
      </w:r>
      <w:r w:rsidRPr="007239DE">
        <w:rPr>
          <w:rFonts w:ascii="Minion Pro" w:hAnsi="Minion Pro"/>
          <w:b/>
          <w:bCs/>
        </w:rPr>
        <w:t>c</w:t>
      </w:r>
      <w:r>
        <w:rPr>
          <w:rFonts w:ascii="Minion Pro" w:hAnsi="Minion Pro"/>
        </w:rPr>
        <w:t xml:space="preserve">, CHCHD10+/GFAP+) astrocytes in perihematomal lesions of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 xml:space="preserve">-cKO mice at d 7 post-ICH by </w:t>
      </w:r>
      <w:bookmarkStart w:id="0" w:name="OLE_LINK3"/>
      <w:r>
        <w:rPr>
          <w:rFonts w:ascii="Minion Pro" w:hAnsi="Minion Pro"/>
        </w:rPr>
        <w:t>immunofluorescence staining</w:t>
      </w:r>
      <w:bookmarkEnd w:id="0"/>
      <w:r>
        <w:rPr>
          <w:rFonts w:ascii="Minion Pro" w:hAnsi="Minion Pro"/>
        </w:rPr>
        <w:t xml:space="preserve">. Scale bar: 100 μm. The bar plots showed the ratio of the three subtypes in GFAP+ astrocytes with mean, SD and individual points. n = 5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 xml:space="preserve">-cKO mice per group, </w:t>
      </w:r>
      <w:bookmarkStart w:id="1" w:name="OLE_LINK6"/>
      <w:r w:rsidRPr="00DF3C99">
        <w:rPr>
          <w:rFonts w:ascii="Minion Pro" w:hAnsi="Minion Pro"/>
        </w:rPr>
        <w:t xml:space="preserve">two-tailed Mann–Whitney U-test. </w:t>
      </w:r>
      <w:bookmarkEnd w:id="1"/>
      <w:r w:rsidRPr="00DF3C99">
        <w:rPr>
          <w:rFonts w:ascii="Minion Pro" w:hAnsi="Minion Pro"/>
        </w:rPr>
        <w:t>**p &lt; 0.01, U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=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0 (</w:t>
      </w:r>
      <w:r>
        <w:rPr>
          <w:rFonts w:ascii="Minion Pro" w:hAnsi="Minion Pro"/>
          <w:b/>
          <w:bCs/>
        </w:rPr>
        <w:t>a</w:t>
      </w:r>
      <w:r w:rsidRPr="00DF3C99">
        <w:rPr>
          <w:rFonts w:ascii="Minion Pro" w:hAnsi="Minion Pro"/>
        </w:rPr>
        <w:t>); ** p &lt; 0.01, U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=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0 (</w:t>
      </w:r>
      <w:r>
        <w:rPr>
          <w:rFonts w:ascii="Minion Pro" w:hAnsi="Minion Pro"/>
          <w:b/>
          <w:bCs/>
        </w:rPr>
        <w:t>b</w:t>
      </w:r>
      <w:r w:rsidRPr="00DF3C99">
        <w:rPr>
          <w:rFonts w:ascii="Minion Pro" w:hAnsi="Minion Pro"/>
        </w:rPr>
        <w:t xml:space="preserve">); p </w:t>
      </w:r>
      <w:r>
        <w:rPr>
          <w:rFonts w:ascii="Minion Pro" w:hAnsi="Minion Pro" w:hint="eastAsia"/>
        </w:rPr>
        <w:t>＞</w:t>
      </w:r>
      <w:r w:rsidRPr="00DF3C99">
        <w:rPr>
          <w:rFonts w:ascii="Minion Pro" w:hAnsi="Minion Pro"/>
        </w:rPr>
        <w:t>0.0</w:t>
      </w:r>
      <w:r>
        <w:rPr>
          <w:rFonts w:ascii="Minion Pro" w:hAnsi="Minion Pro"/>
        </w:rPr>
        <w:t>5</w:t>
      </w:r>
      <w:r w:rsidRPr="00DF3C99">
        <w:rPr>
          <w:rFonts w:ascii="Minion Pro" w:hAnsi="Minion Pro"/>
        </w:rPr>
        <w:t>, U=0 (</w:t>
      </w:r>
      <w:r>
        <w:rPr>
          <w:rFonts w:ascii="Minion Pro" w:hAnsi="Minion Pro"/>
          <w:b/>
          <w:bCs/>
        </w:rPr>
        <w:t>c</w:t>
      </w:r>
      <w:r w:rsidRPr="00DF3C99">
        <w:rPr>
          <w:rFonts w:ascii="Minion Pro" w:hAnsi="Minion Pro"/>
        </w:rPr>
        <w:t>), cKO vs WT.</w:t>
      </w:r>
      <w:r>
        <w:rPr>
          <w:rFonts w:ascii="Minion Pro" w:hAnsi="Minion Pro"/>
        </w:rPr>
        <w:t xml:space="preserve"> </w:t>
      </w:r>
      <w:r>
        <w:rPr>
          <w:rFonts w:ascii="Minion Pro" w:hAnsi="Minion Pro" w:hint="eastAsia"/>
          <w:b/>
          <w:bCs/>
        </w:rPr>
        <w:t>d</w:t>
      </w:r>
      <w:r w:rsidRPr="00A33AEE">
        <w:rPr>
          <w:rFonts w:ascii="Minion Pro" w:hAnsi="Minion Pro"/>
        </w:rPr>
        <w:t xml:space="preserve">, </w:t>
      </w:r>
      <w:r>
        <w:rPr>
          <w:rFonts w:ascii="Minion Pro" w:hAnsi="Minion Pro"/>
        </w:rPr>
        <w:t xml:space="preserve">Immunofluorescence staining showed distribution of microglia (IBA1+), astrocytes (GFAP+) and neurons (NeuN+) in control and perihematomal lesions of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 xml:space="preserve">-cKO mice at d 7 post-ICH, </w:t>
      </w:r>
      <w:r w:rsidRPr="00A33AEE">
        <w:rPr>
          <w:rFonts w:ascii="Minion Pro" w:hAnsi="Minion Pro"/>
        </w:rPr>
        <w:t>respectively</w:t>
      </w:r>
      <w:r>
        <w:rPr>
          <w:rFonts w:ascii="Minion Pro" w:hAnsi="Minion Pro"/>
        </w:rPr>
        <w:t>. Scale bar: 100 μm. The bar plots showed the relative ratio of microglia, astrocytes and neurons as percentage of IBA1+ area, percentage of GFAP+ area and number of NeuN+ cells per mm</w:t>
      </w:r>
      <w:r w:rsidRPr="00871218">
        <w:rPr>
          <w:rFonts w:ascii="Minion Pro" w:hAnsi="Minion Pro" w:hint="eastAsia"/>
          <w:vertAlign w:val="superscript"/>
        </w:rPr>
        <w:t>2</w:t>
      </w:r>
      <w:r>
        <w:rPr>
          <w:rFonts w:ascii="Minion Pro" w:hAnsi="Minion Pro"/>
        </w:rPr>
        <w:t xml:space="preserve"> area around the hematoma, with mean, SD and individual points. n= 5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 xml:space="preserve">-cKO mice per group. </w:t>
      </w:r>
      <w:r>
        <w:rPr>
          <w:rFonts w:ascii="Minion Pro" w:hAnsi="Minion Pro"/>
          <w:b/>
          <w:bCs/>
        </w:rPr>
        <w:t>d1</w:t>
      </w:r>
      <w:r>
        <w:rPr>
          <w:rFonts w:ascii="Minion Pro" w:hAnsi="Minion Pro"/>
        </w:rPr>
        <w:t>, t</w:t>
      </w:r>
      <w:r w:rsidRPr="00A33AEE">
        <w:rPr>
          <w:rFonts w:ascii="Minion Pro" w:hAnsi="Minion Pro"/>
        </w:rPr>
        <w:t>wo-way ANOVA with Tukey’s multiple comparisons test, F (</w:t>
      </w:r>
      <w:r>
        <w:rPr>
          <w:rFonts w:ascii="Minion Pro" w:hAnsi="Minion Pro"/>
        </w:rPr>
        <w:t>1, 16</w:t>
      </w:r>
      <w:r w:rsidRPr="00A33AEE">
        <w:rPr>
          <w:rFonts w:ascii="Minion Pro" w:hAnsi="Minion Pro"/>
        </w:rPr>
        <w:t xml:space="preserve">) = </w:t>
      </w:r>
      <w:r>
        <w:rPr>
          <w:rFonts w:ascii="Minion Pro" w:hAnsi="Minion Pro"/>
        </w:rPr>
        <w:t>16.90</w:t>
      </w:r>
      <w:r w:rsidRPr="00A33AEE">
        <w:rPr>
          <w:rFonts w:ascii="Minion Pro" w:hAnsi="Minion Pro"/>
        </w:rPr>
        <w:t>, p</w:t>
      </w:r>
      <w:r>
        <w:rPr>
          <w:rFonts w:ascii="Minion Pro" w:hAnsi="Minion Pro"/>
        </w:rPr>
        <w:t xml:space="preserve"> = 0.0008</w:t>
      </w:r>
      <w:r w:rsidRPr="00A33AEE">
        <w:rPr>
          <w:rFonts w:ascii="Minion Pro" w:hAnsi="Minion Pro"/>
        </w:rPr>
        <w:t xml:space="preserve">, cKO vs WT. </w:t>
      </w:r>
      <w:r>
        <w:rPr>
          <w:rFonts w:ascii="Minion Pro" w:hAnsi="Minion Pro"/>
          <w:b/>
          <w:bCs/>
        </w:rPr>
        <w:t>d2</w:t>
      </w:r>
      <w:r>
        <w:rPr>
          <w:rFonts w:ascii="Minion Pro" w:hAnsi="Minion Pro"/>
        </w:rPr>
        <w:t>, t</w:t>
      </w:r>
      <w:r w:rsidRPr="00A33AEE">
        <w:rPr>
          <w:rFonts w:ascii="Minion Pro" w:hAnsi="Minion Pro"/>
        </w:rPr>
        <w:t>wo-way ANOVA with Tukey’s multiple comparisons test, F (</w:t>
      </w:r>
      <w:r>
        <w:rPr>
          <w:rFonts w:ascii="Minion Pro" w:hAnsi="Minion Pro"/>
        </w:rPr>
        <w:t>1, 16</w:t>
      </w:r>
      <w:r w:rsidRPr="00A33AEE">
        <w:rPr>
          <w:rFonts w:ascii="Minion Pro" w:hAnsi="Minion Pro"/>
        </w:rPr>
        <w:t xml:space="preserve">) = </w:t>
      </w:r>
      <w:r>
        <w:rPr>
          <w:rFonts w:ascii="Minion Pro" w:hAnsi="Minion Pro"/>
        </w:rPr>
        <w:t>2.109</w:t>
      </w:r>
      <w:r w:rsidRPr="00A33AEE">
        <w:rPr>
          <w:rFonts w:ascii="Minion Pro" w:hAnsi="Minion Pro"/>
        </w:rPr>
        <w:t>, p</w:t>
      </w:r>
      <w:r>
        <w:rPr>
          <w:rFonts w:ascii="Minion Pro" w:hAnsi="Minion Pro"/>
        </w:rPr>
        <w:t xml:space="preserve"> = 0.1658</w:t>
      </w:r>
      <w:r w:rsidRPr="00A33AEE">
        <w:rPr>
          <w:rFonts w:ascii="Minion Pro" w:hAnsi="Minion Pro"/>
        </w:rPr>
        <w:t xml:space="preserve">, cKO vs WT. </w:t>
      </w:r>
      <w:r>
        <w:rPr>
          <w:rFonts w:ascii="Minion Pro" w:hAnsi="Minion Pro" w:hint="eastAsia"/>
          <w:b/>
          <w:bCs/>
        </w:rPr>
        <w:t>d</w:t>
      </w:r>
      <w:r>
        <w:rPr>
          <w:rFonts w:ascii="Minion Pro" w:hAnsi="Minion Pro"/>
          <w:b/>
          <w:bCs/>
        </w:rPr>
        <w:t>3</w:t>
      </w:r>
      <w:r w:rsidRPr="00A33AEE">
        <w:rPr>
          <w:rFonts w:ascii="Minion Pro" w:hAnsi="Minion Pro"/>
        </w:rPr>
        <w:t>, two-way ANOVA with Tukey’s multiple comparisons test, F (</w:t>
      </w:r>
      <w:r>
        <w:rPr>
          <w:rFonts w:ascii="Minion Pro" w:hAnsi="Minion Pro"/>
        </w:rPr>
        <w:t>1</w:t>
      </w:r>
      <w:r w:rsidRPr="00A33AEE">
        <w:rPr>
          <w:rFonts w:ascii="Minion Pro" w:hAnsi="Minion Pro"/>
        </w:rPr>
        <w:t xml:space="preserve">, 16) = </w:t>
      </w:r>
      <w:r>
        <w:rPr>
          <w:rFonts w:ascii="Minion Pro" w:hAnsi="Minion Pro"/>
        </w:rPr>
        <w:t>18.34</w:t>
      </w:r>
      <w:r w:rsidRPr="00A33AEE">
        <w:rPr>
          <w:rFonts w:ascii="Minion Pro" w:hAnsi="Minion Pro"/>
        </w:rPr>
        <w:t>, p</w:t>
      </w:r>
      <w:bookmarkStart w:id="2" w:name="OLE_LINK5"/>
      <w:r w:rsidRPr="00A33AEE">
        <w:rPr>
          <w:rFonts w:ascii="Minion Pro" w:hAnsi="Minion Pro"/>
        </w:rPr>
        <w:t xml:space="preserve"> </w:t>
      </w:r>
      <w:r>
        <w:rPr>
          <w:rFonts w:ascii="Minion Pro" w:hAnsi="Minion Pro"/>
        </w:rPr>
        <w:t>= 0.0006</w:t>
      </w:r>
      <w:bookmarkEnd w:id="2"/>
      <w:r w:rsidRPr="00A33AEE">
        <w:rPr>
          <w:rFonts w:ascii="Minion Pro" w:hAnsi="Minion Pro"/>
        </w:rPr>
        <w:t xml:space="preserve">, cKO vs WT. ***p </w:t>
      </w:r>
      <w:r w:rsidRPr="00A33AEE">
        <w:rPr>
          <w:rFonts w:ascii="Times New Roman" w:hAnsi="Times New Roman" w:cs="Times New Roman"/>
        </w:rPr>
        <w:t>˂</w:t>
      </w:r>
      <w:r w:rsidRPr="00A33AEE">
        <w:rPr>
          <w:rFonts w:ascii="Minion Pro" w:hAnsi="Minion Pro"/>
        </w:rPr>
        <w:t xml:space="preserve"> 0.001, </w:t>
      </w:r>
      <w:r>
        <w:rPr>
          <w:rFonts w:ascii="Minion Pro" w:hAnsi="Minion Pro"/>
        </w:rPr>
        <w:t xml:space="preserve">**p &lt;0.01, </w:t>
      </w:r>
      <w:r w:rsidRPr="00A33AEE">
        <w:rPr>
          <w:rFonts w:ascii="Minion Pro" w:hAnsi="Minion Pro"/>
        </w:rPr>
        <w:t>*p &lt; 0.05, comparisons between the indicated groups.</w:t>
      </w:r>
      <w:r>
        <w:rPr>
          <w:rFonts w:ascii="Minion Pro" w:hAnsi="Minion Pro"/>
        </w:rPr>
        <w:t xml:space="preserve"> </w:t>
      </w:r>
      <w:r w:rsidRPr="00656C44">
        <w:rPr>
          <w:rFonts w:ascii="Minion Pro" w:hAnsi="Minion Pro" w:hint="eastAsia"/>
          <w:b/>
          <w:bCs/>
        </w:rPr>
        <w:t>e</w:t>
      </w:r>
      <w:r>
        <w:rPr>
          <w:rFonts w:ascii="Minion Pro" w:hAnsi="Minion Pro"/>
        </w:rPr>
        <w:t xml:space="preserve">, Immunofluorescence staining of macrophages labelled by CD68 around the hematoma in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  <w:i/>
          <w:iCs/>
        </w:rPr>
        <w:t>-</w:t>
      </w:r>
      <w:r>
        <w:rPr>
          <w:rFonts w:ascii="Minion Pro" w:hAnsi="Minion Pro"/>
        </w:rPr>
        <w:t xml:space="preserve">cKO mice at d 7 post-ICH. </w:t>
      </w:r>
      <w:r w:rsidRPr="00CE6344">
        <w:rPr>
          <w:rFonts w:ascii="Minion Pro" w:hAnsi="Minion Pro"/>
        </w:rPr>
        <w:t>Dotted white lines outline</w:t>
      </w:r>
      <w:r>
        <w:rPr>
          <w:rFonts w:ascii="Minion Pro" w:hAnsi="Minion Pro"/>
        </w:rPr>
        <w:t>d</w:t>
      </w:r>
      <w:r w:rsidRPr="00CE6344">
        <w:rPr>
          <w:rFonts w:ascii="Minion Pro" w:hAnsi="Minion Pro"/>
        </w:rPr>
        <w:t xml:space="preserve"> the hematoma. </w:t>
      </w:r>
      <w:r>
        <w:rPr>
          <w:rFonts w:ascii="Minion Pro" w:hAnsi="Minion Pro"/>
        </w:rPr>
        <w:t xml:space="preserve">Scale bar: 500 μm. The magnifications (magenta </w:t>
      </w:r>
      <w:r w:rsidRPr="00CE6344">
        <w:rPr>
          <w:rFonts w:ascii="Minion Pro" w:hAnsi="Minion Pro"/>
        </w:rPr>
        <w:t>dotted</w:t>
      </w:r>
      <w:r>
        <w:rPr>
          <w:rFonts w:ascii="Minion Pro" w:hAnsi="Minion Pro"/>
        </w:rPr>
        <w:t xml:space="preserve"> area) at right showed perihematomal macrophages. Scale bar: 100 μm. The bar plots showed </w:t>
      </w:r>
      <w:r w:rsidRPr="00CE6344">
        <w:rPr>
          <w:rFonts w:ascii="Minion Pro" w:hAnsi="Minion Pro"/>
        </w:rPr>
        <w:t>a statistic</w:t>
      </w:r>
      <w:r>
        <w:rPr>
          <w:rFonts w:ascii="Minion Pro" w:hAnsi="Minion Pro"/>
        </w:rPr>
        <w:t xml:space="preserve">s </w:t>
      </w:r>
      <w:r w:rsidRPr="00CE6344">
        <w:rPr>
          <w:rFonts w:ascii="Minion Pro" w:hAnsi="Minion Pro"/>
        </w:rPr>
        <w:t>of macrophages number per 0.25mm</w:t>
      </w:r>
      <w:r w:rsidRPr="00CE6344">
        <w:rPr>
          <w:rFonts w:ascii="Minion Pro" w:hAnsi="Minion Pro"/>
          <w:vertAlign w:val="superscript"/>
        </w:rPr>
        <w:t>2</w:t>
      </w:r>
      <w:r w:rsidRPr="00CE6344">
        <w:rPr>
          <w:rFonts w:ascii="Minion Pro" w:hAnsi="Minion Pro"/>
        </w:rPr>
        <w:t xml:space="preserve"> </w:t>
      </w:r>
      <w:r>
        <w:rPr>
          <w:rFonts w:ascii="Minion Pro" w:hAnsi="Minion Pro"/>
        </w:rPr>
        <w:t xml:space="preserve">area </w:t>
      </w:r>
      <w:r w:rsidRPr="00CE6344">
        <w:rPr>
          <w:rFonts w:ascii="Minion Pro" w:hAnsi="Minion Pro"/>
        </w:rPr>
        <w:t>around the hematoma</w:t>
      </w:r>
      <w:r>
        <w:rPr>
          <w:rFonts w:ascii="Minion Pro" w:hAnsi="Minion Pro"/>
        </w:rPr>
        <w:t xml:space="preserve"> with mean, SD and individual points. </w:t>
      </w:r>
      <w:r>
        <w:rPr>
          <w:rFonts w:ascii="Minion Pro" w:hAnsi="Minion Pro" w:hint="eastAsia"/>
        </w:rPr>
        <w:t>n</w:t>
      </w:r>
      <w:r>
        <w:rPr>
          <w:rFonts w:ascii="Minion Pro" w:hAnsi="Minion Pro"/>
        </w:rPr>
        <w:t xml:space="preserve"> = 5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 xml:space="preserve">-cKO mice per group, </w:t>
      </w:r>
      <w:r w:rsidRPr="00DF3C99">
        <w:rPr>
          <w:rFonts w:ascii="Minion Pro" w:hAnsi="Minion Pro"/>
        </w:rPr>
        <w:t>two-tailed Mann–Whitney U-test.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*p &lt; 0.0</w:t>
      </w:r>
      <w:r>
        <w:rPr>
          <w:rFonts w:ascii="Minion Pro" w:hAnsi="Minion Pro"/>
        </w:rPr>
        <w:t>5</w:t>
      </w:r>
      <w:r w:rsidRPr="00DF3C99">
        <w:rPr>
          <w:rFonts w:ascii="Minion Pro" w:hAnsi="Minion Pro"/>
        </w:rPr>
        <w:t>, U</w:t>
      </w:r>
      <w:r>
        <w:rPr>
          <w:rFonts w:ascii="Minion Pro" w:hAnsi="Minion Pro"/>
        </w:rPr>
        <w:t xml:space="preserve"> </w:t>
      </w:r>
      <w:r w:rsidRPr="00DF3C99">
        <w:rPr>
          <w:rFonts w:ascii="Minion Pro" w:hAnsi="Minion Pro"/>
        </w:rPr>
        <w:t>=</w:t>
      </w:r>
      <w:r>
        <w:rPr>
          <w:rFonts w:ascii="Minion Pro" w:hAnsi="Minion Pro"/>
        </w:rPr>
        <w:t xml:space="preserve"> 1. </w:t>
      </w:r>
      <w:r w:rsidRPr="00E51B6E">
        <w:rPr>
          <w:rFonts w:ascii="Minion Pro" w:hAnsi="Minion Pro" w:hint="eastAsia"/>
          <w:b/>
          <w:bCs/>
        </w:rPr>
        <w:t>f</w:t>
      </w:r>
      <w:r>
        <w:rPr>
          <w:rFonts w:ascii="Minion Pro" w:hAnsi="Minion Pro"/>
        </w:rPr>
        <w:t xml:space="preserve">. Nissl staining showed the hematoma area and perihematomal scar in WT and </w:t>
      </w:r>
      <w:r w:rsidRPr="00A6229D">
        <w:rPr>
          <w:rFonts w:ascii="Minion Pro" w:hAnsi="Minion Pro"/>
          <w:i/>
          <w:iCs/>
        </w:rPr>
        <w:t>Gpr37l1</w:t>
      </w:r>
      <w:r>
        <w:rPr>
          <w:rFonts w:ascii="Minion Pro" w:hAnsi="Minion Pro"/>
        </w:rPr>
        <w:t>-cKO mice at d 7 post-ICH. Scale bar: 1 mm. The magnifications (</w:t>
      </w:r>
      <w:r w:rsidRPr="00CE6344">
        <w:rPr>
          <w:rFonts w:ascii="Minion Pro" w:hAnsi="Minion Pro"/>
        </w:rPr>
        <w:t>dotted</w:t>
      </w:r>
      <w:r>
        <w:rPr>
          <w:rFonts w:ascii="Minion Pro" w:hAnsi="Minion Pro"/>
        </w:rPr>
        <w:t xml:space="preserve"> area) showed at right. Scale bar: 100 μm.</w:t>
      </w:r>
    </w:p>
    <w:p w14:paraId="4848DC03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p w14:paraId="2E2D39AE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p w14:paraId="180A92D8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p w14:paraId="68B018A5" w14:textId="77777777" w:rsidR="00393765" w:rsidRDefault="00393765" w:rsidP="00393765">
      <w:pPr>
        <w:widowControl/>
        <w:jc w:val="left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br w:type="page"/>
      </w:r>
    </w:p>
    <w:p w14:paraId="46AE6A47" w14:textId="77777777" w:rsidR="00393765" w:rsidRDefault="00393765" w:rsidP="00393765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  <w:r>
        <w:rPr>
          <w:rFonts w:ascii="Minion Pro" w:eastAsia="SimSun" w:hAnsi="Minion Pro" w:cs="Times New Roman" w:hint="eastAsia"/>
          <w:noProof/>
          <w:kern w:val="0"/>
          <w:sz w:val="22"/>
          <w:szCs w:val="22"/>
          <w:lang w:eastAsia="en-US"/>
        </w:rPr>
        <w:lastRenderedPageBreak/>
        <w:drawing>
          <wp:inline distT="0" distB="0" distL="0" distR="0" wp14:anchorId="27413BFC" wp14:editId="7C33439B">
            <wp:extent cx="3279693" cy="1784984"/>
            <wp:effectExtent l="0" t="0" r="0" b="6350"/>
            <wp:docPr id="86315678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156785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693" cy="178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FF4B2" w14:textId="77777777" w:rsidR="00393765" w:rsidRDefault="00393765" w:rsidP="00393765">
      <w:pPr>
        <w:widowControl/>
        <w:spacing w:line="360" w:lineRule="auto"/>
        <w:rPr>
          <w:rFonts w:ascii="Minion Pro" w:hAnsi="Minion Pro"/>
        </w:rPr>
      </w:pPr>
      <w:r w:rsidRPr="00E51B6E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Extended Data Fig. 7. </w:t>
      </w:r>
      <w:r w:rsidRPr="004D1E8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TX14 treatment alleviate</w:t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d</w:t>
      </w:r>
      <w:r w:rsidRPr="004D1E8C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BBB destruction and brain edema in ICH mice.</w:t>
      </w:r>
      <w:r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 xml:space="preserve"> </w:t>
      </w:r>
      <w:r w:rsidRPr="00467126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a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, </w:t>
      </w:r>
      <w:r w:rsidRPr="00C02F63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BBB integrity was assessed by the Evan blue extravasation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measurement, </w:t>
      </w:r>
      <w:r>
        <w:rPr>
          <w:rFonts w:ascii="Minion Pro" w:hAnsi="Minion Pro"/>
        </w:rPr>
        <w:t>with mean, SD and individual points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. </w:t>
      </w:r>
      <w:r w:rsidRPr="00C621B2">
        <w:rPr>
          <w:rFonts w:ascii="Minion Pro" w:eastAsia="SimSun" w:hAnsi="Minion Pro" w:cs="Times New Roman"/>
          <w:b/>
          <w:bCs/>
          <w:kern w:val="0"/>
          <w:sz w:val="22"/>
          <w:szCs w:val="22"/>
          <w:lang w:eastAsia="en-US"/>
        </w:rPr>
        <w:t>b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, </w:t>
      </w:r>
      <w:r w:rsidRPr="00C621B2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The severity of cerebral edema was reflected by measuring 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>brain</w:t>
      </w:r>
      <w:r w:rsidRPr="00C621B2"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water content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, </w:t>
      </w:r>
      <w:r>
        <w:rPr>
          <w:rFonts w:ascii="Minion Pro" w:hAnsi="Minion Pro"/>
        </w:rPr>
        <w:t>with mean, SD and individual points.</w:t>
      </w:r>
      <w:r>
        <w:rPr>
          <w:rFonts w:ascii="Minion Pro" w:eastAsia="SimSun" w:hAnsi="Minion Pro" w:cs="Times New Roman"/>
          <w:kern w:val="0"/>
          <w:sz w:val="22"/>
          <w:szCs w:val="22"/>
          <w:lang w:eastAsia="en-US"/>
        </w:rPr>
        <w:t xml:space="preserve"> </w:t>
      </w:r>
      <w:r>
        <w:rPr>
          <w:rFonts w:ascii="Minion Pro" w:hAnsi="Minion Pro"/>
        </w:rPr>
        <w:t xml:space="preserve">n = 8 mice per group, one-way ANOVA with correction for Tukey’s multiple comparisons </w:t>
      </w:r>
      <w:r w:rsidRPr="00DF3C99">
        <w:rPr>
          <w:rFonts w:ascii="Minion Pro" w:hAnsi="Minion Pro"/>
        </w:rPr>
        <w:t>test. **</w:t>
      </w:r>
      <w:r>
        <w:rPr>
          <w:rFonts w:ascii="Minion Pro" w:hAnsi="Minion Pro"/>
        </w:rPr>
        <w:t>*</w:t>
      </w:r>
      <w:r w:rsidRPr="00DF3C99">
        <w:rPr>
          <w:rFonts w:ascii="Minion Pro" w:hAnsi="Minion Pro"/>
        </w:rPr>
        <w:t>p &lt; 0.0</w:t>
      </w:r>
      <w:r>
        <w:rPr>
          <w:rFonts w:ascii="Minion Pro" w:hAnsi="Minion Pro"/>
        </w:rPr>
        <w:t>0</w:t>
      </w:r>
      <w:r w:rsidRPr="00DF3C99">
        <w:rPr>
          <w:rFonts w:ascii="Minion Pro" w:hAnsi="Minion Pro"/>
        </w:rPr>
        <w:t>1, **p &lt; 0.</w:t>
      </w:r>
      <w:r>
        <w:rPr>
          <w:rFonts w:ascii="Minion Pro" w:hAnsi="Minion Pro"/>
        </w:rPr>
        <w:t>0</w:t>
      </w:r>
      <w:r w:rsidRPr="00DF3C99">
        <w:rPr>
          <w:rFonts w:ascii="Minion Pro" w:hAnsi="Minion Pro"/>
        </w:rPr>
        <w:t>1,</w:t>
      </w:r>
      <w:r>
        <w:rPr>
          <w:rFonts w:ascii="Minion Pro" w:hAnsi="Minion Pro"/>
        </w:rPr>
        <w:t xml:space="preserve"> </w:t>
      </w:r>
      <w:r w:rsidRPr="00A33AEE">
        <w:rPr>
          <w:rFonts w:ascii="Minion Pro" w:hAnsi="Minion Pro"/>
        </w:rPr>
        <w:t>comparisons between the indicated groups.</w:t>
      </w:r>
    </w:p>
    <w:p w14:paraId="3705CA2B" w14:textId="3C761CB8" w:rsidR="00393765" w:rsidRPr="00C02F63" w:rsidRDefault="00393765" w:rsidP="00C621B2">
      <w:pPr>
        <w:widowControl/>
        <w:spacing w:line="360" w:lineRule="auto"/>
        <w:rPr>
          <w:rFonts w:ascii="Minion Pro" w:eastAsia="SimSun" w:hAnsi="Minion Pro" w:cs="Times New Roman"/>
          <w:kern w:val="0"/>
          <w:sz w:val="22"/>
          <w:szCs w:val="22"/>
          <w:lang w:eastAsia="en-US"/>
        </w:rPr>
      </w:pPr>
    </w:p>
    <w:sectPr w:rsidR="00393765" w:rsidRPr="00C02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E58DE" w14:textId="77777777" w:rsidR="00606D92" w:rsidRDefault="00606D92">
      <w:r>
        <w:separator/>
      </w:r>
    </w:p>
  </w:endnote>
  <w:endnote w:type="continuationSeparator" w:id="0">
    <w:p w14:paraId="398466F2" w14:textId="77777777" w:rsidR="00606D92" w:rsidRDefault="00606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dvTTeb5f0e55.I">
    <w:altName w:val="Cambria"/>
    <w:panose1 w:val="00000000000000000000"/>
    <w:charset w:val="00"/>
    <w:family w:val="roman"/>
    <w:notTrueType/>
    <w:pitch w:val="default"/>
  </w:font>
  <w:font w:name="AdvTTa9c1b374+20">
    <w:altName w:val="Cambria"/>
    <w:panose1 w:val="00000000000000000000"/>
    <w:charset w:val="00"/>
    <w:family w:val="roman"/>
    <w:notTrueType/>
    <w:pitch w:val="default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01078" w14:textId="77777777" w:rsidR="00606D92" w:rsidRDefault="00606D92">
      <w:r>
        <w:separator/>
      </w:r>
    </w:p>
  </w:footnote>
  <w:footnote w:type="continuationSeparator" w:id="0">
    <w:p w14:paraId="6824F2F6" w14:textId="77777777" w:rsidR="00606D92" w:rsidRDefault="00606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83776A9"/>
    <w:multiLevelType w:val="hybridMultilevel"/>
    <w:tmpl w:val="025CC16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5921010">
    <w:abstractNumId w:val="1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 w16cid:durableId="466632617">
    <w:abstractNumId w:val="3"/>
  </w:num>
  <w:num w:numId="3" w16cid:durableId="1800345022">
    <w:abstractNumId w:val="5"/>
  </w:num>
  <w:num w:numId="4" w16cid:durableId="130447301">
    <w:abstractNumId w:val="8"/>
  </w:num>
  <w:num w:numId="5" w16cid:durableId="1752891538">
    <w:abstractNumId w:val="9"/>
  </w:num>
  <w:num w:numId="6" w16cid:durableId="116336194">
    <w:abstractNumId w:val="6"/>
  </w:num>
  <w:num w:numId="7" w16cid:durableId="1161585497">
    <w:abstractNumId w:val="2"/>
  </w:num>
  <w:num w:numId="8" w16cid:durableId="327098255">
    <w:abstractNumId w:val="7"/>
  </w:num>
  <w:num w:numId="9" w16cid:durableId="98911548">
    <w:abstractNumId w:val="4"/>
  </w:num>
  <w:num w:numId="10" w16cid:durableId="380834003">
    <w:abstractNumId w:val="1"/>
  </w:num>
  <w:num w:numId="11" w16cid:durableId="317880159">
    <w:abstractNumId w:val="0"/>
  </w:num>
  <w:num w:numId="12" w16cid:durableId="1761221680">
    <w:abstractNumId w:val="11"/>
  </w:num>
  <w:num w:numId="13" w16cid:durableId="12936342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0ZTRjOGI3ODZkNWYyMDc4NTdjMzA0MTlhNzNhZj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5adzvzyd9sd9erefnvztegxdspzp9ez9ft&quot;&gt;我的EndNote库-Converted&lt;record-ids&gt;&lt;item&gt;620&lt;/item&gt;&lt;item&gt;621&lt;/item&gt;&lt;item&gt;622&lt;/item&gt;&lt;item&gt;623&lt;/item&gt;&lt;item&gt;624&lt;/item&gt;&lt;item&gt;626&lt;/item&gt;&lt;item&gt;627&lt;/item&gt;&lt;item&gt;629&lt;/item&gt;&lt;item&gt;630&lt;/item&gt;&lt;item&gt;631&lt;/item&gt;&lt;item&gt;632&lt;/item&gt;&lt;item&gt;633&lt;/item&gt;&lt;item&gt;634&lt;/item&gt;&lt;item&gt;635&lt;/item&gt;&lt;item&gt;636&lt;/item&gt;&lt;item&gt;637&lt;/item&gt;&lt;item&gt;638&lt;/item&gt;&lt;item&gt;639&lt;/item&gt;&lt;item&gt;640&lt;/item&gt;&lt;item&gt;642&lt;/item&gt;&lt;item&gt;643&lt;/item&gt;&lt;item&gt;644&lt;/item&gt;&lt;item&gt;647&lt;/item&gt;&lt;item&gt;649&lt;/item&gt;&lt;item&gt;651&lt;/item&gt;&lt;item&gt;654&lt;/item&gt;&lt;item&gt;656&lt;/item&gt;&lt;item&gt;657&lt;/item&gt;&lt;item&gt;659&lt;/item&gt;&lt;item&gt;660&lt;/item&gt;&lt;item&gt;664&lt;/item&gt;&lt;item&gt;665&lt;/item&gt;&lt;item&gt;666&lt;/item&gt;&lt;item&gt;668&lt;/item&gt;&lt;item&gt;669&lt;/item&gt;&lt;item&gt;670&lt;/item&gt;&lt;item&gt;672&lt;/item&gt;&lt;item&gt;673&lt;/item&gt;&lt;item&gt;674&lt;/item&gt;&lt;item&gt;675&lt;/item&gt;&lt;item&gt;677&lt;/item&gt;&lt;item&gt;678&lt;/item&gt;&lt;item&gt;679&lt;/item&gt;&lt;item&gt;680&lt;/item&gt;&lt;item&gt;683&lt;/item&gt;&lt;item&gt;684&lt;/item&gt;&lt;item&gt;685&lt;/item&gt;&lt;item&gt;686&lt;/item&gt;&lt;item&gt;687&lt;/item&gt;&lt;item&gt;688&lt;/item&gt;&lt;item&gt;695&lt;/item&gt;&lt;item&gt;696&lt;/item&gt;&lt;/record-ids&gt;&lt;/item&gt;&lt;/Libraries&gt;"/>
    <w:docVar w:name="MachineID" w:val="204|199|197|199|200|197|187|202|197|187|201|197|198|204|197|198|202|"/>
    <w:docVar w:name="Username" w:val="Quality Control Editor"/>
  </w:docVars>
  <w:rsids>
    <w:rsidRoot w:val="00A10739"/>
    <w:rsid w:val="00002CD2"/>
    <w:rsid w:val="0000371C"/>
    <w:rsid w:val="00005C7E"/>
    <w:rsid w:val="00006D93"/>
    <w:rsid w:val="00011C38"/>
    <w:rsid w:val="00016210"/>
    <w:rsid w:val="000166AD"/>
    <w:rsid w:val="00021E76"/>
    <w:rsid w:val="0002211B"/>
    <w:rsid w:val="00023017"/>
    <w:rsid w:val="0003015C"/>
    <w:rsid w:val="0003367B"/>
    <w:rsid w:val="00036C06"/>
    <w:rsid w:val="00041D45"/>
    <w:rsid w:val="00043755"/>
    <w:rsid w:val="00046E7F"/>
    <w:rsid w:val="000470AD"/>
    <w:rsid w:val="00051B5D"/>
    <w:rsid w:val="00054F51"/>
    <w:rsid w:val="000571C6"/>
    <w:rsid w:val="00062A4C"/>
    <w:rsid w:val="00064F6D"/>
    <w:rsid w:val="0006695C"/>
    <w:rsid w:val="00070E31"/>
    <w:rsid w:val="00074565"/>
    <w:rsid w:val="00074DD9"/>
    <w:rsid w:val="00075CBD"/>
    <w:rsid w:val="00081ACF"/>
    <w:rsid w:val="00082150"/>
    <w:rsid w:val="000835E7"/>
    <w:rsid w:val="000841D4"/>
    <w:rsid w:val="000858E8"/>
    <w:rsid w:val="00087F44"/>
    <w:rsid w:val="00091337"/>
    <w:rsid w:val="0009478C"/>
    <w:rsid w:val="00095910"/>
    <w:rsid w:val="00095A65"/>
    <w:rsid w:val="00096E10"/>
    <w:rsid w:val="000A249C"/>
    <w:rsid w:val="000A252C"/>
    <w:rsid w:val="000A6621"/>
    <w:rsid w:val="000B0EF3"/>
    <w:rsid w:val="000B41E0"/>
    <w:rsid w:val="000C0047"/>
    <w:rsid w:val="000C2080"/>
    <w:rsid w:val="000C20C2"/>
    <w:rsid w:val="000C3D28"/>
    <w:rsid w:val="000C47F0"/>
    <w:rsid w:val="000D014A"/>
    <w:rsid w:val="000D01E3"/>
    <w:rsid w:val="000E0478"/>
    <w:rsid w:val="000E22C2"/>
    <w:rsid w:val="000E317E"/>
    <w:rsid w:val="000E3332"/>
    <w:rsid w:val="000E35AF"/>
    <w:rsid w:val="000E5443"/>
    <w:rsid w:val="000E63F4"/>
    <w:rsid w:val="000F7C09"/>
    <w:rsid w:val="00102FB6"/>
    <w:rsid w:val="001039BC"/>
    <w:rsid w:val="00105C37"/>
    <w:rsid w:val="00110F95"/>
    <w:rsid w:val="0011326F"/>
    <w:rsid w:val="00113AA6"/>
    <w:rsid w:val="001149BB"/>
    <w:rsid w:val="00116872"/>
    <w:rsid w:val="00117685"/>
    <w:rsid w:val="00117F6D"/>
    <w:rsid w:val="001200FD"/>
    <w:rsid w:val="00123014"/>
    <w:rsid w:val="00124A2C"/>
    <w:rsid w:val="00126EE2"/>
    <w:rsid w:val="001325FA"/>
    <w:rsid w:val="00133496"/>
    <w:rsid w:val="001360D9"/>
    <w:rsid w:val="001368E9"/>
    <w:rsid w:val="00142BE4"/>
    <w:rsid w:val="00144052"/>
    <w:rsid w:val="0014537D"/>
    <w:rsid w:val="00151C7A"/>
    <w:rsid w:val="001521C4"/>
    <w:rsid w:val="00156B40"/>
    <w:rsid w:val="00156B54"/>
    <w:rsid w:val="00160847"/>
    <w:rsid w:val="00171E15"/>
    <w:rsid w:val="00174A69"/>
    <w:rsid w:val="00175744"/>
    <w:rsid w:val="00175D49"/>
    <w:rsid w:val="00176DED"/>
    <w:rsid w:val="00177A51"/>
    <w:rsid w:val="001840AD"/>
    <w:rsid w:val="00184675"/>
    <w:rsid w:val="00192197"/>
    <w:rsid w:val="00192DE0"/>
    <w:rsid w:val="00196676"/>
    <w:rsid w:val="001A3929"/>
    <w:rsid w:val="001A3A5A"/>
    <w:rsid w:val="001A483A"/>
    <w:rsid w:val="001A5725"/>
    <w:rsid w:val="001A66F6"/>
    <w:rsid w:val="001B3261"/>
    <w:rsid w:val="001C550C"/>
    <w:rsid w:val="001C67C0"/>
    <w:rsid w:val="001C6833"/>
    <w:rsid w:val="001C6BC8"/>
    <w:rsid w:val="001D4024"/>
    <w:rsid w:val="001D7731"/>
    <w:rsid w:val="001E58B9"/>
    <w:rsid w:val="001E5E25"/>
    <w:rsid w:val="001E6D4B"/>
    <w:rsid w:val="001E740B"/>
    <w:rsid w:val="001F06D4"/>
    <w:rsid w:val="001F08ED"/>
    <w:rsid w:val="001F0CCD"/>
    <w:rsid w:val="001F13DE"/>
    <w:rsid w:val="001F7174"/>
    <w:rsid w:val="00202D76"/>
    <w:rsid w:val="00203E22"/>
    <w:rsid w:val="00204102"/>
    <w:rsid w:val="00204B20"/>
    <w:rsid w:val="00206926"/>
    <w:rsid w:val="00210747"/>
    <w:rsid w:val="0021088D"/>
    <w:rsid w:val="002121E7"/>
    <w:rsid w:val="00216E1A"/>
    <w:rsid w:val="00216FE4"/>
    <w:rsid w:val="0021717E"/>
    <w:rsid w:val="00217A41"/>
    <w:rsid w:val="00222ACB"/>
    <w:rsid w:val="00224A82"/>
    <w:rsid w:val="00225359"/>
    <w:rsid w:val="0022717C"/>
    <w:rsid w:val="002275F2"/>
    <w:rsid w:val="00227C39"/>
    <w:rsid w:val="00231C3F"/>
    <w:rsid w:val="00231EC2"/>
    <w:rsid w:val="00232BE9"/>
    <w:rsid w:val="00233230"/>
    <w:rsid w:val="0023338D"/>
    <w:rsid w:val="0023370C"/>
    <w:rsid w:val="00234708"/>
    <w:rsid w:val="0023679E"/>
    <w:rsid w:val="00237903"/>
    <w:rsid w:val="002412F0"/>
    <w:rsid w:val="0024245B"/>
    <w:rsid w:val="00247D8B"/>
    <w:rsid w:val="002518F4"/>
    <w:rsid w:val="00252D86"/>
    <w:rsid w:val="00254261"/>
    <w:rsid w:val="002565A7"/>
    <w:rsid w:val="00257AF9"/>
    <w:rsid w:val="00260B71"/>
    <w:rsid w:val="00260C1E"/>
    <w:rsid w:val="0026361E"/>
    <w:rsid w:val="00263759"/>
    <w:rsid w:val="00263E83"/>
    <w:rsid w:val="00270F2D"/>
    <w:rsid w:val="00271AE3"/>
    <w:rsid w:val="002721E0"/>
    <w:rsid w:val="00272CED"/>
    <w:rsid w:val="00274CE8"/>
    <w:rsid w:val="00281204"/>
    <w:rsid w:val="00281BE9"/>
    <w:rsid w:val="002831C4"/>
    <w:rsid w:val="00283C9D"/>
    <w:rsid w:val="002848CB"/>
    <w:rsid w:val="00285403"/>
    <w:rsid w:val="00285A1B"/>
    <w:rsid w:val="002867DE"/>
    <w:rsid w:val="00287B35"/>
    <w:rsid w:val="0029030E"/>
    <w:rsid w:val="00291982"/>
    <w:rsid w:val="00294BE6"/>
    <w:rsid w:val="0029598B"/>
    <w:rsid w:val="00295A24"/>
    <w:rsid w:val="00296FAA"/>
    <w:rsid w:val="00297533"/>
    <w:rsid w:val="002A062D"/>
    <w:rsid w:val="002A55F8"/>
    <w:rsid w:val="002A5DC4"/>
    <w:rsid w:val="002A634C"/>
    <w:rsid w:val="002B103B"/>
    <w:rsid w:val="002B271D"/>
    <w:rsid w:val="002B653E"/>
    <w:rsid w:val="002B79B6"/>
    <w:rsid w:val="002C109C"/>
    <w:rsid w:val="002C60F0"/>
    <w:rsid w:val="002D0DFC"/>
    <w:rsid w:val="002D26ED"/>
    <w:rsid w:val="002D4FC5"/>
    <w:rsid w:val="002D5A39"/>
    <w:rsid w:val="002D5F2C"/>
    <w:rsid w:val="002D703A"/>
    <w:rsid w:val="002E463A"/>
    <w:rsid w:val="002E53AC"/>
    <w:rsid w:val="002E5BFA"/>
    <w:rsid w:val="002E5F10"/>
    <w:rsid w:val="002E6072"/>
    <w:rsid w:val="002E6FD5"/>
    <w:rsid w:val="002F2FDF"/>
    <w:rsid w:val="002F7B7E"/>
    <w:rsid w:val="002F7FF1"/>
    <w:rsid w:val="0030003B"/>
    <w:rsid w:val="00300A4A"/>
    <w:rsid w:val="00305509"/>
    <w:rsid w:val="0030656C"/>
    <w:rsid w:val="003106AE"/>
    <w:rsid w:val="003115C9"/>
    <w:rsid w:val="00316007"/>
    <w:rsid w:val="003236CB"/>
    <w:rsid w:val="003268B7"/>
    <w:rsid w:val="00327522"/>
    <w:rsid w:val="0033007D"/>
    <w:rsid w:val="00331015"/>
    <w:rsid w:val="00333026"/>
    <w:rsid w:val="00334356"/>
    <w:rsid w:val="0033481E"/>
    <w:rsid w:val="003412C4"/>
    <w:rsid w:val="00341364"/>
    <w:rsid w:val="00341FE4"/>
    <w:rsid w:val="00342BD6"/>
    <w:rsid w:val="003438E9"/>
    <w:rsid w:val="00346DDE"/>
    <w:rsid w:val="003476B2"/>
    <w:rsid w:val="00350D7D"/>
    <w:rsid w:val="00351402"/>
    <w:rsid w:val="003528D2"/>
    <w:rsid w:val="0035496B"/>
    <w:rsid w:val="00354DE9"/>
    <w:rsid w:val="00355059"/>
    <w:rsid w:val="00355C43"/>
    <w:rsid w:val="00356F2E"/>
    <w:rsid w:val="0035732A"/>
    <w:rsid w:val="003668E7"/>
    <w:rsid w:val="00366C9C"/>
    <w:rsid w:val="00367541"/>
    <w:rsid w:val="00372571"/>
    <w:rsid w:val="00374BE2"/>
    <w:rsid w:val="00375A27"/>
    <w:rsid w:val="00382688"/>
    <w:rsid w:val="00384B3E"/>
    <w:rsid w:val="00385BCE"/>
    <w:rsid w:val="003866E7"/>
    <w:rsid w:val="00386BD5"/>
    <w:rsid w:val="00393765"/>
    <w:rsid w:val="00393DE9"/>
    <w:rsid w:val="003942D1"/>
    <w:rsid w:val="00395FBF"/>
    <w:rsid w:val="003A114B"/>
    <w:rsid w:val="003A1642"/>
    <w:rsid w:val="003A53E2"/>
    <w:rsid w:val="003A6075"/>
    <w:rsid w:val="003B1D08"/>
    <w:rsid w:val="003B2144"/>
    <w:rsid w:val="003B2975"/>
    <w:rsid w:val="003B4D5C"/>
    <w:rsid w:val="003B5B3B"/>
    <w:rsid w:val="003C0104"/>
    <w:rsid w:val="003C27A7"/>
    <w:rsid w:val="003D0385"/>
    <w:rsid w:val="003D2EA0"/>
    <w:rsid w:val="003D3B85"/>
    <w:rsid w:val="003D4684"/>
    <w:rsid w:val="003D5085"/>
    <w:rsid w:val="003D6267"/>
    <w:rsid w:val="003E28F3"/>
    <w:rsid w:val="003E424C"/>
    <w:rsid w:val="003E4BAF"/>
    <w:rsid w:val="003F4A5C"/>
    <w:rsid w:val="003F4E50"/>
    <w:rsid w:val="003F7D16"/>
    <w:rsid w:val="003F7D51"/>
    <w:rsid w:val="004001DC"/>
    <w:rsid w:val="00400A8F"/>
    <w:rsid w:val="0040276D"/>
    <w:rsid w:val="00402936"/>
    <w:rsid w:val="00403646"/>
    <w:rsid w:val="0040548D"/>
    <w:rsid w:val="0040567E"/>
    <w:rsid w:val="00405956"/>
    <w:rsid w:val="00410430"/>
    <w:rsid w:val="004110E0"/>
    <w:rsid w:val="00412B8A"/>
    <w:rsid w:val="00413032"/>
    <w:rsid w:val="004136A9"/>
    <w:rsid w:val="004140F6"/>
    <w:rsid w:val="00414892"/>
    <w:rsid w:val="00414A9E"/>
    <w:rsid w:val="00421750"/>
    <w:rsid w:val="00423C39"/>
    <w:rsid w:val="00424F3B"/>
    <w:rsid w:val="00425BA7"/>
    <w:rsid w:val="00426FCF"/>
    <w:rsid w:val="004320D1"/>
    <w:rsid w:val="00435DB2"/>
    <w:rsid w:val="00436142"/>
    <w:rsid w:val="00436B1B"/>
    <w:rsid w:val="004377E7"/>
    <w:rsid w:val="0044170A"/>
    <w:rsid w:val="004449DD"/>
    <w:rsid w:val="00444F16"/>
    <w:rsid w:val="004478B5"/>
    <w:rsid w:val="00450C19"/>
    <w:rsid w:val="00450C66"/>
    <w:rsid w:val="004514CB"/>
    <w:rsid w:val="00456559"/>
    <w:rsid w:val="00457FCE"/>
    <w:rsid w:val="0046070D"/>
    <w:rsid w:val="00461265"/>
    <w:rsid w:val="00461F4C"/>
    <w:rsid w:val="0046243E"/>
    <w:rsid w:val="00467126"/>
    <w:rsid w:val="004673B1"/>
    <w:rsid w:val="00470EB8"/>
    <w:rsid w:val="00473563"/>
    <w:rsid w:val="004770DF"/>
    <w:rsid w:val="00481E03"/>
    <w:rsid w:val="00482E8F"/>
    <w:rsid w:val="00483427"/>
    <w:rsid w:val="0048448E"/>
    <w:rsid w:val="00487270"/>
    <w:rsid w:val="00487902"/>
    <w:rsid w:val="0049099F"/>
    <w:rsid w:val="004913C8"/>
    <w:rsid w:val="00493C37"/>
    <w:rsid w:val="00494738"/>
    <w:rsid w:val="004951B3"/>
    <w:rsid w:val="00495248"/>
    <w:rsid w:val="004952B6"/>
    <w:rsid w:val="004A1D51"/>
    <w:rsid w:val="004A2A70"/>
    <w:rsid w:val="004A5123"/>
    <w:rsid w:val="004A5222"/>
    <w:rsid w:val="004A6378"/>
    <w:rsid w:val="004B2389"/>
    <w:rsid w:val="004B6E32"/>
    <w:rsid w:val="004C0E76"/>
    <w:rsid w:val="004C16C1"/>
    <w:rsid w:val="004C3630"/>
    <w:rsid w:val="004C4072"/>
    <w:rsid w:val="004C5BDD"/>
    <w:rsid w:val="004C7EF9"/>
    <w:rsid w:val="004D1971"/>
    <w:rsid w:val="004D1E8C"/>
    <w:rsid w:val="004D213D"/>
    <w:rsid w:val="004D594F"/>
    <w:rsid w:val="004D6AF0"/>
    <w:rsid w:val="004D7B02"/>
    <w:rsid w:val="004E1297"/>
    <w:rsid w:val="004E22C1"/>
    <w:rsid w:val="004E3A5B"/>
    <w:rsid w:val="004E65E0"/>
    <w:rsid w:val="004E6C50"/>
    <w:rsid w:val="004F031D"/>
    <w:rsid w:val="004F2F7B"/>
    <w:rsid w:val="004F45A5"/>
    <w:rsid w:val="004F531B"/>
    <w:rsid w:val="004F5732"/>
    <w:rsid w:val="004F7737"/>
    <w:rsid w:val="00501E23"/>
    <w:rsid w:val="0050268A"/>
    <w:rsid w:val="00503376"/>
    <w:rsid w:val="005033D8"/>
    <w:rsid w:val="00504669"/>
    <w:rsid w:val="00506072"/>
    <w:rsid w:val="00520088"/>
    <w:rsid w:val="0052183E"/>
    <w:rsid w:val="00522762"/>
    <w:rsid w:val="00525969"/>
    <w:rsid w:val="0053019E"/>
    <w:rsid w:val="00532A41"/>
    <w:rsid w:val="00532D81"/>
    <w:rsid w:val="00533B82"/>
    <w:rsid w:val="00534C24"/>
    <w:rsid w:val="0053794C"/>
    <w:rsid w:val="00540FB3"/>
    <w:rsid w:val="005417D6"/>
    <w:rsid w:val="005446C6"/>
    <w:rsid w:val="005459FA"/>
    <w:rsid w:val="005472C9"/>
    <w:rsid w:val="0055046E"/>
    <w:rsid w:val="00551703"/>
    <w:rsid w:val="00553A0C"/>
    <w:rsid w:val="00554061"/>
    <w:rsid w:val="005546C2"/>
    <w:rsid w:val="0056010E"/>
    <w:rsid w:val="00560BB4"/>
    <w:rsid w:val="00561B4E"/>
    <w:rsid w:val="00562866"/>
    <w:rsid w:val="0056287D"/>
    <w:rsid w:val="00566009"/>
    <w:rsid w:val="00566284"/>
    <w:rsid w:val="005718C9"/>
    <w:rsid w:val="00571F1D"/>
    <w:rsid w:val="00574371"/>
    <w:rsid w:val="00574553"/>
    <w:rsid w:val="005748B9"/>
    <w:rsid w:val="0058023A"/>
    <w:rsid w:val="00581D15"/>
    <w:rsid w:val="005827B0"/>
    <w:rsid w:val="00596C1C"/>
    <w:rsid w:val="005A3F7D"/>
    <w:rsid w:val="005A7771"/>
    <w:rsid w:val="005B0579"/>
    <w:rsid w:val="005B061C"/>
    <w:rsid w:val="005B118B"/>
    <w:rsid w:val="005B1719"/>
    <w:rsid w:val="005B6BF6"/>
    <w:rsid w:val="005C05C6"/>
    <w:rsid w:val="005C1419"/>
    <w:rsid w:val="005C261D"/>
    <w:rsid w:val="005C2F83"/>
    <w:rsid w:val="005C396E"/>
    <w:rsid w:val="005C3DB4"/>
    <w:rsid w:val="005C4BCE"/>
    <w:rsid w:val="005C51D9"/>
    <w:rsid w:val="005C57B1"/>
    <w:rsid w:val="005C756B"/>
    <w:rsid w:val="005D2DB1"/>
    <w:rsid w:val="005D2F17"/>
    <w:rsid w:val="005D5CBF"/>
    <w:rsid w:val="005D7B0C"/>
    <w:rsid w:val="005E43D4"/>
    <w:rsid w:val="005E65C2"/>
    <w:rsid w:val="005E6C7C"/>
    <w:rsid w:val="005E791E"/>
    <w:rsid w:val="005F4F60"/>
    <w:rsid w:val="005F5A37"/>
    <w:rsid w:val="00601529"/>
    <w:rsid w:val="00602FB5"/>
    <w:rsid w:val="0060383B"/>
    <w:rsid w:val="00605AD8"/>
    <w:rsid w:val="00606D92"/>
    <w:rsid w:val="00607FD8"/>
    <w:rsid w:val="00612613"/>
    <w:rsid w:val="006128A9"/>
    <w:rsid w:val="00614824"/>
    <w:rsid w:val="00617373"/>
    <w:rsid w:val="00621DFD"/>
    <w:rsid w:val="00624332"/>
    <w:rsid w:val="00625589"/>
    <w:rsid w:val="0062702E"/>
    <w:rsid w:val="00632F5B"/>
    <w:rsid w:val="00634184"/>
    <w:rsid w:val="0063671B"/>
    <w:rsid w:val="00636ADB"/>
    <w:rsid w:val="00641983"/>
    <w:rsid w:val="00645C83"/>
    <w:rsid w:val="006471A3"/>
    <w:rsid w:val="00647371"/>
    <w:rsid w:val="00651E97"/>
    <w:rsid w:val="00652185"/>
    <w:rsid w:val="006521BD"/>
    <w:rsid w:val="0065247F"/>
    <w:rsid w:val="00652A43"/>
    <w:rsid w:val="006537FC"/>
    <w:rsid w:val="00653CB8"/>
    <w:rsid w:val="00655DF2"/>
    <w:rsid w:val="00656C44"/>
    <w:rsid w:val="00657588"/>
    <w:rsid w:val="00660319"/>
    <w:rsid w:val="006616CD"/>
    <w:rsid w:val="006625F0"/>
    <w:rsid w:val="006631A6"/>
    <w:rsid w:val="00663E8F"/>
    <w:rsid w:val="00663F97"/>
    <w:rsid w:val="00664848"/>
    <w:rsid w:val="00665270"/>
    <w:rsid w:val="0066562A"/>
    <w:rsid w:val="00666336"/>
    <w:rsid w:val="00666734"/>
    <w:rsid w:val="006709E2"/>
    <w:rsid w:val="00670CBA"/>
    <w:rsid w:val="00671790"/>
    <w:rsid w:val="00673618"/>
    <w:rsid w:val="006763D3"/>
    <w:rsid w:val="00677388"/>
    <w:rsid w:val="00677D55"/>
    <w:rsid w:val="00682E7C"/>
    <w:rsid w:val="00683A73"/>
    <w:rsid w:val="00683C46"/>
    <w:rsid w:val="00685DFE"/>
    <w:rsid w:val="00690EC2"/>
    <w:rsid w:val="006915A3"/>
    <w:rsid w:val="0069215F"/>
    <w:rsid w:val="00692B0B"/>
    <w:rsid w:val="00693E3C"/>
    <w:rsid w:val="0069598F"/>
    <w:rsid w:val="00697638"/>
    <w:rsid w:val="006A0F29"/>
    <w:rsid w:val="006A2147"/>
    <w:rsid w:val="006A24C5"/>
    <w:rsid w:val="006A4197"/>
    <w:rsid w:val="006A696D"/>
    <w:rsid w:val="006B2770"/>
    <w:rsid w:val="006B5DCB"/>
    <w:rsid w:val="006B5FB5"/>
    <w:rsid w:val="006C4489"/>
    <w:rsid w:val="006C44DE"/>
    <w:rsid w:val="006C5FC0"/>
    <w:rsid w:val="006C6A24"/>
    <w:rsid w:val="006C7D38"/>
    <w:rsid w:val="006D288B"/>
    <w:rsid w:val="006D4A93"/>
    <w:rsid w:val="006D574E"/>
    <w:rsid w:val="006D5DE6"/>
    <w:rsid w:val="006D5F7A"/>
    <w:rsid w:val="006D7BE0"/>
    <w:rsid w:val="006E06A2"/>
    <w:rsid w:val="006E169C"/>
    <w:rsid w:val="006E219A"/>
    <w:rsid w:val="006F0D39"/>
    <w:rsid w:val="006F1550"/>
    <w:rsid w:val="006F38A7"/>
    <w:rsid w:val="006F4A13"/>
    <w:rsid w:val="00700206"/>
    <w:rsid w:val="007006DC"/>
    <w:rsid w:val="00700B61"/>
    <w:rsid w:val="00700BA7"/>
    <w:rsid w:val="00702D46"/>
    <w:rsid w:val="00704E43"/>
    <w:rsid w:val="00705E37"/>
    <w:rsid w:val="007078D2"/>
    <w:rsid w:val="00710ED3"/>
    <w:rsid w:val="00711AFE"/>
    <w:rsid w:val="00714A5E"/>
    <w:rsid w:val="00715595"/>
    <w:rsid w:val="00715CA5"/>
    <w:rsid w:val="00717A2E"/>
    <w:rsid w:val="007239DE"/>
    <w:rsid w:val="00725CD3"/>
    <w:rsid w:val="00726C30"/>
    <w:rsid w:val="007278CF"/>
    <w:rsid w:val="00727AB3"/>
    <w:rsid w:val="0073170E"/>
    <w:rsid w:val="007365F3"/>
    <w:rsid w:val="00740C33"/>
    <w:rsid w:val="00740EBE"/>
    <w:rsid w:val="00741372"/>
    <w:rsid w:val="00743FC4"/>
    <w:rsid w:val="00744301"/>
    <w:rsid w:val="00745E3F"/>
    <w:rsid w:val="007471E7"/>
    <w:rsid w:val="007511A4"/>
    <w:rsid w:val="0076037C"/>
    <w:rsid w:val="007605FC"/>
    <w:rsid w:val="00762910"/>
    <w:rsid w:val="00763E07"/>
    <w:rsid w:val="007655ED"/>
    <w:rsid w:val="00767E44"/>
    <w:rsid w:val="007734DA"/>
    <w:rsid w:val="00775CC6"/>
    <w:rsid w:val="007769C1"/>
    <w:rsid w:val="0077757D"/>
    <w:rsid w:val="00781B41"/>
    <w:rsid w:val="00784856"/>
    <w:rsid w:val="007858F7"/>
    <w:rsid w:val="007902F6"/>
    <w:rsid w:val="00791985"/>
    <w:rsid w:val="00792471"/>
    <w:rsid w:val="0079575B"/>
    <w:rsid w:val="0079613D"/>
    <w:rsid w:val="007A00BB"/>
    <w:rsid w:val="007A0943"/>
    <w:rsid w:val="007A1D13"/>
    <w:rsid w:val="007A22AA"/>
    <w:rsid w:val="007A24B7"/>
    <w:rsid w:val="007A4CD7"/>
    <w:rsid w:val="007A6E7F"/>
    <w:rsid w:val="007A7199"/>
    <w:rsid w:val="007B3A2D"/>
    <w:rsid w:val="007B4F85"/>
    <w:rsid w:val="007C711F"/>
    <w:rsid w:val="007C7382"/>
    <w:rsid w:val="007C7F9D"/>
    <w:rsid w:val="007D0C69"/>
    <w:rsid w:val="007D6BFA"/>
    <w:rsid w:val="007E395D"/>
    <w:rsid w:val="007E4A3A"/>
    <w:rsid w:val="007F1BDF"/>
    <w:rsid w:val="007F2E27"/>
    <w:rsid w:val="007F331C"/>
    <w:rsid w:val="007F4990"/>
    <w:rsid w:val="007F7E61"/>
    <w:rsid w:val="00800AC9"/>
    <w:rsid w:val="00801930"/>
    <w:rsid w:val="00803FA8"/>
    <w:rsid w:val="00804C90"/>
    <w:rsid w:val="00805D91"/>
    <w:rsid w:val="00806962"/>
    <w:rsid w:val="00806FA7"/>
    <w:rsid w:val="00810B28"/>
    <w:rsid w:val="0081148E"/>
    <w:rsid w:val="00813C89"/>
    <w:rsid w:val="008143A1"/>
    <w:rsid w:val="00817C8B"/>
    <w:rsid w:val="00823716"/>
    <w:rsid w:val="008248E0"/>
    <w:rsid w:val="00825AD5"/>
    <w:rsid w:val="00826DD2"/>
    <w:rsid w:val="0082736D"/>
    <w:rsid w:val="0083035B"/>
    <w:rsid w:val="00830E9D"/>
    <w:rsid w:val="0083239A"/>
    <w:rsid w:val="00835E92"/>
    <w:rsid w:val="008400A6"/>
    <w:rsid w:val="00841214"/>
    <w:rsid w:val="00841F14"/>
    <w:rsid w:val="0084229F"/>
    <w:rsid w:val="008440CA"/>
    <w:rsid w:val="00844DB2"/>
    <w:rsid w:val="00845D08"/>
    <w:rsid w:val="008529BF"/>
    <w:rsid w:val="0085480F"/>
    <w:rsid w:val="00856316"/>
    <w:rsid w:val="0085633E"/>
    <w:rsid w:val="008564AB"/>
    <w:rsid w:val="00857FC8"/>
    <w:rsid w:val="008606AC"/>
    <w:rsid w:val="008640FC"/>
    <w:rsid w:val="0086626A"/>
    <w:rsid w:val="008706CD"/>
    <w:rsid w:val="00870720"/>
    <w:rsid w:val="00870FAD"/>
    <w:rsid w:val="00871218"/>
    <w:rsid w:val="00876687"/>
    <w:rsid w:val="00877DE6"/>
    <w:rsid w:val="008818C1"/>
    <w:rsid w:val="008836C7"/>
    <w:rsid w:val="0088518B"/>
    <w:rsid w:val="00885A7D"/>
    <w:rsid w:val="0088651B"/>
    <w:rsid w:val="008A0BC7"/>
    <w:rsid w:val="008A106A"/>
    <w:rsid w:val="008A12C1"/>
    <w:rsid w:val="008A319D"/>
    <w:rsid w:val="008A3DBF"/>
    <w:rsid w:val="008A48FE"/>
    <w:rsid w:val="008A5509"/>
    <w:rsid w:val="008A7769"/>
    <w:rsid w:val="008B082B"/>
    <w:rsid w:val="008B08B4"/>
    <w:rsid w:val="008B14A3"/>
    <w:rsid w:val="008B1880"/>
    <w:rsid w:val="008B22E5"/>
    <w:rsid w:val="008B38BF"/>
    <w:rsid w:val="008B3B1B"/>
    <w:rsid w:val="008B5505"/>
    <w:rsid w:val="008B55E2"/>
    <w:rsid w:val="008B56A9"/>
    <w:rsid w:val="008B75A5"/>
    <w:rsid w:val="008B75F9"/>
    <w:rsid w:val="008B78CF"/>
    <w:rsid w:val="008C0ABF"/>
    <w:rsid w:val="008C1F90"/>
    <w:rsid w:val="008C31EB"/>
    <w:rsid w:val="008C4A87"/>
    <w:rsid w:val="008C66BC"/>
    <w:rsid w:val="008C7E1A"/>
    <w:rsid w:val="008D0E4E"/>
    <w:rsid w:val="008D3A45"/>
    <w:rsid w:val="008D3E96"/>
    <w:rsid w:val="008E07B0"/>
    <w:rsid w:val="008E2F1F"/>
    <w:rsid w:val="008E2FBC"/>
    <w:rsid w:val="008E3539"/>
    <w:rsid w:val="008E3792"/>
    <w:rsid w:val="008E6A59"/>
    <w:rsid w:val="008E6D4E"/>
    <w:rsid w:val="008F25F3"/>
    <w:rsid w:val="008F3052"/>
    <w:rsid w:val="008F3BC2"/>
    <w:rsid w:val="008F3FCB"/>
    <w:rsid w:val="00902A5F"/>
    <w:rsid w:val="00904D40"/>
    <w:rsid w:val="00911202"/>
    <w:rsid w:val="00913EDE"/>
    <w:rsid w:val="0091429B"/>
    <w:rsid w:val="00914B20"/>
    <w:rsid w:val="009167CF"/>
    <w:rsid w:val="00921FAB"/>
    <w:rsid w:val="00924FDD"/>
    <w:rsid w:val="0092587D"/>
    <w:rsid w:val="00925F29"/>
    <w:rsid w:val="00926053"/>
    <w:rsid w:val="00933ED2"/>
    <w:rsid w:val="009342B0"/>
    <w:rsid w:val="00935420"/>
    <w:rsid w:val="00941E6C"/>
    <w:rsid w:val="00943EF6"/>
    <w:rsid w:val="00944244"/>
    <w:rsid w:val="00945094"/>
    <w:rsid w:val="0094541A"/>
    <w:rsid w:val="0094658D"/>
    <w:rsid w:val="00946BBD"/>
    <w:rsid w:val="00947872"/>
    <w:rsid w:val="0095051C"/>
    <w:rsid w:val="00950BEB"/>
    <w:rsid w:val="0095104A"/>
    <w:rsid w:val="009539F2"/>
    <w:rsid w:val="009544FA"/>
    <w:rsid w:val="00954A59"/>
    <w:rsid w:val="009555B9"/>
    <w:rsid w:val="009557C8"/>
    <w:rsid w:val="00955D96"/>
    <w:rsid w:val="00956231"/>
    <w:rsid w:val="00967017"/>
    <w:rsid w:val="009702F9"/>
    <w:rsid w:val="00971125"/>
    <w:rsid w:val="009773A9"/>
    <w:rsid w:val="00980B8F"/>
    <w:rsid w:val="0098151B"/>
    <w:rsid w:val="00984B23"/>
    <w:rsid w:val="00987279"/>
    <w:rsid w:val="00991585"/>
    <w:rsid w:val="009924A1"/>
    <w:rsid w:val="00992B34"/>
    <w:rsid w:val="00995578"/>
    <w:rsid w:val="009955C5"/>
    <w:rsid w:val="009A0428"/>
    <w:rsid w:val="009A3446"/>
    <w:rsid w:val="009A38E3"/>
    <w:rsid w:val="009A5B21"/>
    <w:rsid w:val="009A5FCA"/>
    <w:rsid w:val="009A6425"/>
    <w:rsid w:val="009A6B40"/>
    <w:rsid w:val="009B19C8"/>
    <w:rsid w:val="009B2394"/>
    <w:rsid w:val="009B32AA"/>
    <w:rsid w:val="009B6A73"/>
    <w:rsid w:val="009B6D2B"/>
    <w:rsid w:val="009B711D"/>
    <w:rsid w:val="009B7625"/>
    <w:rsid w:val="009B7CF9"/>
    <w:rsid w:val="009C1920"/>
    <w:rsid w:val="009C2BE4"/>
    <w:rsid w:val="009C6811"/>
    <w:rsid w:val="009D050E"/>
    <w:rsid w:val="009D0BFE"/>
    <w:rsid w:val="009D0C84"/>
    <w:rsid w:val="009D12D5"/>
    <w:rsid w:val="009D24BA"/>
    <w:rsid w:val="009D32F4"/>
    <w:rsid w:val="009D347C"/>
    <w:rsid w:val="009D4E1F"/>
    <w:rsid w:val="009D59D1"/>
    <w:rsid w:val="009D68E2"/>
    <w:rsid w:val="009E4E1D"/>
    <w:rsid w:val="009E51E7"/>
    <w:rsid w:val="009E6581"/>
    <w:rsid w:val="009E6866"/>
    <w:rsid w:val="009F0203"/>
    <w:rsid w:val="009F0830"/>
    <w:rsid w:val="009F17E0"/>
    <w:rsid w:val="009F2C61"/>
    <w:rsid w:val="009F5168"/>
    <w:rsid w:val="009F5A4C"/>
    <w:rsid w:val="009F63CE"/>
    <w:rsid w:val="009F6BED"/>
    <w:rsid w:val="00A01A1E"/>
    <w:rsid w:val="00A0257D"/>
    <w:rsid w:val="00A02E0C"/>
    <w:rsid w:val="00A03225"/>
    <w:rsid w:val="00A05D21"/>
    <w:rsid w:val="00A07AD9"/>
    <w:rsid w:val="00A07B7B"/>
    <w:rsid w:val="00A10739"/>
    <w:rsid w:val="00A153B7"/>
    <w:rsid w:val="00A1606B"/>
    <w:rsid w:val="00A17046"/>
    <w:rsid w:val="00A17168"/>
    <w:rsid w:val="00A20774"/>
    <w:rsid w:val="00A21AED"/>
    <w:rsid w:val="00A242C6"/>
    <w:rsid w:val="00A31B48"/>
    <w:rsid w:val="00A33AEE"/>
    <w:rsid w:val="00A37C86"/>
    <w:rsid w:val="00A41E3B"/>
    <w:rsid w:val="00A428BA"/>
    <w:rsid w:val="00A42E9A"/>
    <w:rsid w:val="00A458B6"/>
    <w:rsid w:val="00A5244A"/>
    <w:rsid w:val="00A53F78"/>
    <w:rsid w:val="00A548B2"/>
    <w:rsid w:val="00A6004A"/>
    <w:rsid w:val="00A600FE"/>
    <w:rsid w:val="00A61953"/>
    <w:rsid w:val="00A6212E"/>
    <w:rsid w:val="00A6229D"/>
    <w:rsid w:val="00A70E59"/>
    <w:rsid w:val="00A75578"/>
    <w:rsid w:val="00A758A5"/>
    <w:rsid w:val="00A7612A"/>
    <w:rsid w:val="00A803FB"/>
    <w:rsid w:val="00A868D4"/>
    <w:rsid w:val="00A86E7F"/>
    <w:rsid w:val="00A92925"/>
    <w:rsid w:val="00A93442"/>
    <w:rsid w:val="00AA2B78"/>
    <w:rsid w:val="00AA38CA"/>
    <w:rsid w:val="00AA7ECF"/>
    <w:rsid w:val="00AB1B4B"/>
    <w:rsid w:val="00AB1E03"/>
    <w:rsid w:val="00AB201B"/>
    <w:rsid w:val="00AB2154"/>
    <w:rsid w:val="00AB2A2B"/>
    <w:rsid w:val="00AB2D2E"/>
    <w:rsid w:val="00AB694F"/>
    <w:rsid w:val="00AB77F2"/>
    <w:rsid w:val="00AC2062"/>
    <w:rsid w:val="00AC7DF7"/>
    <w:rsid w:val="00AD4397"/>
    <w:rsid w:val="00AE25A0"/>
    <w:rsid w:val="00AE4562"/>
    <w:rsid w:val="00AF262D"/>
    <w:rsid w:val="00AF3F92"/>
    <w:rsid w:val="00AF4C8E"/>
    <w:rsid w:val="00B00CA0"/>
    <w:rsid w:val="00B0290E"/>
    <w:rsid w:val="00B069B3"/>
    <w:rsid w:val="00B06A9B"/>
    <w:rsid w:val="00B11BB8"/>
    <w:rsid w:val="00B13C40"/>
    <w:rsid w:val="00B14585"/>
    <w:rsid w:val="00B15327"/>
    <w:rsid w:val="00B161DF"/>
    <w:rsid w:val="00B209DC"/>
    <w:rsid w:val="00B221DB"/>
    <w:rsid w:val="00B2223E"/>
    <w:rsid w:val="00B233C6"/>
    <w:rsid w:val="00B23462"/>
    <w:rsid w:val="00B23E71"/>
    <w:rsid w:val="00B27E0B"/>
    <w:rsid w:val="00B34A3C"/>
    <w:rsid w:val="00B41D6F"/>
    <w:rsid w:val="00B44435"/>
    <w:rsid w:val="00B5138E"/>
    <w:rsid w:val="00B52390"/>
    <w:rsid w:val="00B52706"/>
    <w:rsid w:val="00B52A39"/>
    <w:rsid w:val="00B533E1"/>
    <w:rsid w:val="00B570C0"/>
    <w:rsid w:val="00B61A38"/>
    <w:rsid w:val="00B62DD3"/>
    <w:rsid w:val="00B63AA1"/>
    <w:rsid w:val="00B65D12"/>
    <w:rsid w:val="00B66ADB"/>
    <w:rsid w:val="00B67EE7"/>
    <w:rsid w:val="00B742DB"/>
    <w:rsid w:val="00B74317"/>
    <w:rsid w:val="00B74C87"/>
    <w:rsid w:val="00B7733E"/>
    <w:rsid w:val="00B778CE"/>
    <w:rsid w:val="00B82131"/>
    <w:rsid w:val="00B8482A"/>
    <w:rsid w:val="00B84E1A"/>
    <w:rsid w:val="00B86ED5"/>
    <w:rsid w:val="00B910ED"/>
    <w:rsid w:val="00B91DF5"/>
    <w:rsid w:val="00BA16EA"/>
    <w:rsid w:val="00BA3113"/>
    <w:rsid w:val="00BA31C7"/>
    <w:rsid w:val="00BA7F98"/>
    <w:rsid w:val="00BB08FA"/>
    <w:rsid w:val="00BB25FC"/>
    <w:rsid w:val="00BB2983"/>
    <w:rsid w:val="00BB406C"/>
    <w:rsid w:val="00BB4515"/>
    <w:rsid w:val="00BB4AB3"/>
    <w:rsid w:val="00BB6D25"/>
    <w:rsid w:val="00BB75A3"/>
    <w:rsid w:val="00BC027C"/>
    <w:rsid w:val="00BC0487"/>
    <w:rsid w:val="00BC1339"/>
    <w:rsid w:val="00BC4D7C"/>
    <w:rsid w:val="00BC6A2E"/>
    <w:rsid w:val="00BC71CB"/>
    <w:rsid w:val="00BD374D"/>
    <w:rsid w:val="00BD524B"/>
    <w:rsid w:val="00BD65A0"/>
    <w:rsid w:val="00BE5611"/>
    <w:rsid w:val="00BE7D1C"/>
    <w:rsid w:val="00BF0C42"/>
    <w:rsid w:val="00BF22BB"/>
    <w:rsid w:val="00BF277B"/>
    <w:rsid w:val="00BF3C0A"/>
    <w:rsid w:val="00BF6AD2"/>
    <w:rsid w:val="00C010F8"/>
    <w:rsid w:val="00C0171E"/>
    <w:rsid w:val="00C02F63"/>
    <w:rsid w:val="00C0390B"/>
    <w:rsid w:val="00C041A1"/>
    <w:rsid w:val="00C0422B"/>
    <w:rsid w:val="00C057F4"/>
    <w:rsid w:val="00C062C7"/>
    <w:rsid w:val="00C10F50"/>
    <w:rsid w:val="00C1770A"/>
    <w:rsid w:val="00C20FD2"/>
    <w:rsid w:val="00C23F87"/>
    <w:rsid w:val="00C2544F"/>
    <w:rsid w:val="00C2623B"/>
    <w:rsid w:val="00C30204"/>
    <w:rsid w:val="00C32765"/>
    <w:rsid w:val="00C35312"/>
    <w:rsid w:val="00C363B1"/>
    <w:rsid w:val="00C3699E"/>
    <w:rsid w:val="00C37279"/>
    <w:rsid w:val="00C37516"/>
    <w:rsid w:val="00C4459F"/>
    <w:rsid w:val="00C45A5D"/>
    <w:rsid w:val="00C45DF4"/>
    <w:rsid w:val="00C473EF"/>
    <w:rsid w:val="00C50325"/>
    <w:rsid w:val="00C518C7"/>
    <w:rsid w:val="00C51E47"/>
    <w:rsid w:val="00C5226A"/>
    <w:rsid w:val="00C57CB8"/>
    <w:rsid w:val="00C6176B"/>
    <w:rsid w:val="00C621B2"/>
    <w:rsid w:val="00C63062"/>
    <w:rsid w:val="00C635F0"/>
    <w:rsid w:val="00C6387D"/>
    <w:rsid w:val="00C74B93"/>
    <w:rsid w:val="00C7619D"/>
    <w:rsid w:val="00C811F8"/>
    <w:rsid w:val="00C827C0"/>
    <w:rsid w:val="00C83E4E"/>
    <w:rsid w:val="00C8571F"/>
    <w:rsid w:val="00C9186B"/>
    <w:rsid w:val="00C9265D"/>
    <w:rsid w:val="00C939C3"/>
    <w:rsid w:val="00C93D4E"/>
    <w:rsid w:val="00C93FAB"/>
    <w:rsid w:val="00C962EF"/>
    <w:rsid w:val="00CA0522"/>
    <w:rsid w:val="00CA19E0"/>
    <w:rsid w:val="00CA2254"/>
    <w:rsid w:val="00CA2F54"/>
    <w:rsid w:val="00CA4552"/>
    <w:rsid w:val="00CA6B0C"/>
    <w:rsid w:val="00CA6C11"/>
    <w:rsid w:val="00CA71F4"/>
    <w:rsid w:val="00CB03DA"/>
    <w:rsid w:val="00CB14E5"/>
    <w:rsid w:val="00CB30F9"/>
    <w:rsid w:val="00CB39C1"/>
    <w:rsid w:val="00CB3EA7"/>
    <w:rsid w:val="00CB6C55"/>
    <w:rsid w:val="00CC3A65"/>
    <w:rsid w:val="00CC5EBB"/>
    <w:rsid w:val="00CC7754"/>
    <w:rsid w:val="00CD0237"/>
    <w:rsid w:val="00CD2BF7"/>
    <w:rsid w:val="00CD347E"/>
    <w:rsid w:val="00CD75C0"/>
    <w:rsid w:val="00CE0BA1"/>
    <w:rsid w:val="00CE0FFC"/>
    <w:rsid w:val="00CE22C1"/>
    <w:rsid w:val="00CE2A84"/>
    <w:rsid w:val="00CE2BBC"/>
    <w:rsid w:val="00CE4153"/>
    <w:rsid w:val="00CE5D19"/>
    <w:rsid w:val="00CE6344"/>
    <w:rsid w:val="00CE7C53"/>
    <w:rsid w:val="00CF26CA"/>
    <w:rsid w:val="00CF3421"/>
    <w:rsid w:val="00CF3936"/>
    <w:rsid w:val="00CF7152"/>
    <w:rsid w:val="00D03852"/>
    <w:rsid w:val="00D04B5B"/>
    <w:rsid w:val="00D05959"/>
    <w:rsid w:val="00D0738B"/>
    <w:rsid w:val="00D14E30"/>
    <w:rsid w:val="00D168BC"/>
    <w:rsid w:val="00D20556"/>
    <w:rsid w:val="00D20CD1"/>
    <w:rsid w:val="00D212BD"/>
    <w:rsid w:val="00D21929"/>
    <w:rsid w:val="00D22813"/>
    <w:rsid w:val="00D238BF"/>
    <w:rsid w:val="00D25526"/>
    <w:rsid w:val="00D33422"/>
    <w:rsid w:val="00D37F62"/>
    <w:rsid w:val="00D405E2"/>
    <w:rsid w:val="00D40739"/>
    <w:rsid w:val="00D4634E"/>
    <w:rsid w:val="00D46E9A"/>
    <w:rsid w:val="00D53D49"/>
    <w:rsid w:val="00D54A4E"/>
    <w:rsid w:val="00D55101"/>
    <w:rsid w:val="00D55AD4"/>
    <w:rsid w:val="00D57FB5"/>
    <w:rsid w:val="00D61358"/>
    <w:rsid w:val="00D621CD"/>
    <w:rsid w:val="00D62747"/>
    <w:rsid w:val="00D629DB"/>
    <w:rsid w:val="00D63808"/>
    <w:rsid w:val="00D644C8"/>
    <w:rsid w:val="00D70F7B"/>
    <w:rsid w:val="00D72428"/>
    <w:rsid w:val="00D73970"/>
    <w:rsid w:val="00D744FD"/>
    <w:rsid w:val="00D7537D"/>
    <w:rsid w:val="00D75E4E"/>
    <w:rsid w:val="00D766A7"/>
    <w:rsid w:val="00D834C8"/>
    <w:rsid w:val="00D93554"/>
    <w:rsid w:val="00D94960"/>
    <w:rsid w:val="00D9525B"/>
    <w:rsid w:val="00D9652D"/>
    <w:rsid w:val="00DA004D"/>
    <w:rsid w:val="00DA1267"/>
    <w:rsid w:val="00DA15D1"/>
    <w:rsid w:val="00DA22E9"/>
    <w:rsid w:val="00DB148D"/>
    <w:rsid w:val="00DC18C0"/>
    <w:rsid w:val="00DC2460"/>
    <w:rsid w:val="00DC2B5E"/>
    <w:rsid w:val="00DC4676"/>
    <w:rsid w:val="00DC5603"/>
    <w:rsid w:val="00DC5F4E"/>
    <w:rsid w:val="00DC6179"/>
    <w:rsid w:val="00DD13BB"/>
    <w:rsid w:val="00DD327C"/>
    <w:rsid w:val="00DD3B49"/>
    <w:rsid w:val="00DD54F5"/>
    <w:rsid w:val="00DE2DD4"/>
    <w:rsid w:val="00DE3929"/>
    <w:rsid w:val="00DE3F00"/>
    <w:rsid w:val="00DE4134"/>
    <w:rsid w:val="00DE711F"/>
    <w:rsid w:val="00DE715C"/>
    <w:rsid w:val="00DF13E5"/>
    <w:rsid w:val="00DF2A5B"/>
    <w:rsid w:val="00DF3C99"/>
    <w:rsid w:val="00DF4D6C"/>
    <w:rsid w:val="00DF6330"/>
    <w:rsid w:val="00DF6E68"/>
    <w:rsid w:val="00DF758C"/>
    <w:rsid w:val="00E00D35"/>
    <w:rsid w:val="00E04E50"/>
    <w:rsid w:val="00E06F12"/>
    <w:rsid w:val="00E07930"/>
    <w:rsid w:val="00E15AB1"/>
    <w:rsid w:val="00E176D4"/>
    <w:rsid w:val="00E20983"/>
    <w:rsid w:val="00E2101A"/>
    <w:rsid w:val="00E2153B"/>
    <w:rsid w:val="00E21B0A"/>
    <w:rsid w:val="00E35387"/>
    <w:rsid w:val="00E3698C"/>
    <w:rsid w:val="00E419B4"/>
    <w:rsid w:val="00E42794"/>
    <w:rsid w:val="00E429E2"/>
    <w:rsid w:val="00E44BB0"/>
    <w:rsid w:val="00E4643F"/>
    <w:rsid w:val="00E46EE3"/>
    <w:rsid w:val="00E5001F"/>
    <w:rsid w:val="00E50662"/>
    <w:rsid w:val="00E512EB"/>
    <w:rsid w:val="00E515C2"/>
    <w:rsid w:val="00E51B6E"/>
    <w:rsid w:val="00E51C0D"/>
    <w:rsid w:val="00E529ED"/>
    <w:rsid w:val="00E53B37"/>
    <w:rsid w:val="00E5430D"/>
    <w:rsid w:val="00E54516"/>
    <w:rsid w:val="00E62316"/>
    <w:rsid w:val="00E62375"/>
    <w:rsid w:val="00E6265D"/>
    <w:rsid w:val="00E62A91"/>
    <w:rsid w:val="00E6617C"/>
    <w:rsid w:val="00E70732"/>
    <w:rsid w:val="00E70805"/>
    <w:rsid w:val="00E71B32"/>
    <w:rsid w:val="00E77D75"/>
    <w:rsid w:val="00E8025B"/>
    <w:rsid w:val="00E82871"/>
    <w:rsid w:val="00E84A56"/>
    <w:rsid w:val="00E84AD4"/>
    <w:rsid w:val="00E85F49"/>
    <w:rsid w:val="00E87010"/>
    <w:rsid w:val="00E90467"/>
    <w:rsid w:val="00E906C2"/>
    <w:rsid w:val="00E90A00"/>
    <w:rsid w:val="00E90DA6"/>
    <w:rsid w:val="00E91430"/>
    <w:rsid w:val="00E91900"/>
    <w:rsid w:val="00E96118"/>
    <w:rsid w:val="00E97E0F"/>
    <w:rsid w:val="00EA0E2F"/>
    <w:rsid w:val="00EA6492"/>
    <w:rsid w:val="00EA6F0E"/>
    <w:rsid w:val="00EA736F"/>
    <w:rsid w:val="00EA745F"/>
    <w:rsid w:val="00EB24B8"/>
    <w:rsid w:val="00EB44C0"/>
    <w:rsid w:val="00EB4EF1"/>
    <w:rsid w:val="00EB5110"/>
    <w:rsid w:val="00EC25FC"/>
    <w:rsid w:val="00EC2989"/>
    <w:rsid w:val="00EC4B8C"/>
    <w:rsid w:val="00EC7C77"/>
    <w:rsid w:val="00ED02E7"/>
    <w:rsid w:val="00ED0CC3"/>
    <w:rsid w:val="00ED0E2D"/>
    <w:rsid w:val="00ED2ADB"/>
    <w:rsid w:val="00ED4CD1"/>
    <w:rsid w:val="00ED573F"/>
    <w:rsid w:val="00ED5741"/>
    <w:rsid w:val="00ED79E5"/>
    <w:rsid w:val="00EE03DA"/>
    <w:rsid w:val="00EE3550"/>
    <w:rsid w:val="00EE3747"/>
    <w:rsid w:val="00EE637C"/>
    <w:rsid w:val="00EE7344"/>
    <w:rsid w:val="00EE7A86"/>
    <w:rsid w:val="00EF279C"/>
    <w:rsid w:val="00EF3B28"/>
    <w:rsid w:val="00EF4874"/>
    <w:rsid w:val="00F02D77"/>
    <w:rsid w:val="00F02DD4"/>
    <w:rsid w:val="00F0451A"/>
    <w:rsid w:val="00F066EA"/>
    <w:rsid w:val="00F1029E"/>
    <w:rsid w:val="00F11E02"/>
    <w:rsid w:val="00F13A63"/>
    <w:rsid w:val="00F14C1E"/>
    <w:rsid w:val="00F1693D"/>
    <w:rsid w:val="00F17D36"/>
    <w:rsid w:val="00F17D56"/>
    <w:rsid w:val="00F200B1"/>
    <w:rsid w:val="00F20DA3"/>
    <w:rsid w:val="00F2225B"/>
    <w:rsid w:val="00F22BCF"/>
    <w:rsid w:val="00F2306D"/>
    <w:rsid w:val="00F249DD"/>
    <w:rsid w:val="00F26A49"/>
    <w:rsid w:val="00F31122"/>
    <w:rsid w:val="00F34730"/>
    <w:rsid w:val="00F373BC"/>
    <w:rsid w:val="00F4111C"/>
    <w:rsid w:val="00F42C9E"/>
    <w:rsid w:val="00F47B90"/>
    <w:rsid w:val="00F55DD3"/>
    <w:rsid w:val="00F571A8"/>
    <w:rsid w:val="00F57AF2"/>
    <w:rsid w:val="00F57AFB"/>
    <w:rsid w:val="00F6078F"/>
    <w:rsid w:val="00F73626"/>
    <w:rsid w:val="00F759A7"/>
    <w:rsid w:val="00F759E5"/>
    <w:rsid w:val="00F765E0"/>
    <w:rsid w:val="00F77FCA"/>
    <w:rsid w:val="00F81910"/>
    <w:rsid w:val="00F844D8"/>
    <w:rsid w:val="00F870F0"/>
    <w:rsid w:val="00F91636"/>
    <w:rsid w:val="00F927A0"/>
    <w:rsid w:val="00F93371"/>
    <w:rsid w:val="00F94712"/>
    <w:rsid w:val="00F94F74"/>
    <w:rsid w:val="00F97439"/>
    <w:rsid w:val="00F97D84"/>
    <w:rsid w:val="00FA0036"/>
    <w:rsid w:val="00FA1B1A"/>
    <w:rsid w:val="00FA1EFC"/>
    <w:rsid w:val="00FA2458"/>
    <w:rsid w:val="00FA2D3B"/>
    <w:rsid w:val="00FA3F70"/>
    <w:rsid w:val="00FA68F9"/>
    <w:rsid w:val="00FA7B48"/>
    <w:rsid w:val="00FB1E48"/>
    <w:rsid w:val="00FB5313"/>
    <w:rsid w:val="00FB6E89"/>
    <w:rsid w:val="00FB7A8C"/>
    <w:rsid w:val="00FC7654"/>
    <w:rsid w:val="00FD1FBA"/>
    <w:rsid w:val="00FE110C"/>
    <w:rsid w:val="00FE401F"/>
    <w:rsid w:val="00FF12D7"/>
    <w:rsid w:val="00FF2983"/>
    <w:rsid w:val="00FF6D39"/>
    <w:rsid w:val="00FF6DAF"/>
    <w:rsid w:val="46947F59"/>
    <w:rsid w:val="4DE479E2"/>
    <w:rsid w:val="63EF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0B311A"/>
  <w14:defaultImageDpi w14:val="32767"/>
  <w15:docId w15:val="{746D7A1E-18F9-4EB8-8A0F-56A01F254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 w:qFormat="1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 w:qFormat="1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 w:qFormat="1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eastAsia="DengXian" w:hAnsi="Calibri" w:cs="SimSun"/>
      <w:kern w:val="2"/>
      <w:sz w:val="21"/>
      <w:szCs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pPr>
      <w:widowControl/>
      <w:numPr>
        <w:numId w:val="1"/>
      </w:numPr>
      <w:spacing w:before="240" w:after="240"/>
      <w:contextualSpacing w:val="0"/>
      <w:jc w:val="left"/>
      <w:outlineLvl w:val="0"/>
    </w:pPr>
    <w:rPr>
      <w:rFonts w:ascii="Times New Roman" w:eastAsia="Cambria" w:hAnsi="Times New Roman" w:cs="Times New Roman"/>
      <w:b/>
      <w:kern w:val="0"/>
      <w:sz w:val="24"/>
      <w:lang w:eastAsia="en-US"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  <w:numId w:val="0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="DengXian Light" w:hAnsi="Times New Roman"/>
      <w:b/>
      <w:kern w:val="0"/>
      <w:sz w:val="24"/>
      <w:lang w:eastAsia="en-US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  <w:numId w:val="0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DengXian" w:hAnsi="Consolas" w:cs="SimSun"/>
      <w:kern w:val="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TOC7">
    <w:name w:val="toc 7"/>
    <w:basedOn w:val="Normal"/>
    <w:next w:val="Normal"/>
    <w:uiPriority w:val="39"/>
    <w:semiHidden/>
    <w:unhideWhenUsed/>
    <w:pPr>
      <w:spacing w:after="100"/>
      <w:ind w:left="1260"/>
    </w:pPr>
  </w:style>
  <w:style w:type="paragraph" w:styleId="ListNumber2">
    <w:name w:val="List Number 2"/>
    <w:basedOn w:val="Normal"/>
    <w:uiPriority w:val="99"/>
    <w:semiHidden/>
    <w:unhideWhenUsed/>
    <w:pPr>
      <w:numPr>
        <w:numId w:val="2"/>
      </w:numPr>
      <w:tabs>
        <w:tab w:val="clear" w:pos="720"/>
        <w:tab w:val="num" w:pos="360"/>
      </w:tabs>
      <w:ind w:left="0" w:firstLine="0"/>
      <w:contextualSpacing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10" w:hanging="21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paragraph" w:styleId="ListBullet4">
    <w:name w:val="List Bullet 4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Index8">
    <w:name w:val="index 8"/>
    <w:basedOn w:val="Normal"/>
    <w:next w:val="Normal"/>
    <w:uiPriority w:val="99"/>
    <w:semiHidden/>
    <w:unhideWhenUsed/>
    <w:pPr>
      <w:ind w:left="1680" w:hanging="210"/>
    </w:p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paragraph" w:styleId="ListNumber">
    <w:name w:val="List Number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Caption">
    <w:name w:val="caption"/>
    <w:basedOn w:val="Normal"/>
    <w:next w:val="Normal"/>
    <w:autoRedefine/>
    <w:uiPriority w:val="35"/>
    <w:semiHidden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Index5">
    <w:name w:val="index 5"/>
    <w:basedOn w:val="Normal"/>
    <w:next w:val="Normal"/>
    <w:uiPriority w:val="99"/>
    <w:semiHidden/>
    <w:unhideWhenUsed/>
    <w:pPr>
      <w:ind w:left="1050" w:hanging="210"/>
    </w:pPr>
  </w:style>
  <w:style w:type="paragraph" w:styleId="ListBullet">
    <w:name w:val="List Bullet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Segoe UI" w:hAnsi="Segoe UI" w:cs="Segoe UI"/>
      <w:sz w:val="16"/>
      <w:szCs w:val="16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Tahoma" w:hAnsi="Tahoma" w:cs="Tahoma"/>
      <w:sz w:val="16"/>
      <w:szCs w:val="20"/>
    </w:rPr>
  </w:style>
  <w:style w:type="paragraph" w:styleId="Index6">
    <w:name w:val="index 6"/>
    <w:basedOn w:val="Normal"/>
    <w:next w:val="Normal"/>
    <w:uiPriority w:val="99"/>
    <w:semiHidden/>
    <w:unhideWhenUsed/>
    <w:pPr>
      <w:ind w:left="1260" w:hanging="21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paragraph" w:styleId="ListBullet3">
    <w:name w:val="List Bullet 3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paragraph" w:styleId="ListNumber3">
    <w:name w:val="List Number 3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ListBullet2">
    <w:name w:val="List Bullet 2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paragraph" w:styleId="Index4">
    <w:name w:val="index 4"/>
    <w:basedOn w:val="Normal"/>
    <w:next w:val="Normal"/>
    <w:uiPriority w:val="99"/>
    <w:semiHidden/>
    <w:unhideWhenUsed/>
    <w:pPr>
      <w:ind w:left="840" w:hanging="210"/>
    </w:pPr>
  </w:style>
  <w:style w:type="paragraph" w:styleId="TOC5">
    <w:name w:val="toc 5"/>
    <w:basedOn w:val="Normal"/>
    <w:next w:val="Normal"/>
    <w:uiPriority w:val="39"/>
    <w:semiHidden/>
    <w:unhideWhenUsed/>
    <w:pPr>
      <w:spacing w:after="100"/>
      <w:ind w:left="840"/>
    </w:pPr>
  </w:style>
  <w:style w:type="paragraph" w:styleId="TOC3">
    <w:name w:val="toc 3"/>
    <w:basedOn w:val="Normal"/>
    <w:next w:val="Normal"/>
    <w:uiPriority w:val="39"/>
    <w:semiHidden/>
    <w:unhideWhenUsed/>
    <w:pPr>
      <w:spacing w:after="100"/>
      <w:ind w:left="420"/>
    </w:p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Cs w:val="21"/>
    </w:rPr>
  </w:style>
  <w:style w:type="paragraph" w:styleId="ListBullet5">
    <w:name w:val="List Bullet 5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TOC8">
    <w:name w:val="toc 8"/>
    <w:basedOn w:val="Normal"/>
    <w:next w:val="Normal"/>
    <w:uiPriority w:val="39"/>
    <w:semiHidden/>
    <w:unhideWhenUsed/>
    <w:pPr>
      <w:spacing w:after="100"/>
      <w:ind w:left="1470"/>
    </w:pPr>
  </w:style>
  <w:style w:type="paragraph" w:styleId="Index3">
    <w:name w:val="index 3"/>
    <w:basedOn w:val="Normal"/>
    <w:next w:val="Normal"/>
    <w:uiPriority w:val="99"/>
    <w:semiHidden/>
    <w:unhideWhenUsed/>
    <w:pPr>
      <w:ind w:left="630" w:hanging="210"/>
    </w:p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paragraph" w:styleId="TOC1">
    <w:name w:val="toc 1"/>
    <w:basedOn w:val="Normal"/>
    <w:next w:val="Normal"/>
    <w:uiPriority w:val="39"/>
    <w:semiHidden/>
    <w:unhideWhenUsed/>
    <w:pPr>
      <w:spacing w:after="100"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TOC4">
    <w:name w:val="toc 4"/>
    <w:basedOn w:val="Normal"/>
    <w:next w:val="Normal"/>
    <w:uiPriority w:val="39"/>
    <w:semiHidden/>
    <w:unhideWhenUsed/>
    <w:pPr>
      <w:spacing w:after="100"/>
      <w:ind w:left="63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Index1">
    <w:name w:val="index 1"/>
    <w:basedOn w:val="Normal"/>
    <w:next w:val="Normal"/>
    <w:uiPriority w:val="99"/>
    <w:semiHidden/>
    <w:unhideWhenUsed/>
    <w:pPr>
      <w:ind w:left="210" w:hanging="210"/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A5A5A"/>
      <w:spacing w:val="15"/>
      <w:sz w:val="22"/>
      <w:szCs w:val="22"/>
    </w:rPr>
  </w:style>
  <w:style w:type="paragraph" w:styleId="ListNumber5">
    <w:name w:val="List Number 5"/>
    <w:basedOn w:val="Normal"/>
    <w:uiPriority w:val="99"/>
    <w:semiHidden/>
    <w:unhideWhenUsed/>
    <w:pPr>
      <w:numPr>
        <w:numId w:val="11"/>
      </w:numPr>
      <w:contextualSpacing/>
    </w:pPr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paragraph" w:styleId="TOC6">
    <w:name w:val="toc 6"/>
    <w:basedOn w:val="Normal"/>
    <w:next w:val="Normal"/>
    <w:uiPriority w:val="39"/>
    <w:semiHidden/>
    <w:unhideWhenUsed/>
    <w:pPr>
      <w:spacing w:after="100"/>
      <w:ind w:left="1050"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  <w:rPr>
      <w:sz w:val="16"/>
      <w:szCs w:val="16"/>
    </w:rPr>
  </w:style>
  <w:style w:type="paragraph" w:styleId="Index7">
    <w:name w:val="index 7"/>
    <w:basedOn w:val="Normal"/>
    <w:next w:val="Normal"/>
    <w:uiPriority w:val="99"/>
    <w:semiHidden/>
    <w:unhideWhenUsed/>
    <w:pPr>
      <w:ind w:left="1470" w:hanging="210"/>
    </w:pPr>
  </w:style>
  <w:style w:type="paragraph" w:styleId="Index9">
    <w:name w:val="index 9"/>
    <w:basedOn w:val="Normal"/>
    <w:next w:val="Normal"/>
    <w:uiPriority w:val="99"/>
    <w:semiHidden/>
    <w:unhideWhenUsed/>
    <w:pPr>
      <w:ind w:left="189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spacing w:after="100"/>
      <w:ind w:left="210"/>
    </w:pPr>
  </w:style>
  <w:style w:type="paragraph" w:styleId="TOC9">
    <w:name w:val="toc 9"/>
    <w:basedOn w:val="Normal"/>
    <w:next w:val="Normal"/>
    <w:uiPriority w:val="39"/>
    <w:semiHidden/>
    <w:unhideWhenUsed/>
    <w:pPr>
      <w:spacing w:after="100"/>
      <w:ind w:left="1680"/>
    </w:p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</w:r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uiPriority w:val="99"/>
    <w:semiHidden/>
    <w:unhideWhenUsed/>
    <w:pPr>
      <w:ind w:left="420" w:hanging="210"/>
    </w:p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  <w:ind w:firstLine="360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  <w:ind w:firstLine="360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semiHidden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uiPriority w:val="99"/>
    <w:semiHidden/>
    <w:unhideWhenUsed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uiPriority w:val="99"/>
    <w:semiHidden/>
    <w:unhideWhenUsed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autoRedefine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autoRedefine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  <w:pPr>
      <w:widowControl/>
      <w:spacing w:before="240" w:after="240"/>
      <w:jc w:val="left"/>
    </w:pPr>
    <w:rPr>
      <w:rFonts w:ascii="Times New Roman" w:eastAsia="SimSun" w:hAnsi="Times New Roman" w:cs="Times New Roman"/>
      <w:b/>
      <w:color w:val="auto"/>
      <w:spacing w:val="0"/>
      <w:kern w:val="0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A5A5A"/>
      <w:spacing w:val="15"/>
      <w:kern w:val="2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2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2"/>
    <w:rPr>
      <w:rFonts w:ascii="Times New Roman" w:eastAsia="DengXian Light" w:hAnsi="Times New Roman" w:cs="SimSun"/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2"/>
    <w:rPr>
      <w:rFonts w:ascii="Times New Roman" w:eastAsia="DengXian Light" w:hAnsi="Times New Roman" w:cs="SimSun"/>
      <w:b/>
      <w:iCs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2"/>
    <w:rPr>
      <w:rFonts w:ascii="Times New Roman" w:eastAsia="DengXian Light" w:hAnsi="Times New Roman" w:cs="SimSun"/>
      <w:b/>
      <w:iCs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kern w:val="2"/>
      <w:sz w:val="18"/>
      <w:szCs w:val="18"/>
    </w:rPr>
  </w:style>
  <w:style w:type="paragraph" w:customStyle="1" w:styleId="1">
    <w:name w:val="修订1"/>
    <w:uiPriority w:val="99"/>
    <w:rPr>
      <w:rFonts w:ascii="Calibri" w:eastAsia="DengXian" w:hAnsi="Calibri" w:cs="SimSun"/>
      <w:kern w:val="2"/>
      <w:sz w:val="21"/>
      <w:szCs w:val="24"/>
    </w:rPr>
  </w:style>
  <w:style w:type="character" w:customStyle="1" w:styleId="tgt">
    <w:name w:val="tgt"/>
    <w:basedOn w:val="DefaultParagraphFont"/>
  </w:style>
  <w:style w:type="character" w:customStyle="1" w:styleId="fontstyle01">
    <w:name w:val="fontstyle01"/>
    <w:basedOn w:val="DefaultParagraphFont"/>
    <w:rPr>
      <w:rFonts w:ascii="ArialMT" w:hAnsi="ArialMT" w:hint="default"/>
      <w:color w:val="000000"/>
      <w:sz w:val="16"/>
      <w:szCs w:val="16"/>
    </w:rPr>
  </w:style>
  <w:style w:type="character" w:customStyle="1" w:styleId="fontstyle21">
    <w:name w:val="fontstyle21"/>
    <w:basedOn w:val="DefaultParagraphFont"/>
    <w:rPr>
      <w:rFonts w:ascii="AdvTTeb5f0e55.I" w:hAnsi="AdvTTeb5f0e55.I" w:hint="default"/>
      <w:color w:val="000000"/>
      <w:sz w:val="16"/>
      <w:szCs w:val="16"/>
    </w:rPr>
  </w:style>
  <w:style w:type="character" w:customStyle="1" w:styleId="fontstyle31">
    <w:name w:val="fontstyle31"/>
    <w:basedOn w:val="DefaultParagraphFont"/>
    <w:rPr>
      <w:rFonts w:ascii="AdvTTa9c1b374+20" w:hAnsi="AdvTTa9c1b374+20" w:hint="default"/>
      <w:color w:val="000000"/>
      <w:sz w:val="16"/>
      <w:szCs w:val="16"/>
    </w:rPr>
  </w:style>
  <w:style w:type="character" w:customStyle="1" w:styleId="source">
    <w:name w:val="source"/>
    <w:basedOn w:val="DefaultParagraphFont"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kern w:val="2"/>
      <w:sz w:val="16"/>
      <w:szCs w:val="18"/>
    </w:rPr>
  </w:style>
  <w:style w:type="character" w:customStyle="1" w:styleId="src">
    <w:name w:val="src"/>
    <w:basedOn w:val="DefaultParagraphFont"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ahoma" w:hAnsi="Tahoma" w:cs="Tahoma"/>
      <w:kern w:val="2"/>
      <w:sz w:val="16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44061" w:themeColor="accent1" w:themeShade="80"/>
      <w:kern w:val="2"/>
      <w:sz w:val="21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  <w:kern w:val="2"/>
      <w:sz w:val="21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262626" w:themeColor="text1" w:themeTint="D9"/>
      <w:kern w:val="2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</w:rPr>
  </w:style>
  <w:style w:type="paragraph" w:customStyle="1" w:styleId="10">
    <w:name w:val="书目1"/>
    <w:basedOn w:val="Normal"/>
    <w:next w:val="Normal"/>
    <w:uiPriority w:val="37"/>
    <w:semiHidden/>
    <w:unhideWhenUsed/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"/>
      <w:sz w:val="21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"/>
      <w:sz w:val="21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kern w:val="2"/>
      <w:sz w:val="16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"/>
      <w:sz w:val="21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"/>
      <w:sz w:val="21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"/>
      <w:sz w:val="21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"/>
      <w:sz w:val="21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kern w:val="2"/>
      <w:sz w:val="16"/>
      <w:szCs w:val="16"/>
    </w:rPr>
  </w:style>
  <w:style w:type="character" w:customStyle="1" w:styleId="11">
    <w:name w:val="书籍标题1"/>
    <w:basedOn w:val="DefaultParagraphFont"/>
    <w:uiPriority w:val="33"/>
    <w:qFormat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autoRedefine/>
    <w:uiPriority w:val="99"/>
    <w:semiHidden/>
    <w:qFormat/>
    <w:rPr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ahoma" w:hAnsi="Tahoma" w:cs="Tahoma"/>
      <w:b/>
      <w:bCs/>
      <w:kern w:val="2"/>
      <w:sz w:val="16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rPr>
      <w:kern w:val="2"/>
      <w:sz w:val="21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kern w:val="2"/>
      <w:sz w:val="16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"/>
      <w:sz w:val="21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kern w:val="2"/>
      <w:sz w:val="20"/>
      <w:szCs w:val="20"/>
    </w:rPr>
  </w:style>
  <w:style w:type="table" w:customStyle="1" w:styleId="110">
    <w:name w:val="网格表 1 浅色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TableNormal"/>
    <w:uiPriority w:val="46"/>
    <w:tblPr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TableNormal"/>
    <w:uiPriority w:val="46"/>
    <w:tblPr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TableNormal"/>
    <w:uiPriority w:val="46"/>
    <w:tblPr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TableNormal"/>
    <w:uiPriority w:val="46"/>
    <w:tblPr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TableNormal"/>
    <w:uiPriority w:val="46"/>
    <w:tblPr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TableNormal"/>
    <w:uiPriority w:val="46"/>
    <w:tblPr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网格表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网格表 2 - 着色 11"/>
    <w:basedOn w:val="TableNormal"/>
    <w:uiPriority w:val="47"/>
    <w:tblPr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">
    <w:name w:val="网格表 2 - 着色 21"/>
    <w:basedOn w:val="TableNormal"/>
    <w:uiPriority w:val="47"/>
    <w:tblPr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">
    <w:name w:val="网格表 2 - 着色 31"/>
    <w:basedOn w:val="TableNormal"/>
    <w:uiPriority w:val="47"/>
    <w:tblPr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">
    <w:name w:val="网格表 2 - 着色 41"/>
    <w:basedOn w:val="TableNormal"/>
    <w:uiPriority w:val="47"/>
    <w:tblPr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">
    <w:name w:val="网格表 2 - 着色 51"/>
    <w:basedOn w:val="TableNormal"/>
    <w:uiPriority w:val="47"/>
    <w:tblPr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">
    <w:name w:val="网格表 2 - 着色 61"/>
    <w:basedOn w:val="TableNormal"/>
    <w:uiPriority w:val="47"/>
    <w:tblPr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">
    <w:name w:val="网格表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TableNormal"/>
    <w:uiPriority w:val="48"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3-21">
    <w:name w:val="网格表 3 - 着色 21"/>
    <w:basedOn w:val="TableNormal"/>
    <w:uiPriority w:val="48"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3-31">
    <w:name w:val="网格表 3 - 着色 31"/>
    <w:basedOn w:val="TableNormal"/>
    <w:uiPriority w:val="48"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-41">
    <w:name w:val="网格表 3 - 着色 41"/>
    <w:basedOn w:val="TableNormal"/>
    <w:uiPriority w:val="48"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3-51">
    <w:name w:val="网格表 3 - 着色 51"/>
    <w:basedOn w:val="TableNormal"/>
    <w:uiPriority w:val="48"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3-61">
    <w:name w:val="网格表 3 - 着色 61"/>
    <w:basedOn w:val="TableNormal"/>
    <w:uiPriority w:val="48"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41">
    <w:name w:val="网格表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TableNormal"/>
    <w:uiPriority w:val="49"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">
    <w:name w:val="网格表 4 - 着色 21"/>
    <w:basedOn w:val="TableNormal"/>
    <w:uiPriority w:val="49"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">
    <w:name w:val="网格表 4 - 着色 31"/>
    <w:basedOn w:val="TableNormal"/>
    <w:uiPriority w:val="49"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">
    <w:name w:val="网格表 4 - 着色 41"/>
    <w:basedOn w:val="TableNormal"/>
    <w:uiPriority w:val="49"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">
    <w:name w:val="网格表 4 - 着色 51"/>
    <w:basedOn w:val="TableNormal"/>
    <w:uiPriority w:val="49"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网格表 4 - 着色 61"/>
    <w:basedOn w:val="TableNormal"/>
    <w:uiPriority w:val="49"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">
    <w:name w:val="网格表 5 深色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5-21">
    <w:name w:val="网格表 5 深色 - 着色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5-31">
    <w:name w:val="网格表 5 深色 - 着色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5-41">
    <w:name w:val="网格表 5 深色 - 着色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5-51">
    <w:name w:val="网格表 5 深色 - 着色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5-61">
    <w:name w:val="网格表 5 深色 - 着色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61">
    <w:name w:val="网格表 6 彩色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TableNormal"/>
    <w:uiPriority w:val="51"/>
    <w:rPr>
      <w:color w:val="365F91" w:themeColor="accent1" w:themeShade="BF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">
    <w:name w:val="网格表 6 彩色 - 着色 21"/>
    <w:basedOn w:val="TableNormal"/>
    <w:uiPriority w:val="51"/>
    <w:rPr>
      <w:color w:val="943634" w:themeColor="accent2" w:themeShade="BF"/>
    </w:rPr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">
    <w:name w:val="网格表 6 彩色 - 着色 31"/>
    <w:basedOn w:val="TableNormal"/>
    <w:uiPriority w:val="51"/>
    <w:rPr>
      <w:color w:val="76923C" w:themeColor="accent3" w:themeShade="BF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">
    <w:name w:val="网格表 6 彩色 - 着色 41"/>
    <w:basedOn w:val="TableNormal"/>
    <w:uiPriority w:val="51"/>
    <w:rPr>
      <w:color w:val="5F497A" w:themeColor="accent4" w:themeShade="BF"/>
    </w:rPr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">
    <w:name w:val="网格表 6 彩色 - 着色 51"/>
    <w:basedOn w:val="TableNormal"/>
    <w:uiPriority w:val="51"/>
    <w:rPr>
      <w:color w:val="31849B" w:themeColor="accent5" w:themeShade="BF"/>
    </w:rPr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">
    <w:name w:val="网格表 6 彩色 - 着色 61"/>
    <w:basedOn w:val="TableNormal"/>
    <w:uiPriority w:val="51"/>
    <w:rPr>
      <w:color w:val="E36C0A" w:themeColor="accent6" w:themeShade="BF"/>
    </w:rPr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">
    <w:name w:val="网格表 7 彩色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TableNormal"/>
    <w:uiPriority w:val="52"/>
    <w:rPr>
      <w:color w:val="365F91" w:themeColor="accent1" w:themeShade="BF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7-21">
    <w:name w:val="网格表 7 彩色 - 着色 21"/>
    <w:basedOn w:val="TableNormal"/>
    <w:uiPriority w:val="52"/>
    <w:rPr>
      <w:color w:val="943634" w:themeColor="accent2" w:themeShade="BF"/>
    </w:rPr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31">
    <w:name w:val="网格表 7 彩色 - 着色 31"/>
    <w:basedOn w:val="TableNormal"/>
    <w:uiPriority w:val="52"/>
    <w:rPr>
      <w:color w:val="76923C" w:themeColor="accent3" w:themeShade="BF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7-41">
    <w:name w:val="网格表 7 彩色 - 着色 41"/>
    <w:basedOn w:val="TableNormal"/>
    <w:uiPriority w:val="52"/>
    <w:rPr>
      <w:color w:val="5F497A" w:themeColor="accent4" w:themeShade="BF"/>
    </w:rPr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7-51">
    <w:name w:val="网格表 7 彩色 - 着色 51"/>
    <w:basedOn w:val="TableNormal"/>
    <w:uiPriority w:val="52"/>
    <w:rPr>
      <w:color w:val="31849B" w:themeColor="accent5" w:themeShade="BF"/>
    </w:rPr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61">
    <w:name w:val="网格表 7 彩色 - 着色 61"/>
    <w:basedOn w:val="TableNormal"/>
    <w:uiPriority w:val="52"/>
    <w:rPr>
      <w:color w:val="E36C0A" w:themeColor="accent6" w:themeShade="BF"/>
    </w:rPr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12">
    <w:name w:val="井号标签1"/>
    <w:basedOn w:val="DefaultParagraphFont"/>
    <w:uiPriority w:val="99"/>
    <w:rPr>
      <w:color w:val="2B579A"/>
      <w:shd w:val="clear" w:color="auto" w:fill="E1DFDD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"/>
      <w:sz w:val="21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kern w:val="2"/>
      <w:sz w:val="20"/>
      <w:szCs w:val="20"/>
    </w:rPr>
  </w:style>
  <w:style w:type="character" w:customStyle="1" w:styleId="13">
    <w:name w:val="明显强调1"/>
    <w:basedOn w:val="DefaultParagraphFont"/>
    <w:uiPriority w:val="21"/>
    <w:qFormat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4F81BD" w:themeColor="accent1"/>
      <w:kern w:val="2"/>
      <w:sz w:val="21"/>
      <w:szCs w:val="24"/>
    </w:rPr>
  </w:style>
  <w:style w:type="character" w:customStyle="1" w:styleId="14">
    <w:name w:val="明显参考1"/>
    <w:basedOn w:val="DefaultParagraphFont"/>
    <w:uiPriority w:val="32"/>
    <w:qFormat/>
    <w:rPr>
      <w:b/>
      <w:bCs/>
      <w:smallCaps/>
      <w:color w:val="4F81BD" w:themeColor="accent1"/>
      <w:spacing w:val="5"/>
    </w:rPr>
  </w:style>
  <w:style w:type="table" w:customStyle="1" w:styleId="111">
    <w:name w:val="清单表 1 浅色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清单表 1 浅色 - 着色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1-210">
    <w:name w:val="清单表 1 浅色 - 着色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1-310">
    <w:name w:val="清单表 1 浅色 - 着色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410">
    <w:name w:val="清单表 1 浅色 - 着色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1-510">
    <w:name w:val="清单表 1 浅色 - 着色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1-610">
    <w:name w:val="清单表 1 浅色 - 着色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210">
    <w:name w:val="清单表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清单表 2 - 着色 11"/>
    <w:basedOn w:val="TableNormal"/>
    <w:uiPriority w:val="47"/>
    <w:tblPr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0">
    <w:name w:val="清单表 2 - 着色 21"/>
    <w:basedOn w:val="TableNormal"/>
    <w:uiPriority w:val="47"/>
    <w:tblPr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0">
    <w:name w:val="清单表 2 - 着色 31"/>
    <w:basedOn w:val="TableNormal"/>
    <w:uiPriority w:val="47"/>
    <w:tblPr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0">
    <w:name w:val="清单表 2 - 着色 41"/>
    <w:basedOn w:val="TableNormal"/>
    <w:uiPriority w:val="47"/>
    <w:tblPr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0">
    <w:name w:val="清单表 2 - 着色 51"/>
    <w:basedOn w:val="TableNormal"/>
    <w:uiPriority w:val="47"/>
    <w:tblPr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0">
    <w:name w:val="清单表 2 - 着色 61"/>
    <w:basedOn w:val="TableNormal"/>
    <w:uiPriority w:val="47"/>
    <w:tblPr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0">
    <w:name w:val="清单表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TableNormal"/>
    <w:uiPriority w:val="48"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3-210">
    <w:name w:val="清单表 3 - 着色 21"/>
    <w:basedOn w:val="TableNormal"/>
    <w:uiPriority w:val="48"/>
    <w:tblPr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3-310">
    <w:name w:val="清单表 3 - 着色 31"/>
    <w:basedOn w:val="TableNormal"/>
    <w:uiPriority w:val="48"/>
    <w:tblPr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清单表 3 - 着色 41"/>
    <w:basedOn w:val="TableNormal"/>
    <w:uiPriority w:val="48"/>
    <w:tblPr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3-510">
    <w:name w:val="清单表 3 - 着色 51"/>
    <w:basedOn w:val="TableNormal"/>
    <w:uiPriority w:val="48"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3-610">
    <w:name w:val="清单表 3 - 着色 61"/>
    <w:basedOn w:val="TableNormal"/>
    <w:uiPriority w:val="48"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0">
    <w:name w:val="清单表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TableNormal"/>
    <w:uiPriority w:val="49"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0">
    <w:name w:val="清单表 4 - 着色 21"/>
    <w:basedOn w:val="TableNormal"/>
    <w:uiPriority w:val="49"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0">
    <w:name w:val="清单表 4 - 着色 31"/>
    <w:basedOn w:val="TableNormal"/>
    <w:uiPriority w:val="49"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0">
    <w:name w:val="清单表 4 - 着色 41"/>
    <w:basedOn w:val="TableNormal"/>
    <w:uiPriority w:val="49"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0">
    <w:name w:val="清单表 4 - 着色 51"/>
    <w:basedOn w:val="TableNormal"/>
    <w:uiPriority w:val="49"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0">
    <w:name w:val="清单表 4 - 着色 61"/>
    <w:basedOn w:val="TableNormal"/>
    <w:uiPriority w:val="49"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0">
    <w:name w:val="清单表 5 深色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TableNormal"/>
    <w:uiPriority w:val="50"/>
    <w:rPr>
      <w:color w:val="FFFFFF" w:themeColor="background1"/>
    </w:rPr>
    <w:tblPr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TableNormal"/>
    <w:uiPriority w:val="50"/>
    <w:rPr>
      <w:color w:val="FFFFFF" w:themeColor="background1"/>
    </w:rPr>
    <w:tblPr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TableNormal"/>
    <w:uiPriority w:val="50"/>
    <w:rPr>
      <w:color w:val="FFFFFF" w:themeColor="background1"/>
    </w:rPr>
    <w:tblPr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TableNormal"/>
    <w:uiPriority w:val="50"/>
    <w:rPr>
      <w:color w:val="FFFFFF" w:themeColor="background1"/>
    </w:rPr>
    <w:tblPr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TableNormal"/>
    <w:uiPriority w:val="50"/>
    <w:rPr>
      <w:color w:val="FFFFFF" w:themeColor="background1"/>
    </w:rPr>
    <w:tblPr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TableNormal"/>
    <w:uiPriority w:val="50"/>
    <w:rPr>
      <w:color w:val="FFFFFF" w:themeColor="background1"/>
    </w:rPr>
    <w:tblPr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TableNormal"/>
    <w:uiPriority w:val="51"/>
    <w:rPr>
      <w:color w:val="365F91" w:themeColor="accent1" w:themeShade="BF"/>
    </w:rPr>
    <w:tblPr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0">
    <w:name w:val="清单表 6 彩色 - 着色 21"/>
    <w:basedOn w:val="TableNormal"/>
    <w:uiPriority w:val="51"/>
    <w:rPr>
      <w:color w:val="943634" w:themeColor="accent2" w:themeShade="BF"/>
    </w:rPr>
    <w:tblPr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0">
    <w:name w:val="清单表 6 彩色 - 着色 31"/>
    <w:basedOn w:val="TableNormal"/>
    <w:uiPriority w:val="51"/>
    <w:rPr>
      <w:color w:val="76923C" w:themeColor="accent3" w:themeShade="BF"/>
    </w:rPr>
    <w:tblPr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0">
    <w:name w:val="清单表 6 彩色 - 着色 41"/>
    <w:basedOn w:val="TableNormal"/>
    <w:uiPriority w:val="51"/>
    <w:rPr>
      <w:color w:val="5F497A" w:themeColor="accent4" w:themeShade="BF"/>
    </w:rPr>
    <w:tblPr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0">
    <w:name w:val="清单表 6 彩色 - 着色 51"/>
    <w:basedOn w:val="TableNormal"/>
    <w:uiPriority w:val="51"/>
    <w:rPr>
      <w:color w:val="31849B" w:themeColor="accent5" w:themeShade="BF"/>
    </w:rPr>
    <w:tblPr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0">
    <w:name w:val="清单表 6 彩色 - 着色 61"/>
    <w:basedOn w:val="TableNormal"/>
    <w:uiPriority w:val="51"/>
    <w:rPr>
      <w:color w:val="E36C0A" w:themeColor="accent6" w:themeShade="BF"/>
    </w:rPr>
    <w:tblPr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0">
    <w:name w:val="清单表 7 彩色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TableNormal"/>
    <w:uiPriority w:val="52"/>
    <w:rPr>
      <w:color w:val="365F9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TableNormal"/>
    <w:uiPriority w:val="52"/>
    <w:rPr>
      <w:color w:val="943634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TableNormal"/>
    <w:uiPriority w:val="52"/>
    <w:rPr>
      <w:color w:val="76923C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TableNormal"/>
    <w:uiPriority w:val="52"/>
    <w:rPr>
      <w:color w:val="5F497A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TableNormal"/>
    <w:uiPriority w:val="52"/>
    <w:rPr>
      <w:color w:val="31849B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TableNormal"/>
    <w:uiPriority w:val="52"/>
    <w:rPr>
      <w:color w:val="E36C0A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kern w:val="2"/>
      <w:sz w:val="20"/>
      <w:szCs w:val="20"/>
    </w:rPr>
  </w:style>
  <w:style w:type="character" w:customStyle="1" w:styleId="15">
    <w:name w:val="@他1"/>
    <w:basedOn w:val="DefaultParagraphFont"/>
    <w:uiPriority w:val="99"/>
    <w:rPr>
      <w:color w:val="2B579A"/>
      <w:shd w:val="clear" w:color="auto" w:fill="E1DFDD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Calibri" w:eastAsia="DengXian" w:hAnsi="Calibri" w:cs="SimSun"/>
      <w:kern w:val="2"/>
      <w:sz w:val="21"/>
      <w:szCs w:val="24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"/>
      <w:sz w:val="21"/>
      <w:szCs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customStyle="1" w:styleId="112">
    <w:name w:val="无格式表格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1">
    <w:name w:val="无格式表格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1">
    <w:name w:val="无格式表格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1">
    <w:name w:val="无格式表格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1">
    <w:name w:val="无格式表格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kern w:val="2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  <w:kern w:val="2"/>
      <w:sz w:val="21"/>
      <w:szCs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"/>
      <w:sz w:val="21"/>
      <w:szCs w:val="24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"/>
      <w:sz w:val="21"/>
      <w:szCs w:val="24"/>
    </w:rPr>
  </w:style>
  <w:style w:type="character" w:customStyle="1" w:styleId="16">
    <w:name w:val="智能超链接1"/>
    <w:basedOn w:val="DefaultParagraphFont"/>
    <w:uiPriority w:val="99"/>
    <w:rPr>
      <w:u w:val="dotted"/>
    </w:rPr>
  </w:style>
  <w:style w:type="character" w:customStyle="1" w:styleId="17">
    <w:name w:val="智能链接1"/>
    <w:basedOn w:val="DefaultParagraphFont"/>
    <w:uiPriority w:val="99"/>
    <w:semiHidden/>
    <w:unhideWhenUsed/>
    <w:rPr>
      <w:color w:val="0000FF"/>
      <w:u w:val="single"/>
      <w:shd w:val="clear" w:color="auto" w:fill="F3F2F1"/>
    </w:rPr>
  </w:style>
  <w:style w:type="character" w:customStyle="1" w:styleId="18">
    <w:name w:val="不明显强调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19">
    <w:name w:val="不明显参考1"/>
    <w:basedOn w:val="DefaultParagraphFont"/>
    <w:uiPriority w:val="31"/>
    <w:qFormat/>
    <w:rPr>
      <w:smallCaps/>
      <w:color w:val="595959" w:themeColor="text1" w:themeTint="A6"/>
    </w:rPr>
  </w:style>
  <w:style w:type="table" w:customStyle="1" w:styleId="1a">
    <w:name w:val="网格型浅色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keepNext/>
      <w:keepLines/>
      <w:widowControl w:val="0"/>
      <w:numPr>
        <w:numId w:val="0"/>
      </w:numPr>
      <w:tabs>
        <w:tab w:val="clear" w:pos="567"/>
      </w:tabs>
      <w:spacing w:after="0"/>
      <w:jc w:val="both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2"/>
      <w:sz w:val="32"/>
      <w:szCs w:val="32"/>
      <w:lang w:eastAsia="zh-CN"/>
    </w:rPr>
  </w:style>
  <w:style w:type="character" w:customStyle="1" w:styleId="1b">
    <w:name w:val="未处理的提及1"/>
    <w:basedOn w:val="DefaultParagraphFont"/>
    <w:uiPriority w:val="9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F3C9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532A41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532A41"/>
    <w:rPr>
      <w:rFonts w:ascii="Calibri" w:eastAsia="DengXian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rsid w:val="00532A41"/>
    <w:rPr>
      <w:rFonts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532A41"/>
    <w:rPr>
      <w:rFonts w:ascii="Calibri" w:eastAsia="DengXian" w:hAnsi="Calibri" w:cs="Calibri"/>
      <w:noProof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6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7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063F1-BE22-4355-BD25-E349A866E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10</Pages>
  <Words>855</Words>
  <Characters>4874</Characters>
  <Application>Microsoft Office Word</Application>
  <DocSecurity>0</DocSecurity>
  <Lines>40</Lines>
  <Paragraphs>11</Paragraphs>
  <ScaleCrop>false</ScaleCrop>
  <Company>WVU Health Sciences Center</Company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Da-Yun Feng</dc:creator>
  <cp:lastModifiedBy>Poonam Mutha</cp:lastModifiedBy>
  <cp:revision>8</cp:revision>
  <dcterms:created xsi:type="dcterms:W3CDTF">2024-01-25T02:12:00Z</dcterms:created>
  <dcterms:modified xsi:type="dcterms:W3CDTF">2024-02-07T11:17:00Z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A613BD7934A343AB85EACF53BD3FAE3E_13</vt:lpwstr>
  </property>
  <property fmtid="{D5CDD505-2E9C-101B-9397-08002B2CF9AE}" pid="3" name="LE1">
    <vt:filetime>2023-11-13T01:18:28Z</vt:filetime>
  </property>
  <property fmtid="{D5CDD505-2E9C-101B-9397-08002B2CF9AE}" pid="4" name="ReminderText">
    <vt:lpwstr>_AYJXC6GB</vt:lpwstr>
  </property>
  <property fmtid="{D5CDD505-2E9C-101B-9397-08002B2CF9AE}" pid="5" name="KSOProductBuildVer">
    <vt:lpwstr>2052-12.1.0.16120</vt:lpwstr>
  </property>
</Properties>
</file>