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6770" w:rsidRPr="00526770" w:rsidRDefault="00526770" w:rsidP="001A2C1B">
      <w:pPr>
        <w:rPr>
          <w:rFonts w:asciiTheme="minorHAnsi" w:hAnsiTheme="minorHAnsi" w:cstheme="minorHAnsi"/>
          <w:b/>
          <w:sz w:val="24"/>
          <w:szCs w:val="28"/>
          <w:u w:val="single"/>
        </w:rPr>
      </w:pPr>
      <w:r w:rsidRPr="00526770">
        <w:rPr>
          <w:rFonts w:asciiTheme="minorHAnsi" w:hAnsiTheme="minorHAnsi" w:cstheme="minorHAnsi"/>
          <w:b/>
          <w:sz w:val="24"/>
          <w:szCs w:val="28"/>
          <w:u w:val="single"/>
        </w:rPr>
        <w:t>Search Strategy for the systematic review and meta-analysis</w:t>
      </w:r>
    </w:p>
    <w:p w:rsidR="00526770" w:rsidRDefault="00526770" w:rsidP="001A2C1B">
      <w:pPr>
        <w:rPr>
          <w:rFonts w:asciiTheme="minorHAnsi" w:hAnsiTheme="minorHAnsi" w:cstheme="minorHAnsi"/>
          <w:b/>
          <w:sz w:val="24"/>
          <w:szCs w:val="28"/>
        </w:rPr>
      </w:pPr>
    </w:p>
    <w:p w:rsidR="001A2C1B" w:rsidRDefault="001A2C1B" w:rsidP="001A2C1B">
      <w:pPr>
        <w:rPr>
          <w:rFonts w:asciiTheme="minorHAnsi" w:hAnsiTheme="minorHAnsi" w:cstheme="minorHAnsi"/>
          <w:b/>
          <w:sz w:val="24"/>
          <w:szCs w:val="28"/>
        </w:rPr>
      </w:pPr>
      <w:r w:rsidRPr="00526770">
        <w:rPr>
          <w:rFonts w:asciiTheme="minorHAnsi" w:hAnsiTheme="minorHAnsi" w:cstheme="minorHAnsi"/>
          <w:b/>
          <w:sz w:val="24"/>
          <w:szCs w:val="28"/>
        </w:rPr>
        <w:t>PubMed</w:t>
      </w:r>
    </w:p>
    <w:p w:rsidR="00526770" w:rsidRPr="00526770" w:rsidRDefault="00526770" w:rsidP="001A2C1B">
      <w:pPr>
        <w:rPr>
          <w:rFonts w:asciiTheme="minorHAnsi" w:hAnsiTheme="minorHAnsi" w:cstheme="minorHAnsi"/>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1854"/>
      </w:tblGrid>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1</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 xml:space="preserve">Search (("Corona </w:t>
            </w:r>
            <w:proofErr w:type="spellStart"/>
            <w:r w:rsidRPr="00CF00D9">
              <w:rPr>
                <w:rFonts w:asciiTheme="minorHAnsi" w:hAnsiTheme="minorHAnsi" w:cstheme="minorHAnsi"/>
                <w:sz w:val="24"/>
                <w:szCs w:val="22"/>
              </w:rPr>
              <w:t>virinae</w:t>
            </w:r>
            <w:proofErr w:type="spellEnd"/>
            <w:r w:rsidRPr="00CF00D9">
              <w:rPr>
                <w:rFonts w:asciiTheme="minorHAnsi" w:hAnsiTheme="minorHAnsi" w:cstheme="minorHAnsi"/>
                <w:sz w:val="24"/>
                <w:szCs w:val="22"/>
              </w:rPr>
              <w:t xml:space="preserve">" OR "corona virus" OR </w:t>
            </w:r>
            <w:proofErr w:type="spellStart"/>
            <w:r w:rsidRPr="00CF00D9">
              <w:rPr>
                <w:rFonts w:asciiTheme="minorHAnsi" w:hAnsiTheme="minorHAnsi" w:cstheme="minorHAnsi"/>
                <w:sz w:val="24"/>
                <w:szCs w:val="22"/>
              </w:rPr>
              <w:t>coronaviridae</w:t>
            </w:r>
            <w:proofErr w:type="spellEnd"/>
            <w:r w:rsidRPr="00CF00D9">
              <w:rPr>
                <w:rFonts w:asciiTheme="minorHAnsi" w:hAnsiTheme="minorHAnsi" w:cstheme="minorHAnsi"/>
                <w:sz w:val="24"/>
                <w:szCs w:val="22"/>
              </w:rPr>
              <w:t xml:space="preserve"> OR coronavirus OR </w:t>
            </w:r>
            <w:proofErr w:type="spellStart"/>
            <w:r w:rsidRPr="00CF00D9">
              <w:rPr>
                <w:rFonts w:asciiTheme="minorHAnsi" w:hAnsiTheme="minorHAnsi" w:cstheme="minorHAnsi"/>
                <w:sz w:val="24"/>
                <w:szCs w:val="22"/>
              </w:rPr>
              <w:t>covid</w:t>
            </w:r>
            <w:proofErr w:type="spellEnd"/>
            <w:r w:rsidRPr="00CF00D9">
              <w:rPr>
                <w:rFonts w:asciiTheme="minorHAnsi" w:hAnsiTheme="minorHAnsi" w:cstheme="minorHAnsi"/>
                <w:sz w:val="24"/>
                <w:szCs w:val="22"/>
              </w:rPr>
              <w:t xml:space="preserve"> OR </w:t>
            </w:r>
            <w:proofErr w:type="spellStart"/>
            <w:r w:rsidRPr="00CF00D9">
              <w:rPr>
                <w:rFonts w:asciiTheme="minorHAnsi" w:hAnsiTheme="minorHAnsi" w:cstheme="minorHAnsi"/>
                <w:sz w:val="24"/>
                <w:szCs w:val="22"/>
              </w:rPr>
              <w:t>ncov</w:t>
            </w:r>
            <w:proofErr w:type="spellEnd"/>
            <w:r w:rsidRPr="00CF00D9">
              <w:rPr>
                <w:rFonts w:asciiTheme="minorHAnsi" w:hAnsiTheme="minorHAnsi" w:cstheme="minorHAnsi"/>
                <w:sz w:val="24"/>
                <w:szCs w:val="22"/>
              </w:rPr>
              <w:t xml:space="preserve">) adj4 ("19" OR "2019" OR novel OR new)) OR (("Corona </w:t>
            </w:r>
            <w:proofErr w:type="spellStart"/>
            <w:r w:rsidRPr="00CF00D9">
              <w:rPr>
                <w:rFonts w:asciiTheme="minorHAnsi" w:hAnsiTheme="minorHAnsi" w:cstheme="minorHAnsi"/>
                <w:sz w:val="24"/>
                <w:szCs w:val="22"/>
              </w:rPr>
              <w:t>virinae</w:t>
            </w:r>
            <w:proofErr w:type="spellEnd"/>
            <w:r w:rsidRPr="00CF00D9">
              <w:rPr>
                <w:rFonts w:asciiTheme="minorHAnsi" w:hAnsiTheme="minorHAnsi" w:cstheme="minorHAnsi"/>
                <w:sz w:val="24"/>
                <w:szCs w:val="22"/>
              </w:rPr>
              <w:t xml:space="preserve">" OR "corona virus" OR </w:t>
            </w:r>
            <w:proofErr w:type="spellStart"/>
            <w:r w:rsidRPr="00CF00D9">
              <w:rPr>
                <w:rFonts w:asciiTheme="minorHAnsi" w:hAnsiTheme="minorHAnsi" w:cstheme="minorHAnsi"/>
                <w:sz w:val="24"/>
                <w:szCs w:val="22"/>
              </w:rPr>
              <w:t>coronaviridae</w:t>
            </w:r>
            <w:proofErr w:type="spellEnd"/>
            <w:r w:rsidRPr="00CF00D9">
              <w:rPr>
                <w:rFonts w:asciiTheme="minorHAnsi" w:hAnsiTheme="minorHAnsi" w:cstheme="minorHAnsi"/>
                <w:sz w:val="24"/>
                <w:szCs w:val="22"/>
              </w:rPr>
              <w:t xml:space="preserve"> OR coronavirus OR </w:t>
            </w:r>
            <w:proofErr w:type="spellStart"/>
            <w:r w:rsidRPr="00CF00D9">
              <w:rPr>
                <w:rFonts w:asciiTheme="minorHAnsi" w:hAnsiTheme="minorHAnsi" w:cstheme="minorHAnsi"/>
                <w:sz w:val="24"/>
                <w:szCs w:val="22"/>
              </w:rPr>
              <w:t>covid</w:t>
            </w:r>
            <w:proofErr w:type="spellEnd"/>
            <w:r w:rsidRPr="00CF00D9">
              <w:rPr>
                <w:rFonts w:asciiTheme="minorHAnsi" w:hAnsiTheme="minorHAnsi" w:cstheme="minorHAnsi"/>
                <w:sz w:val="24"/>
                <w:szCs w:val="22"/>
              </w:rPr>
              <w:t xml:space="preserve"> OR </w:t>
            </w:r>
            <w:proofErr w:type="spellStart"/>
            <w:r w:rsidRPr="00CF00D9">
              <w:rPr>
                <w:rFonts w:asciiTheme="minorHAnsi" w:hAnsiTheme="minorHAnsi" w:cstheme="minorHAnsi"/>
                <w:sz w:val="24"/>
                <w:szCs w:val="22"/>
              </w:rPr>
              <w:t>ncov</w:t>
            </w:r>
            <w:proofErr w:type="spellEnd"/>
            <w:r w:rsidRPr="00CF00D9">
              <w:rPr>
                <w:rFonts w:asciiTheme="minorHAnsi" w:hAnsiTheme="minorHAnsi" w:cstheme="minorHAnsi"/>
                <w:sz w:val="24"/>
                <w:szCs w:val="22"/>
              </w:rPr>
              <w:t xml:space="preserve">) and </w:t>
            </w:r>
            <w:proofErr w:type="spellStart"/>
            <w:r w:rsidRPr="00CF00D9">
              <w:rPr>
                <w:rFonts w:asciiTheme="minorHAnsi" w:hAnsiTheme="minorHAnsi" w:cstheme="minorHAnsi"/>
                <w:sz w:val="24"/>
                <w:szCs w:val="22"/>
              </w:rPr>
              <w:t>wuhan</w:t>
            </w:r>
            <w:proofErr w:type="spellEnd"/>
            <w:r w:rsidRPr="00CF00D9">
              <w:rPr>
                <w:rFonts w:asciiTheme="minorHAnsi" w:hAnsiTheme="minorHAnsi" w:cstheme="minorHAnsi"/>
                <w:sz w:val="24"/>
                <w:szCs w:val="22"/>
              </w:rPr>
              <w:t>) OR "Corona virinae19" OR "Corona virinae2019" OR "corona virus19" OR "corona virus2019" OR Coronavirinae19 OR Coronavirinae2019 OR coronavirus19 OR coronavirus2019 OR COVID19 OR COVID2019 OR nCOV19 OR nCOV2019 OR "2019-nCOV" OR 2019nCOV OR "SARS Corona virus 2" OR "SARS Coronavirus 2" OR "SARS-COV-2" OR "Severe Acute Respiratory Syndrome Corona virus 2" OR "Severe Acute Respiratory Syndrome Coronavirus 2"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2</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"Symptoms"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3</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"clinical presentation"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4</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"clinical characteristics"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5</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"comorbidities"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6</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"comorbidity"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lastRenderedPageBreak/>
              <w:t>7</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intensive care units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8</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risk factors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9</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Hospitalization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10</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death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11</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mortality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12</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Search ((((((((("Symptoms") OR "clinical presentation") OR "clinical characteristics") OR "comorbidities") OR "comorbidity") OR intensive care units) OR risk factors) OR Hospitalization) OR death) OR mortality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13</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 xml:space="preserve">Search ((((("Corona </w:t>
            </w:r>
            <w:proofErr w:type="spellStart"/>
            <w:r w:rsidRPr="00CF00D9">
              <w:rPr>
                <w:rFonts w:asciiTheme="minorHAnsi" w:hAnsiTheme="minorHAnsi" w:cstheme="minorHAnsi"/>
                <w:sz w:val="24"/>
                <w:szCs w:val="22"/>
              </w:rPr>
              <w:t>virinae</w:t>
            </w:r>
            <w:proofErr w:type="spellEnd"/>
            <w:r w:rsidRPr="00CF00D9">
              <w:rPr>
                <w:rFonts w:asciiTheme="minorHAnsi" w:hAnsiTheme="minorHAnsi" w:cstheme="minorHAnsi"/>
                <w:sz w:val="24"/>
                <w:szCs w:val="22"/>
              </w:rPr>
              <w:t xml:space="preserve">" OR "corona virus" OR </w:t>
            </w:r>
            <w:proofErr w:type="spellStart"/>
            <w:r w:rsidRPr="00CF00D9">
              <w:rPr>
                <w:rFonts w:asciiTheme="minorHAnsi" w:hAnsiTheme="minorHAnsi" w:cstheme="minorHAnsi"/>
                <w:sz w:val="24"/>
                <w:szCs w:val="22"/>
              </w:rPr>
              <w:t>coronaviridae</w:t>
            </w:r>
            <w:proofErr w:type="spellEnd"/>
            <w:r w:rsidRPr="00CF00D9">
              <w:rPr>
                <w:rFonts w:asciiTheme="minorHAnsi" w:hAnsiTheme="minorHAnsi" w:cstheme="minorHAnsi"/>
                <w:sz w:val="24"/>
                <w:szCs w:val="22"/>
              </w:rPr>
              <w:t xml:space="preserve"> OR coronavirus OR </w:t>
            </w:r>
            <w:proofErr w:type="spellStart"/>
            <w:r w:rsidRPr="00CF00D9">
              <w:rPr>
                <w:rFonts w:asciiTheme="minorHAnsi" w:hAnsiTheme="minorHAnsi" w:cstheme="minorHAnsi"/>
                <w:sz w:val="24"/>
                <w:szCs w:val="22"/>
              </w:rPr>
              <w:t>covid</w:t>
            </w:r>
            <w:proofErr w:type="spellEnd"/>
            <w:r w:rsidRPr="00CF00D9">
              <w:rPr>
                <w:rFonts w:asciiTheme="minorHAnsi" w:hAnsiTheme="minorHAnsi" w:cstheme="minorHAnsi"/>
                <w:sz w:val="24"/>
                <w:szCs w:val="22"/>
              </w:rPr>
              <w:t xml:space="preserve"> OR </w:t>
            </w:r>
            <w:proofErr w:type="spellStart"/>
            <w:r w:rsidRPr="00CF00D9">
              <w:rPr>
                <w:rFonts w:asciiTheme="minorHAnsi" w:hAnsiTheme="minorHAnsi" w:cstheme="minorHAnsi"/>
                <w:sz w:val="24"/>
                <w:szCs w:val="22"/>
              </w:rPr>
              <w:t>ncov</w:t>
            </w:r>
            <w:proofErr w:type="spellEnd"/>
            <w:r w:rsidRPr="00CF00D9">
              <w:rPr>
                <w:rFonts w:asciiTheme="minorHAnsi" w:hAnsiTheme="minorHAnsi" w:cstheme="minorHAnsi"/>
                <w:sz w:val="24"/>
                <w:szCs w:val="22"/>
              </w:rPr>
              <w:t xml:space="preserve">) adj4 ("19" OR "2019" OR novel OR new)) OR (("Corona </w:t>
            </w:r>
            <w:proofErr w:type="spellStart"/>
            <w:r w:rsidRPr="00CF00D9">
              <w:rPr>
                <w:rFonts w:asciiTheme="minorHAnsi" w:hAnsiTheme="minorHAnsi" w:cstheme="minorHAnsi"/>
                <w:sz w:val="24"/>
                <w:szCs w:val="22"/>
              </w:rPr>
              <w:t>virinae</w:t>
            </w:r>
            <w:proofErr w:type="spellEnd"/>
            <w:r w:rsidRPr="00CF00D9">
              <w:rPr>
                <w:rFonts w:asciiTheme="minorHAnsi" w:hAnsiTheme="minorHAnsi" w:cstheme="minorHAnsi"/>
                <w:sz w:val="24"/>
                <w:szCs w:val="22"/>
              </w:rPr>
              <w:t xml:space="preserve">" OR "corona virus" OR </w:t>
            </w:r>
            <w:proofErr w:type="spellStart"/>
            <w:r w:rsidRPr="00CF00D9">
              <w:rPr>
                <w:rFonts w:asciiTheme="minorHAnsi" w:hAnsiTheme="minorHAnsi" w:cstheme="minorHAnsi"/>
                <w:sz w:val="24"/>
                <w:szCs w:val="22"/>
              </w:rPr>
              <w:t>coronaviridae</w:t>
            </w:r>
            <w:proofErr w:type="spellEnd"/>
            <w:r w:rsidRPr="00CF00D9">
              <w:rPr>
                <w:rFonts w:asciiTheme="minorHAnsi" w:hAnsiTheme="minorHAnsi" w:cstheme="minorHAnsi"/>
                <w:sz w:val="24"/>
                <w:szCs w:val="22"/>
              </w:rPr>
              <w:t xml:space="preserve"> OR coronavirus OR </w:t>
            </w:r>
            <w:proofErr w:type="spellStart"/>
            <w:r w:rsidRPr="00CF00D9">
              <w:rPr>
                <w:rFonts w:asciiTheme="minorHAnsi" w:hAnsiTheme="minorHAnsi" w:cstheme="minorHAnsi"/>
                <w:sz w:val="24"/>
                <w:szCs w:val="22"/>
              </w:rPr>
              <w:t>covid</w:t>
            </w:r>
            <w:proofErr w:type="spellEnd"/>
            <w:r w:rsidRPr="00CF00D9">
              <w:rPr>
                <w:rFonts w:asciiTheme="minorHAnsi" w:hAnsiTheme="minorHAnsi" w:cstheme="minorHAnsi"/>
                <w:sz w:val="24"/>
                <w:szCs w:val="22"/>
              </w:rPr>
              <w:t xml:space="preserve"> OR </w:t>
            </w:r>
            <w:proofErr w:type="spellStart"/>
            <w:r w:rsidRPr="00CF00D9">
              <w:rPr>
                <w:rFonts w:asciiTheme="minorHAnsi" w:hAnsiTheme="minorHAnsi" w:cstheme="minorHAnsi"/>
                <w:sz w:val="24"/>
                <w:szCs w:val="22"/>
              </w:rPr>
              <w:t>ncov</w:t>
            </w:r>
            <w:proofErr w:type="spellEnd"/>
            <w:r w:rsidRPr="00CF00D9">
              <w:rPr>
                <w:rFonts w:asciiTheme="minorHAnsi" w:hAnsiTheme="minorHAnsi" w:cstheme="minorHAnsi"/>
                <w:sz w:val="24"/>
                <w:szCs w:val="22"/>
              </w:rPr>
              <w:t xml:space="preserve">) and </w:t>
            </w:r>
            <w:proofErr w:type="spellStart"/>
            <w:r w:rsidRPr="00CF00D9">
              <w:rPr>
                <w:rFonts w:asciiTheme="minorHAnsi" w:hAnsiTheme="minorHAnsi" w:cstheme="minorHAnsi"/>
                <w:sz w:val="24"/>
                <w:szCs w:val="22"/>
              </w:rPr>
              <w:t>wuhan</w:t>
            </w:r>
            <w:proofErr w:type="spellEnd"/>
            <w:r w:rsidRPr="00CF00D9">
              <w:rPr>
                <w:rFonts w:asciiTheme="minorHAnsi" w:hAnsiTheme="minorHAnsi" w:cstheme="minorHAnsi"/>
                <w:sz w:val="24"/>
                <w:szCs w:val="22"/>
              </w:rPr>
              <w:t xml:space="preserve">) OR "Corona virinae19" OR "Corona virinae2019" OR "corona virus19" OR "corona virus2019" OR Coronavirinae19 OR Coronavirinae2019 OR coronavirus19 OR coronavirus2019 OR COVID19 OR COVID2019 OR nCOV19 OR nCOV2019 OR "2019-nCOV" OR 2019nCOV OR "SARS Corona virus 2" OR "SARS Coronavirus 2" OR "SARS-COV-2" OR "Severe Acute Respiratory Syndrome Corona virus 2" OR "Severe Acute Respiratory Syndrome Coronavirus </w:t>
            </w:r>
            <w:r w:rsidRPr="00CF00D9">
              <w:rPr>
                <w:rFonts w:asciiTheme="minorHAnsi" w:hAnsiTheme="minorHAnsi" w:cstheme="minorHAnsi"/>
                <w:sz w:val="24"/>
                <w:szCs w:val="22"/>
              </w:rPr>
              <w:lastRenderedPageBreak/>
              <w:t>2"))) AND (((((((((("Symptoms") OR "clinical presentation") OR "clinical characteristics") OR "comorbidities") OR "comorbidity") OR intensive care units) OR risk factors) OR hospitalization) OR death) OR mortality)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lastRenderedPageBreak/>
              <w:t>14</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 xml:space="preserve">Search ((((("Corona </w:t>
            </w:r>
            <w:proofErr w:type="spellStart"/>
            <w:r w:rsidRPr="00CF00D9">
              <w:rPr>
                <w:rFonts w:asciiTheme="minorHAnsi" w:hAnsiTheme="minorHAnsi" w:cstheme="minorHAnsi"/>
                <w:sz w:val="24"/>
                <w:szCs w:val="22"/>
              </w:rPr>
              <w:t>virinae</w:t>
            </w:r>
            <w:proofErr w:type="spellEnd"/>
            <w:r w:rsidRPr="00CF00D9">
              <w:rPr>
                <w:rFonts w:asciiTheme="minorHAnsi" w:hAnsiTheme="minorHAnsi" w:cstheme="minorHAnsi"/>
                <w:sz w:val="24"/>
                <w:szCs w:val="22"/>
              </w:rPr>
              <w:t xml:space="preserve">" or "corona virus" or </w:t>
            </w:r>
            <w:proofErr w:type="spellStart"/>
            <w:r w:rsidRPr="00CF00D9">
              <w:rPr>
                <w:rFonts w:asciiTheme="minorHAnsi" w:hAnsiTheme="minorHAnsi" w:cstheme="minorHAnsi"/>
                <w:sz w:val="24"/>
                <w:szCs w:val="22"/>
              </w:rPr>
              <w:t>Coronavirinae</w:t>
            </w:r>
            <w:proofErr w:type="spellEnd"/>
            <w:r w:rsidRPr="00CF00D9">
              <w:rPr>
                <w:rFonts w:asciiTheme="minorHAnsi" w:hAnsiTheme="minorHAnsi" w:cstheme="minorHAnsi"/>
                <w:sz w:val="24"/>
                <w:szCs w:val="22"/>
              </w:rPr>
              <w:t xml:space="preserve"> or coronavirus or COVID or </w:t>
            </w:r>
            <w:proofErr w:type="spellStart"/>
            <w:r w:rsidRPr="00CF00D9">
              <w:rPr>
                <w:rFonts w:asciiTheme="minorHAnsi" w:hAnsiTheme="minorHAnsi" w:cstheme="minorHAnsi"/>
                <w:sz w:val="24"/>
                <w:szCs w:val="22"/>
              </w:rPr>
              <w:t>nCoV</w:t>
            </w:r>
            <w:proofErr w:type="spellEnd"/>
            <w:r w:rsidRPr="00CF00D9">
              <w:rPr>
                <w:rFonts w:asciiTheme="minorHAnsi" w:hAnsiTheme="minorHAnsi" w:cstheme="minorHAnsi"/>
                <w:sz w:val="24"/>
                <w:szCs w:val="22"/>
              </w:rPr>
              <w:t xml:space="preserve">) adj4 ("19" or "2019" or novel or new)) or (("Corona </w:t>
            </w:r>
            <w:proofErr w:type="spellStart"/>
            <w:r w:rsidRPr="00CF00D9">
              <w:rPr>
                <w:rFonts w:asciiTheme="minorHAnsi" w:hAnsiTheme="minorHAnsi" w:cstheme="minorHAnsi"/>
                <w:sz w:val="24"/>
                <w:szCs w:val="22"/>
              </w:rPr>
              <w:t>virinae</w:t>
            </w:r>
            <w:proofErr w:type="spellEnd"/>
            <w:r w:rsidRPr="00CF00D9">
              <w:rPr>
                <w:rFonts w:asciiTheme="minorHAnsi" w:hAnsiTheme="minorHAnsi" w:cstheme="minorHAnsi"/>
                <w:sz w:val="24"/>
                <w:szCs w:val="22"/>
              </w:rPr>
              <w:t xml:space="preserve">" or "corona virus" or </w:t>
            </w:r>
            <w:proofErr w:type="spellStart"/>
            <w:r w:rsidRPr="00CF00D9">
              <w:rPr>
                <w:rFonts w:asciiTheme="minorHAnsi" w:hAnsiTheme="minorHAnsi" w:cstheme="minorHAnsi"/>
                <w:sz w:val="24"/>
                <w:szCs w:val="22"/>
              </w:rPr>
              <w:t>Coronavirinae</w:t>
            </w:r>
            <w:proofErr w:type="spellEnd"/>
            <w:r w:rsidRPr="00CF00D9">
              <w:rPr>
                <w:rFonts w:asciiTheme="minorHAnsi" w:hAnsiTheme="minorHAnsi" w:cstheme="minorHAnsi"/>
                <w:sz w:val="24"/>
                <w:szCs w:val="22"/>
              </w:rPr>
              <w:t xml:space="preserve"> or coronavirus or COVID or </w:t>
            </w:r>
            <w:proofErr w:type="spellStart"/>
            <w:r w:rsidRPr="00CF00D9">
              <w:rPr>
                <w:rFonts w:asciiTheme="minorHAnsi" w:hAnsiTheme="minorHAnsi" w:cstheme="minorHAnsi"/>
                <w:sz w:val="24"/>
                <w:szCs w:val="22"/>
              </w:rPr>
              <w:t>nCoV</w:t>
            </w:r>
            <w:proofErr w:type="spellEnd"/>
            <w:r w:rsidRPr="00CF00D9">
              <w:rPr>
                <w:rFonts w:asciiTheme="minorHAnsi" w:hAnsiTheme="minorHAnsi" w:cstheme="minorHAnsi"/>
                <w:sz w:val="24"/>
                <w:szCs w:val="22"/>
              </w:rPr>
              <w:t xml:space="preserve">) and </w:t>
            </w:r>
            <w:proofErr w:type="spellStart"/>
            <w:r w:rsidRPr="00CF00D9">
              <w:rPr>
                <w:rFonts w:asciiTheme="minorHAnsi" w:hAnsiTheme="minorHAnsi" w:cstheme="minorHAnsi"/>
                <w:sz w:val="24"/>
                <w:szCs w:val="22"/>
              </w:rPr>
              <w:t>wuhan</w:t>
            </w:r>
            <w:proofErr w:type="spellEnd"/>
            <w:r w:rsidRPr="00CF00D9">
              <w:rPr>
                <w:rFonts w:asciiTheme="minorHAnsi" w:hAnsiTheme="minorHAnsi" w:cstheme="minorHAnsi"/>
                <w:sz w:val="24"/>
                <w:szCs w:val="22"/>
              </w:rPr>
              <w:t>) or "Corona virinae19" or "Corona virinae2019" or "corona virus19" or "corona virus2019" or Coronavirinae19 or Coronavirinae2019 or coronavirus19 or coronavirus2019 or COVID19 or COVID2019 or nCOV19 or nCOV2019 or "2019-nCOV" or 2019nCOV or "SARS Corona virus 2" or "SARS Coronavirus 2" or "SARS-COV-2" or "Severe Acute Respiratory Syndrome Corona virus 2" or "Severe Acute Respiratory Syndrome Coronavirus 2"))) AND (((((((((("Symptoms") OR "clinical presentation") OR "clinical characteristics") OR "comorbidities") OR "comorbidity") OR intensive care units) OR risk factors) OR Hospitalization) OR death) OR mortality) Sort by: </w:t>
            </w:r>
            <w:proofErr w:type="spellStart"/>
            <w:r w:rsidRPr="00CF00D9">
              <w:rPr>
                <w:rFonts w:asciiTheme="minorHAnsi" w:hAnsiTheme="minorHAnsi" w:cstheme="minorHAnsi"/>
                <w:sz w:val="24"/>
                <w:szCs w:val="22"/>
              </w:rPr>
              <w:t>JournalName</w:t>
            </w:r>
            <w:proofErr w:type="spellEnd"/>
          </w:p>
        </w:tc>
      </w:tr>
      <w:tr w:rsidR="001A2C1B" w:rsidRPr="00CF00D9" w:rsidTr="00884110">
        <w:tc>
          <w:tcPr>
            <w:tcW w:w="423" w:type="pct"/>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15</w:t>
            </w:r>
          </w:p>
        </w:tc>
        <w:tc>
          <w:tcPr>
            <w:tcW w:w="4577" w:type="pct"/>
            <w:shd w:val="clear" w:color="auto" w:fill="auto"/>
            <w:hideMark/>
          </w:tcPr>
          <w:p w:rsidR="001A2C1B" w:rsidRPr="00CF00D9" w:rsidRDefault="001A2C1B" w:rsidP="00526770">
            <w:pPr>
              <w:spacing w:line="480" w:lineRule="auto"/>
              <w:rPr>
                <w:rFonts w:asciiTheme="minorHAnsi" w:hAnsiTheme="minorHAnsi" w:cstheme="minorHAnsi"/>
                <w:sz w:val="24"/>
                <w:szCs w:val="22"/>
              </w:rPr>
            </w:pPr>
            <w:r w:rsidRPr="00CF00D9">
              <w:rPr>
                <w:rFonts w:asciiTheme="minorHAnsi" w:hAnsiTheme="minorHAnsi" w:cstheme="minorHAnsi"/>
                <w:sz w:val="24"/>
                <w:szCs w:val="22"/>
              </w:rPr>
              <w:t xml:space="preserve">Search ((((("Corona </w:t>
            </w:r>
            <w:proofErr w:type="spellStart"/>
            <w:r w:rsidRPr="00CF00D9">
              <w:rPr>
                <w:rFonts w:asciiTheme="minorHAnsi" w:hAnsiTheme="minorHAnsi" w:cstheme="minorHAnsi"/>
                <w:sz w:val="24"/>
                <w:szCs w:val="22"/>
              </w:rPr>
              <w:t>virinae</w:t>
            </w:r>
            <w:proofErr w:type="spellEnd"/>
            <w:r w:rsidRPr="00CF00D9">
              <w:rPr>
                <w:rFonts w:asciiTheme="minorHAnsi" w:hAnsiTheme="minorHAnsi" w:cstheme="minorHAnsi"/>
                <w:sz w:val="24"/>
                <w:szCs w:val="22"/>
              </w:rPr>
              <w:t xml:space="preserve">" OR "corona virus" OR </w:t>
            </w:r>
            <w:proofErr w:type="spellStart"/>
            <w:r w:rsidRPr="00CF00D9">
              <w:rPr>
                <w:rFonts w:asciiTheme="minorHAnsi" w:hAnsiTheme="minorHAnsi" w:cstheme="minorHAnsi"/>
                <w:sz w:val="24"/>
                <w:szCs w:val="22"/>
              </w:rPr>
              <w:t>coronaviridae</w:t>
            </w:r>
            <w:proofErr w:type="spellEnd"/>
            <w:r w:rsidRPr="00CF00D9">
              <w:rPr>
                <w:rFonts w:asciiTheme="minorHAnsi" w:hAnsiTheme="minorHAnsi" w:cstheme="minorHAnsi"/>
                <w:sz w:val="24"/>
                <w:szCs w:val="22"/>
              </w:rPr>
              <w:t xml:space="preserve"> OR coronavirus OR </w:t>
            </w:r>
            <w:proofErr w:type="spellStart"/>
            <w:r w:rsidRPr="00CF00D9">
              <w:rPr>
                <w:rFonts w:asciiTheme="minorHAnsi" w:hAnsiTheme="minorHAnsi" w:cstheme="minorHAnsi"/>
                <w:sz w:val="24"/>
                <w:szCs w:val="22"/>
              </w:rPr>
              <w:t>covid</w:t>
            </w:r>
            <w:proofErr w:type="spellEnd"/>
            <w:r w:rsidRPr="00CF00D9">
              <w:rPr>
                <w:rFonts w:asciiTheme="minorHAnsi" w:hAnsiTheme="minorHAnsi" w:cstheme="minorHAnsi"/>
                <w:sz w:val="24"/>
                <w:szCs w:val="22"/>
              </w:rPr>
              <w:t xml:space="preserve"> OR </w:t>
            </w:r>
            <w:proofErr w:type="spellStart"/>
            <w:r w:rsidRPr="00CF00D9">
              <w:rPr>
                <w:rFonts w:asciiTheme="minorHAnsi" w:hAnsiTheme="minorHAnsi" w:cstheme="minorHAnsi"/>
                <w:sz w:val="24"/>
                <w:szCs w:val="22"/>
              </w:rPr>
              <w:t>ncov</w:t>
            </w:r>
            <w:proofErr w:type="spellEnd"/>
            <w:r w:rsidRPr="00CF00D9">
              <w:rPr>
                <w:rFonts w:asciiTheme="minorHAnsi" w:hAnsiTheme="minorHAnsi" w:cstheme="minorHAnsi"/>
                <w:sz w:val="24"/>
                <w:szCs w:val="22"/>
              </w:rPr>
              <w:t xml:space="preserve">) adj4 ("19" OR "2019" OR novel OR new)) OR (("Corona </w:t>
            </w:r>
            <w:proofErr w:type="spellStart"/>
            <w:r w:rsidRPr="00CF00D9">
              <w:rPr>
                <w:rFonts w:asciiTheme="minorHAnsi" w:hAnsiTheme="minorHAnsi" w:cstheme="minorHAnsi"/>
                <w:sz w:val="24"/>
                <w:szCs w:val="22"/>
              </w:rPr>
              <w:t>virinae</w:t>
            </w:r>
            <w:proofErr w:type="spellEnd"/>
            <w:r w:rsidRPr="00CF00D9">
              <w:rPr>
                <w:rFonts w:asciiTheme="minorHAnsi" w:hAnsiTheme="minorHAnsi" w:cstheme="minorHAnsi"/>
                <w:sz w:val="24"/>
                <w:szCs w:val="22"/>
              </w:rPr>
              <w:t xml:space="preserve">" OR "corona virus" OR </w:t>
            </w:r>
            <w:proofErr w:type="spellStart"/>
            <w:r w:rsidRPr="00CF00D9">
              <w:rPr>
                <w:rFonts w:asciiTheme="minorHAnsi" w:hAnsiTheme="minorHAnsi" w:cstheme="minorHAnsi"/>
                <w:sz w:val="24"/>
                <w:szCs w:val="22"/>
              </w:rPr>
              <w:t>coronaviridae</w:t>
            </w:r>
            <w:proofErr w:type="spellEnd"/>
            <w:r w:rsidRPr="00CF00D9">
              <w:rPr>
                <w:rFonts w:asciiTheme="minorHAnsi" w:hAnsiTheme="minorHAnsi" w:cstheme="minorHAnsi"/>
                <w:sz w:val="24"/>
                <w:szCs w:val="22"/>
              </w:rPr>
              <w:t xml:space="preserve"> OR coronavirus OR </w:t>
            </w:r>
            <w:proofErr w:type="spellStart"/>
            <w:r w:rsidRPr="00CF00D9">
              <w:rPr>
                <w:rFonts w:asciiTheme="minorHAnsi" w:hAnsiTheme="minorHAnsi" w:cstheme="minorHAnsi"/>
                <w:sz w:val="24"/>
                <w:szCs w:val="22"/>
              </w:rPr>
              <w:t>covid</w:t>
            </w:r>
            <w:proofErr w:type="spellEnd"/>
            <w:r w:rsidRPr="00CF00D9">
              <w:rPr>
                <w:rFonts w:asciiTheme="minorHAnsi" w:hAnsiTheme="minorHAnsi" w:cstheme="minorHAnsi"/>
                <w:sz w:val="24"/>
                <w:szCs w:val="22"/>
              </w:rPr>
              <w:t xml:space="preserve"> OR </w:t>
            </w:r>
            <w:proofErr w:type="spellStart"/>
            <w:r w:rsidRPr="00CF00D9">
              <w:rPr>
                <w:rFonts w:asciiTheme="minorHAnsi" w:hAnsiTheme="minorHAnsi" w:cstheme="minorHAnsi"/>
                <w:sz w:val="24"/>
                <w:szCs w:val="22"/>
              </w:rPr>
              <w:t>ncov</w:t>
            </w:r>
            <w:proofErr w:type="spellEnd"/>
            <w:r w:rsidRPr="00CF00D9">
              <w:rPr>
                <w:rFonts w:asciiTheme="minorHAnsi" w:hAnsiTheme="minorHAnsi" w:cstheme="minorHAnsi"/>
                <w:sz w:val="24"/>
                <w:szCs w:val="22"/>
              </w:rPr>
              <w:t xml:space="preserve">) and </w:t>
            </w:r>
            <w:proofErr w:type="spellStart"/>
            <w:r w:rsidRPr="00CF00D9">
              <w:rPr>
                <w:rFonts w:asciiTheme="minorHAnsi" w:hAnsiTheme="minorHAnsi" w:cstheme="minorHAnsi"/>
                <w:sz w:val="24"/>
                <w:szCs w:val="22"/>
              </w:rPr>
              <w:t>wuhan</w:t>
            </w:r>
            <w:proofErr w:type="spellEnd"/>
            <w:r w:rsidRPr="00CF00D9">
              <w:rPr>
                <w:rFonts w:asciiTheme="minorHAnsi" w:hAnsiTheme="minorHAnsi" w:cstheme="minorHAnsi"/>
                <w:sz w:val="24"/>
                <w:szCs w:val="22"/>
              </w:rPr>
              <w:t xml:space="preserve">) OR "Corona virinae19" OR "Corona virinae2019" OR "corona virus19" OR "corona virus2019" OR </w:t>
            </w:r>
            <w:r w:rsidRPr="00CF00D9">
              <w:rPr>
                <w:rFonts w:asciiTheme="minorHAnsi" w:hAnsiTheme="minorHAnsi" w:cstheme="minorHAnsi"/>
                <w:sz w:val="24"/>
                <w:szCs w:val="22"/>
              </w:rPr>
              <w:lastRenderedPageBreak/>
              <w:t>Coronavirinae19 OR Coronavirinae2019 OR coronavirus19 OR coronavirus2019 OR COVID19 OR COVID2019 OR nCOV19 OR nCOV2019 OR "2019-nCOV" OR 2019nCOV OR "SARS Corona virus 2" OR "SARS Coronavirus 2" OR "SARS-COV-2" OR "Severe Acute Respiratory Syndrome Corona virus 2" OR "Severe Acute Respiratory Syndrome Coronavirus 2"))) AND (((((((((("Symptoms") OR "clinical presentation") OR "clinical characteristics") OR "comorbidities") OR "comorbidity") OR intensive care units) OR risk factors) OR hospitalization) OR death) OR mortality) Filters: Publication date from 2019/12/01 to 2020/05/03</w:t>
            </w:r>
          </w:p>
        </w:tc>
      </w:tr>
    </w:tbl>
    <w:p w:rsidR="001A2C1B" w:rsidRPr="009D0B0D" w:rsidRDefault="001A2C1B" w:rsidP="001A2C1B">
      <w:pPr>
        <w:rPr>
          <w:b/>
        </w:rPr>
      </w:pPr>
    </w:p>
    <w:p w:rsidR="001A2C1B" w:rsidRPr="00526770" w:rsidRDefault="001A2C1B" w:rsidP="00526770">
      <w:pPr>
        <w:spacing w:line="480" w:lineRule="auto"/>
        <w:jc w:val="both"/>
        <w:rPr>
          <w:rFonts w:asciiTheme="minorHAnsi" w:hAnsiTheme="minorHAnsi" w:cstheme="minorHAnsi"/>
          <w:b/>
          <w:sz w:val="24"/>
          <w:szCs w:val="24"/>
        </w:rPr>
      </w:pPr>
      <w:r w:rsidRPr="00526770">
        <w:rPr>
          <w:rFonts w:asciiTheme="minorHAnsi" w:hAnsiTheme="minorHAnsi" w:cstheme="minorHAnsi"/>
          <w:b/>
          <w:sz w:val="24"/>
          <w:szCs w:val="24"/>
        </w:rPr>
        <w:t>SCOPUS</w:t>
      </w:r>
    </w:p>
    <w:p w:rsidR="00CF00D9" w:rsidRPr="00CF00D9" w:rsidRDefault="001A2C1B" w:rsidP="00526770">
      <w:pPr>
        <w:spacing w:after="160" w:line="480" w:lineRule="auto"/>
        <w:jc w:val="both"/>
        <w:rPr>
          <w:sz w:val="22"/>
        </w:rPr>
      </w:pPr>
      <w:r w:rsidRPr="00CF00D9">
        <w:rPr>
          <w:rFonts w:asciiTheme="minorHAnsi" w:hAnsiTheme="minorHAnsi" w:cstheme="minorHAnsi"/>
          <w:sz w:val="24"/>
          <w:szCs w:val="22"/>
        </w:rPr>
        <w:t xml:space="preserve">( TITLE-ABS-KEY ( ( ( ( "Corona </w:t>
      </w:r>
      <w:proofErr w:type="spellStart"/>
      <w:r w:rsidRPr="00CF00D9">
        <w:rPr>
          <w:rFonts w:asciiTheme="minorHAnsi" w:hAnsiTheme="minorHAnsi" w:cstheme="minorHAnsi"/>
          <w:sz w:val="24"/>
          <w:szCs w:val="22"/>
        </w:rPr>
        <w:t>virinae</w:t>
      </w:r>
      <w:proofErr w:type="spellEnd"/>
      <w:r w:rsidRPr="00CF00D9">
        <w:rPr>
          <w:rFonts w:asciiTheme="minorHAnsi" w:hAnsiTheme="minorHAnsi" w:cstheme="minorHAnsi"/>
          <w:sz w:val="24"/>
          <w:szCs w:val="22"/>
        </w:rPr>
        <w:t xml:space="preserve">"  OR  "corona virus"  OR  coronavirinae  OR  coronavirus  OR  covid  OR  ncov )  W/4  ( "19"  OR  "2019"  OR  novel  OR  new ) )  OR  ( ( "Corona </w:t>
      </w:r>
      <w:proofErr w:type="spellStart"/>
      <w:r w:rsidRPr="00CF00D9">
        <w:rPr>
          <w:rFonts w:asciiTheme="minorHAnsi" w:hAnsiTheme="minorHAnsi" w:cstheme="minorHAnsi"/>
          <w:sz w:val="24"/>
          <w:szCs w:val="22"/>
        </w:rPr>
        <w:t>virinae</w:t>
      </w:r>
      <w:proofErr w:type="spellEnd"/>
      <w:r w:rsidRPr="00CF00D9">
        <w:rPr>
          <w:rFonts w:asciiTheme="minorHAnsi" w:hAnsiTheme="minorHAnsi" w:cstheme="minorHAnsi"/>
          <w:sz w:val="24"/>
          <w:szCs w:val="22"/>
        </w:rPr>
        <w:t>"  OR  "corona virus"  OR  coronavirinae  OR  coronavirus  OR  covid  OR  ncov )  AND  wuhan )  OR  "Corona virinae19"  OR  "Corona viri</w:t>
      </w:r>
      <w:r w:rsidR="00526770" w:rsidRPr="00CF00D9">
        <w:rPr>
          <w:rFonts w:asciiTheme="minorHAnsi" w:hAnsiTheme="minorHAnsi" w:cstheme="minorHAnsi"/>
          <w:sz w:val="24"/>
          <w:szCs w:val="22"/>
        </w:rPr>
        <w:t>nae2019"  OR  "corona virus19" OR "corona</w:t>
      </w:r>
      <w:r w:rsidRPr="00CF00D9">
        <w:rPr>
          <w:rFonts w:asciiTheme="minorHAnsi" w:hAnsiTheme="minorHAnsi" w:cstheme="minorHAnsi"/>
          <w:sz w:val="24"/>
          <w:szCs w:val="22"/>
        </w:rPr>
        <w:t>virus2019"  OR  coronavirinae19  OR  coronavirinae2019  OR  coronavirus19  OR  coronavirus2019  OR  covid19  OR  covid2019  OR  ncov19  OR  ncov2019  OR  "2019-nCOV"  OR  2019ncov  OR  "SARS Corona virus 2"  OR  "SARS Coronavirus 2"  OR  "SARS-COV-2"  OR  "Severe Acute Respiratory Syndrome Corona virus 2"  OR "Se</w:t>
      </w:r>
      <w:r w:rsidR="00526770" w:rsidRPr="00CF00D9">
        <w:rPr>
          <w:rFonts w:asciiTheme="minorHAnsi" w:hAnsiTheme="minorHAnsi" w:cstheme="minorHAnsi"/>
          <w:sz w:val="24"/>
          <w:szCs w:val="22"/>
        </w:rPr>
        <w:t xml:space="preserve">vere Acute Respiratory Syndrome </w:t>
      </w:r>
      <w:r w:rsidRPr="00CF00D9">
        <w:rPr>
          <w:rFonts w:asciiTheme="minorHAnsi" w:hAnsiTheme="minorHAnsi" w:cstheme="minorHAnsi"/>
          <w:sz w:val="24"/>
          <w:szCs w:val="22"/>
        </w:rPr>
        <w:t>Coronavir</w:t>
      </w:r>
      <w:r w:rsidR="00526770" w:rsidRPr="00CF00D9">
        <w:rPr>
          <w:rFonts w:asciiTheme="minorHAnsi" w:hAnsiTheme="minorHAnsi" w:cstheme="minorHAnsi"/>
          <w:sz w:val="24"/>
          <w:szCs w:val="22"/>
        </w:rPr>
        <w:t xml:space="preserve">us </w:t>
      </w:r>
      <w:r w:rsidR="00526770" w:rsidRPr="00CF00D9">
        <w:rPr>
          <w:rFonts w:asciiTheme="minorHAnsi" w:hAnsiTheme="minorHAnsi" w:cstheme="minorHAnsi"/>
          <w:sz w:val="24"/>
          <w:szCs w:val="22"/>
        </w:rPr>
        <w:lastRenderedPageBreak/>
        <w:t xml:space="preserve">2" ) ) )  </w:t>
      </w:r>
      <w:r w:rsidRPr="00CF00D9">
        <w:rPr>
          <w:rFonts w:asciiTheme="minorHAnsi" w:hAnsiTheme="minorHAnsi" w:cstheme="minorHAnsi"/>
          <w:sz w:val="24"/>
          <w:szCs w:val="22"/>
        </w:rPr>
        <w:t>AND  ( symptom*  OR  clinical  AND presentation  OR  clinical  AND characteristics  OR  comorbidities  OR  comorb*  OR  comorbidity</w:t>
      </w:r>
      <w:r w:rsidR="00526770" w:rsidRPr="00CF00D9">
        <w:rPr>
          <w:rFonts w:asciiTheme="minorHAnsi" w:hAnsiTheme="minorHAnsi" w:cstheme="minorHAnsi"/>
          <w:sz w:val="24"/>
          <w:szCs w:val="22"/>
        </w:rPr>
        <w:t>  OR  intensive  AND care  AND u</w:t>
      </w:r>
      <w:r w:rsidRPr="00CF00D9">
        <w:rPr>
          <w:rFonts w:asciiTheme="minorHAnsi" w:hAnsiTheme="minorHAnsi" w:cstheme="minorHAnsi"/>
          <w:sz w:val="24"/>
          <w:szCs w:val="22"/>
        </w:rPr>
        <w:t>nits  OR  intensive  AND care*  OR  risk  AND factor*  OR  hospitalization  OR  hospital*  OR  death  OR  mortality )  AND  ( LIMIT-TO ( PUBYEAR ,  2020 )  OR  LIMIT-TO ( PUBYEAR ,  2019 ) )</w:t>
      </w:r>
      <w:r w:rsidRPr="00CF00D9">
        <w:rPr>
          <w:sz w:val="22"/>
        </w:rPr>
        <w:t> </w:t>
      </w:r>
    </w:p>
    <w:p w:rsidR="00CF00D9" w:rsidRPr="00CF00D9" w:rsidRDefault="00CF00D9">
      <w:pPr>
        <w:spacing w:after="160" w:line="259" w:lineRule="auto"/>
        <w:rPr>
          <w:sz w:val="22"/>
        </w:rPr>
      </w:pPr>
      <w:r w:rsidRPr="00CF00D9">
        <w:rPr>
          <w:sz w:val="22"/>
        </w:rPr>
        <w:br w:type="page"/>
      </w:r>
    </w:p>
    <w:p w:rsidR="00BE3FEF" w:rsidRDefault="00BE3FEF" w:rsidP="00BE3FEF">
      <w:pPr>
        <w:rPr>
          <w:b/>
          <w:sz w:val="24"/>
          <w:lang w:val="en-US"/>
        </w:rPr>
      </w:pPr>
      <w:r w:rsidRPr="00654968">
        <w:rPr>
          <w:b/>
          <w:sz w:val="24"/>
          <w:lang w:val="en-US"/>
        </w:rPr>
        <w:lastRenderedPageBreak/>
        <w:t>Supplementary References</w:t>
      </w:r>
      <w:r>
        <w:rPr>
          <w:b/>
          <w:sz w:val="24"/>
          <w:lang w:val="en-US"/>
        </w:rPr>
        <w:t xml:space="preserve"> </w:t>
      </w:r>
    </w:p>
    <w:p w:rsidR="00BE3FEF" w:rsidRDefault="00BE3FEF" w:rsidP="00BE3FEF">
      <w:pPr>
        <w:spacing w:after="160" w:line="259" w:lineRule="auto"/>
        <w:rPr>
          <w:rFonts w:ascii="Calibri" w:hAnsi="Calibri" w:cs="Calibri"/>
          <w:sz w:val="24"/>
          <w:szCs w:val="24"/>
        </w:rPr>
      </w:pPr>
    </w:p>
    <w:p w:rsidR="00BE3FEF" w:rsidRPr="00BE3FEF" w:rsidRDefault="003D5E05" w:rsidP="00BE3FEF">
      <w:pPr>
        <w:spacing w:after="160" w:line="259" w:lineRule="auto"/>
        <w:rPr>
          <w:rFonts w:ascii="Calibri" w:hAnsi="Calibri" w:cs="Calibri"/>
          <w:sz w:val="24"/>
          <w:szCs w:val="24"/>
        </w:rPr>
      </w:pPr>
      <w:r>
        <w:rPr>
          <w:rFonts w:ascii="Calibri" w:hAnsi="Calibri" w:cs="Calibri"/>
          <w:sz w:val="24"/>
          <w:szCs w:val="24"/>
        </w:rPr>
        <w:t>List of all e</w:t>
      </w:r>
      <w:r w:rsidR="00BE3FEF">
        <w:rPr>
          <w:rFonts w:ascii="Calibri" w:hAnsi="Calibri" w:cs="Calibri"/>
          <w:sz w:val="24"/>
          <w:szCs w:val="24"/>
        </w:rPr>
        <w:t>ligible studies:</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1. </w:t>
      </w:r>
      <w:r w:rsidRPr="00BE3FEF">
        <w:rPr>
          <w:rFonts w:ascii="Calibri" w:hAnsi="Calibri" w:cs="Calibri"/>
          <w:sz w:val="24"/>
          <w:szCs w:val="24"/>
        </w:rPr>
        <w:tab/>
      </w:r>
      <w:proofErr w:type="spellStart"/>
      <w:r w:rsidRPr="00BE3FEF">
        <w:rPr>
          <w:rFonts w:ascii="Calibri" w:hAnsi="Calibri" w:cs="Calibri"/>
          <w:sz w:val="24"/>
          <w:szCs w:val="24"/>
        </w:rPr>
        <w:t>Bhatraju</w:t>
      </w:r>
      <w:proofErr w:type="spellEnd"/>
      <w:r w:rsidRPr="00BE3FEF">
        <w:rPr>
          <w:rFonts w:ascii="Calibri" w:hAnsi="Calibri" w:cs="Calibri"/>
          <w:sz w:val="24"/>
          <w:szCs w:val="24"/>
        </w:rPr>
        <w:t xml:space="preserve"> PK, </w:t>
      </w:r>
      <w:proofErr w:type="spellStart"/>
      <w:r w:rsidRPr="00BE3FEF">
        <w:rPr>
          <w:rFonts w:ascii="Calibri" w:hAnsi="Calibri" w:cs="Calibri"/>
          <w:sz w:val="24"/>
          <w:szCs w:val="24"/>
        </w:rPr>
        <w:t>Ghassemieh</w:t>
      </w:r>
      <w:proofErr w:type="spellEnd"/>
      <w:r w:rsidRPr="00BE3FEF">
        <w:rPr>
          <w:rFonts w:ascii="Calibri" w:hAnsi="Calibri" w:cs="Calibri"/>
          <w:sz w:val="24"/>
          <w:szCs w:val="24"/>
        </w:rPr>
        <w:t xml:space="preserve"> BJ, Nichols M, et al. Covid-19 in Critically Ill Patients in the Seattle Region — Case Series. N </w:t>
      </w:r>
      <w:proofErr w:type="spellStart"/>
      <w:r w:rsidRPr="00BE3FEF">
        <w:rPr>
          <w:rFonts w:ascii="Calibri" w:hAnsi="Calibri" w:cs="Calibri"/>
          <w:sz w:val="24"/>
          <w:szCs w:val="24"/>
        </w:rPr>
        <w:t>Engl</w:t>
      </w:r>
      <w:proofErr w:type="spellEnd"/>
      <w:r w:rsidRPr="00BE3FEF">
        <w:rPr>
          <w:rFonts w:ascii="Calibri" w:hAnsi="Calibri" w:cs="Calibri"/>
          <w:sz w:val="24"/>
          <w:szCs w:val="24"/>
        </w:rPr>
        <w:t xml:space="preserve"> J Med. </w:t>
      </w:r>
      <w:proofErr w:type="gramStart"/>
      <w:r w:rsidRPr="00BE3FEF">
        <w:rPr>
          <w:rFonts w:ascii="Calibri" w:hAnsi="Calibri" w:cs="Calibri"/>
          <w:sz w:val="24"/>
          <w:szCs w:val="24"/>
        </w:rPr>
        <w:t>Published</w:t>
      </w:r>
      <w:proofErr w:type="gramEnd"/>
      <w:r w:rsidRPr="00BE3FEF">
        <w:rPr>
          <w:rFonts w:ascii="Calibri" w:hAnsi="Calibri" w:cs="Calibri"/>
          <w:sz w:val="24"/>
          <w:szCs w:val="24"/>
        </w:rPr>
        <w:t xml:space="preserve"> online March 30, 2020:NEJMoa2004500. </w:t>
      </w:r>
      <w:proofErr w:type="gramStart"/>
      <w:r w:rsidRPr="00BE3FEF">
        <w:rPr>
          <w:rFonts w:ascii="Calibri" w:hAnsi="Calibri" w:cs="Calibri"/>
          <w:sz w:val="24"/>
          <w:szCs w:val="24"/>
        </w:rPr>
        <w:t>doi:</w:t>
      </w:r>
      <w:proofErr w:type="gramEnd"/>
      <w:r w:rsidRPr="00BE3FEF">
        <w:rPr>
          <w:rFonts w:ascii="Calibri" w:hAnsi="Calibri" w:cs="Calibri"/>
          <w:sz w:val="24"/>
          <w:szCs w:val="24"/>
        </w:rPr>
        <w:t>10.1056/NEJMoa2004500</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2. </w:t>
      </w:r>
      <w:r w:rsidRPr="00BE3FEF">
        <w:rPr>
          <w:rFonts w:ascii="Calibri" w:hAnsi="Calibri" w:cs="Calibri"/>
          <w:sz w:val="24"/>
          <w:szCs w:val="24"/>
        </w:rPr>
        <w:tab/>
      </w:r>
      <w:proofErr w:type="spellStart"/>
      <w:r w:rsidRPr="00BE3FEF">
        <w:rPr>
          <w:rFonts w:ascii="Calibri" w:hAnsi="Calibri" w:cs="Calibri"/>
          <w:sz w:val="24"/>
          <w:szCs w:val="24"/>
        </w:rPr>
        <w:t>Bialek</w:t>
      </w:r>
      <w:proofErr w:type="spellEnd"/>
      <w:r w:rsidRPr="00BE3FEF">
        <w:rPr>
          <w:rFonts w:ascii="Calibri" w:hAnsi="Calibri" w:cs="Calibri"/>
          <w:sz w:val="24"/>
          <w:szCs w:val="24"/>
        </w:rPr>
        <w:t xml:space="preserve"> S, </w:t>
      </w:r>
      <w:proofErr w:type="spellStart"/>
      <w:r w:rsidRPr="00BE3FEF">
        <w:rPr>
          <w:rFonts w:ascii="Calibri" w:hAnsi="Calibri" w:cs="Calibri"/>
          <w:sz w:val="24"/>
          <w:szCs w:val="24"/>
        </w:rPr>
        <w:t>Boundy</w:t>
      </w:r>
      <w:proofErr w:type="spellEnd"/>
      <w:r w:rsidRPr="00BE3FEF">
        <w:rPr>
          <w:rFonts w:ascii="Calibri" w:hAnsi="Calibri" w:cs="Calibri"/>
          <w:sz w:val="24"/>
          <w:szCs w:val="24"/>
        </w:rPr>
        <w:t xml:space="preserve"> E, Bowen V, et al. Severe Outcomes Among Patients with Coronavirus Disease 2019 (COVID-19) — United States, February 12–March 16, 2020. MMWR </w:t>
      </w:r>
      <w:proofErr w:type="spellStart"/>
      <w:r w:rsidRPr="00BE3FEF">
        <w:rPr>
          <w:rFonts w:ascii="Calibri" w:hAnsi="Calibri" w:cs="Calibri"/>
          <w:sz w:val="24"/>
          <w:szCs w:val="24"/>
        </w:rPr>
        <w:t>Morb</w:t>
      </w:r>
      <w:proofErr w:type="spellEnd"/>
      <w:r w:rsidRPr="00BE3FEF">
        <w:rPr>
          <w:rFonts w:ascii="Calibri" w:hAnsi="Calibri" w:cs="Calibri"/>
          <w:sz w:val="24"/>
          <w:szCs w:val="24"/>
        </w:rPr>
        <w:t xml:space="preserve"> Mortal </w:t>
      </w:r>
      <w:proofErr w:type="spellStart"/>
      <w:r w:rsidRPr="00BE3FEF">
        <w:rPr>
          <w:rFonts w:ascii="Calibri" w:hAnsi="Calibri" w:cs="Calibri"/>
          <w:sz w:val="24"/>
          <w:szCs w:val="24"/>
        </w:rPr>
        <w:t>Wkly</w:t>
      </w:r>
      <w:proofErr w:type="spellEnd"/>
      <w:r w:rsidRPr="00BE3FEF">
        <w:rPr>
          <w:rFonts w:ascii="Calibri" w:hAnsi="Calibri" w:cs="Calibri"/>
          <w:sz w:val="24"/>
          <w:szCs w:val="24"/>
        </w:rPr>
        <w:t xml:space="preserve"> Rep. 2020</w:t>
      </w:r>
      <w:proofErr w:type="gramStart"/>
      <w:r w:rsidRPr="00BE3FEF">
        <w:rPr>
          <w:rFonts w:ascii="Calibri" w:hAnsi="Calibri" w:cs="Calibri"/>
          <w:sz w:val="24"/>
          <w:szCs w:val="24"/>
        </w:rPr>
        <w:t>;69</w:t>
      </w:r>
      <w:proofErr w:type="gramEnd"/>
      <w:r w:rsidRPr="00BE3FEF">
        <w:rPr>
          <w:rFonts w:ascii="Calibri" w:hAnsi="Calibri" w:cs="Calibri"/>
          <w:sz w:val="24"/>
          <w:szCs w:val="24"/>
        </w:rPr>
        <w:t>. doi:10.15585/mmwr.mm6912e2</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3. </w:t>
      </w:r>
      <w:r w:rsidRPr="00BE3FEF">
        <w:rPr>
          <w:rFonts w:ascii="Calibri" w:hAnsi="Calibri" w:cs="Calibri"/>
          <w:sz w:val="24"/>
          <w:szCs w:val="24"/>
        </w:rPr>
        <w:tab/>
      </w:r>
      <w:proofErr w:type="spellStart"/>
      <w:r w:rsidRPr="00BE3FEF">
        <w:rPr>
          <w:rFonts w:ascii="Calibri" w:hAnsi="Calibri" w:cs="Calibri"/>
          <w:sz w:val="24"/>
          <w:szCs w:val="24"/>
        </w:rPr>
        <w:t>Burrer</w:t>
      </w:r>
      <w:proofErr w:type="spellEnd"/>
      <w:r w:rsidRPr="00BE3FEF">
        <w:rPr>
          <w:rFonts w:ascii="Calibri" w:hAnsi="Calibri" w:cs="Calibri"/>
          <w:sz w:val="24"/>
          <w:szCs w:val="24"/>
        </w:rPr>
        <w:t xml:space="preserve"> S, </w:t>
      </w:r>
      <w:proofErr w:type="spellStart"/>
      <w:r w:rsidRPr="00BE3FEF">
        <w:rPr>
          <w:rFonts w:ascii="Calibri" w:hAnsi="Calibri" w:cs="Calibri"/>
          <w:sz w:val="24"/>
          <w:szCs w:val="24"/>
        </w:rPr>
        <w:t>Perio</w:t>
      </w:r>
      <w:proofErr w:type="spellEnd"/>
      <w:r w:rsidRPr="00BE3FEF">
        <w:rPr>
          <w:rFonts w:ascii="Calibri" w:hAnsi="Calibri" w:cs="Calibri"/>
          <w:sz w:val="24"/>
          <w:szCs w:val="24"/>
        </w:rPr>
        <w:t xml:space="preserve"> M, Hughes M, et al. Characteristics of Health Care Personnel with COVID-19 — United States, February 12–April 9, 2020. MMWR </w:t>
      </w:r>
      <w:proofErr w:type="spellStart"/>
      <w:r w:rsidRPr="00BE3FEF">
        <w:rPr>
          <w:rFonts w:ascii="Calibri" w:hAnsi="Calibri" w:cs="Calibri"/>
          <w:sz w:val="24"/>
          <w:szCs w:val="24"/>
        </w:rPr>
        <w:t>Morb</w:t>
      </w:r>
      <w:proofErr w:type="spellEnd"/>
      <w:r w:rsidRPr="00BE3FEF">
        <w:rPr>
          <w:rFonts w:ascii="Calibri" w:hAnsi="Calibri" w:cs="Calibri"/>
          <w:sz w:val="24"/>
          <w:szCs w:val="24"/>
        </w:rPr>
        <w:t xml:space="preserve"> Mortal </w:t>
      </w:r>
      <w:proofErr w:type="spellStart"/>
      <w:r w:rsidRPr="00BE3FEF">
        <w:rPr>
          <w:rFonts w:ascii="Calibri" w:hAnsi="Calibri" w:cs="Calibri"/>
          <w:sz w:val="24"/>
          <w:szCs w:val="24"/>
        </w:rPr>
        <w:t>Wkly</w:t>
      </w:r>
      <w:proofErr w:type="spellEnd"/>
      <w:r w:rsidRPr="00BE3FEF">
        <w:rPr>
          <w:rFonts w:ascii="Calibri" w:hAnsi="Calibri" w:cs="Calibri"/>
          <w:sz w:val="24"/>
          <w:szCs w:val="24"/>
        </w:rPr>
        <w:t xml:space="preserve"> Rep. 2020</w:t>
      </w:r>
      <w:proofErr w:type="gramStart"/>
      <w:r w:rsidRPr="00BE3FEF">
        <w:rPr>
          <w:rFonts w:ascii="Calibri" w:hAnsi="Calibri" w:cs="Calibri"/>
          <w:sz w:val="24"/>
          <w:szCs w:val="24"/>
        </w:rPr>
        <w:t>;69</w:t>
      </w:r>
      <w:proofErr w:type="gramEnd"/>
      <w:r w:rsidRPr="00BE3FEF">
        <w:rPr>
          <w:rFonts w:ascii="Calibri" w:hAnsi="Calibri" w:cs="Calibri"/>
          <w:sz w:val="24"/>
          <w:szCs w:val="24"/>
        </w:rPr>
        <w:t>. doi:10.15585/mmwr.mm6915e6</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4. </w:t>
      </w:r>
      <w:r w:rsidRPr="00BE3FEF">
        <w:rPr>
          <w:rFonts w:ascii="Calibri" w:hAnsi="Calibri" w:cs="Calibri"/>
          <w:sz w:val="24"/>
          <w:szCs w:val="24"/>
        </w:rPr>
        <w:tab/>
      </w:r>
      <w:proofErr w:type="spellStart"/>
      <w:r w:rsidRPr="00BE3FEF">
        <w:rPr>
          <w:rFonts w:ascii="Calibri" w:hAnsi="Calibri" w:cs="Calibri"/>
          <w:sz w:val="24"/>
          <w:szCs w:val="24"/>
        </w:rPr>
        <w:t>Catellani</w:t>
      </w:r>
      <w:proofErr w:type="spellEnd"/>
      <w:r w:rsidRPr="00BE3FEF">
        <w:rPr>
          <w:rFonts w:ascii="Calibri" w:hAnsi="Calibri" w:cs="Calibri"/>
          <w:sz w:val="24"/>
          <w:szCs w:val="24"/>
        </w:rPr>
        <w:t xml:space="preserve"> F, </w:t>
      </w:r>
      <w:proofErr w:type="spellStart"/>
      <w:r w:rsidRPr="00BE3FEF">
        <w:rPr>
          <w:rFonts w:ascii="Calibri" w:hAnsi="Calibri" w:cs="Calibri"/>
          <w:sz w:val="24"/>
          <w:szCs w:val="24"/>
        </w:rPr>
        <w:t>Coscione</w:t>
      </w:r>
      <w:proofErr w:type="spellEnd"/>
      <w:r w:rsidRPr="00BE3FEF">
        <w:rPr>
          <w:rFonts w:ascii="Calibri" w:hAnsi="Calibri" w:cs="Calibri"/>
          <w:sz w:val="24"/>
          <w:szCs w:val="24"/>
        </w:rPr>
        <w:t xml:space="preserve"> A, </w:t>
      </w:r>
      <w:proofErr w:type="spellStart"/>
      <w:r w:rsidRPr="00BE3FEF">
        <w:rPr>
          <w:rFonts w:ascii="Calibri" w:hAnsi="Calibri" w:cs="Calibri"/>
          <w:sz w:val="24"/>
          <w:szCs w:val="24"/>
        </w:rPr>
        <w:t>D’Ambrosi</w:t>
      </w:r>
      <w:proofErr w:type="spellEnd"/>
      <w:r w:rsidRPr="00BE3FEF">
        <w:rPr>
          <w:rFonts w:ascii="Calibri" w:hAnsi="Calibri" w:cs="Calibri"/>
          <w:sz w:val="24"/>
          <w:szCs w:val="24"/>
        </w:rPr>
        <w:t xml:space="preserve"> R, </w:t>
      </w:r>
      <w:proofErr w:type="spellStart"/>
      <w:r w:rsidRPr="00BE3FEF">
        <w:rPr>
          <w:rFonts w:ascii="Calibri" w:hAnsi="Calibri" w:cs="Calibri"/>
          <w:sz w:val="24"/>
          <w:szCs w:val="24"/>
        </w:rPr>
        <w:t>Usai</w:t>
      </w:r>
      <w:proofErr w:type="spellEnd"/>
      <w:r w:rsidRPr="00BE3FEF">
        <w:rPr>
          <w:rFonts w:ascii="Calibri" w:hAnsi="Calibri" w:cs="Calibri"/>
          <w:sz w:val="24"/>
          <w:szCs w:val="24"/>
        </w:rPr>
        <w:t xml:space="preserve"> L, </w:t>
      </w:r>
      <w:proofErr w:type="spellStart"/>
      <w:r w:rsidRPr="00BE3FEF">
        <w:rPr>
          <w:rFonts w:ascii="Calibri" w:hAnsi="Calibri" w:cs="Calibri"/>
          <w:sz w:val="24"/>
          <w:szCs w:val="24"/>
        </w:rPr>
        <w:t>Roscitano</w:t>
      </w:r>
      <w:proofErr w:type="spellEnd"/>
      <w:r w:rsidRPr="00BE3FEF">
        <w:rPr>
          <w:rFonts w:ascii="Calibri" w:hAnsi="Calibri" w:cs="Calibri"/>
          <w:sz w:val="24"/>
          <w:szCs w:val="24"/>
        </w:rPr>
        <w:t xml:space="preserve"> C, </w:t>
      </w:r>
      <w:proofErr w:type="spellStart"/>
      <w:r w:rsidRPr="00BE3FEF">
        <w:rPr>
          <w:rFonts w:ascii="Calibri" w:hAnsi="Calibri" w:cs="Calibri"/>
          <w:sz w:val="24"/>
          <w:szCs w:val="24"/>
        </w:rPr>
        <w:t>Fiorentino</w:t>
      </w:r>
      <w:proofErr w:type="spellEnd"/>
      <w:r w:rsidRPr="00BE3FEF">
        <w:rPr>
          <w:rFonts w:ascii="Calibri" w:hAnsi="Calibri" w:cs="Calibri"/>
          <w:sz w:val="24"/>
          <w:szCs w:val="24"/>
        </w:rPr>
        <w:t xml:space="preserve"> G. Treatment of Proximal Femoral Fragility Fractures in Patients with COVID-19 During the SARS-CoV-2 Outbreak in Northern Italy: J Bone </w:t>
      </w:r>
      <w:proofErr w:type="spellStart"/>
      <w:r w:rsidRPr="00BE3FEF">
        <w:rPr>
          <w:rFonts w:ascii="Calibri" w:hAnsi="Calibri" w:cs="Calibri"/>
          <w:sz w:val="24"/>
          <w:szCs w:val="24"/>
        </w:rPr>
        <w:t>Jt</w:t>
      </w:r>
      <w:proofErr w:type="spellEnd"/>
      <w:r w:rsidRPr="00BE3FEF">
        <w:rPr>
          <w:rFonts w:ascii="Calibri" w:hAnsi="Calibri" w:cs="Calibri"/>
          <w:sz w:val="24"/>
          <w:szCs w:val="24"/>
        </w:rPr>
        <w:t xml:space="preserve"> Surg. Published online April 2020:1. doi:10.2106/JBJS.20.00617</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5. </w:t>
      </w:r>
      <w:r w:rsidRPr="00BE3FEF">
        <w:rPr>
          <w:rFonts w:ascii="Calibri" w:hAnsi="Calibri" w:cs="Calibri"/>
          <w:sz w:val="24"/>
          <w:szCs w:val="24"/>
        </w:rPr>
        <w:tab/>
        <w:t xml:space="preserve">Chen T, Dai Z, Mo P, et al. Clinical Characteristics and Outcomes of Older Patients with Coronavirus Disease 2019 (COVID-19) in Wuhan, China: A Single-Centered, Retrospective Study. Newman A, ed. J </w:t>
      </w:r>
      <w:proofErr w:type="spellStart"/>
      <w:r w:rsidRPr="00BE3FEF">
        <w:rPr>
          <w:rFonts w:ascii="Calibri" w:hAnsi="Calibri" w:cs="Calibri"/>
          <w:sz w:val="24"/>
          <w:szCs w:val="24"/>
        </w:rPr>
        <w:t>Gerontol</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Ser</w:t>
      </w:r>
      <w:proofErr w:type="spellEnd"/>
      <w:r w:rsidRPr="00BE3FEF">
        <w:rPr>
          <w:rFonts w:ascii="Calibri" w:hAnsi="Calibri" w:cs="Calibri"/>
          <w:sz w:val="24"/>
          <w:szCs w:val="24"/>
        </w:rPr>
        <w:t xml:space="preserve"> A. Published online April 11, 2020:glaa089. doi:10.1093/</w:t>
      </w:r>
      <w:proofErr w:type="spellStart"/>
      <w:r w:rsidRPr="00BE3FEF">
        <w:rPr>
          <w:rFonts w:ascii="Calibri" w:hAnsi="Calibri" w:cs="Calibri"/>
          <w:sz w:val="24"/>
          <w:szCs w:val="24"/>
        </w:rPr>
        <w:t>gerona</w:t>
      </w:r>
      <w:proofErr w:type="spellEnd"/>
      <w:r w:rsidRPr="00BE3FEF">
        <w:rPr>
          <w:rFonts w:ascii="Calibri" w:hAnsi="Calibri" w:cs="Calibri"/>
          <w:sz w:val="24"/>
          <w:szCs w:val="24"/>
        </w:rPr>
        <w:t>/glaa089</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6. </w:t>
      </w:r>
      <w:r w:rsidRPr="00BE3FEF">
        <w:rPr>
          <w:rFonts w:ascii="Calibri" w:hAnsi="Calibri" w:cs="Calibri"/>
          <w:sz w:val="24"/>
          <w:szCs w:val="24"/>
        </w:rPr>
        <w:tab/>
        <w:t>Chen T, Wu D, Chen H, et al. Clinical characteristics of 113 deceased patients with coronavirus disease 2019: retrospective study. BMJ. Published online March 26, 2020:m1091. doi:10.1136/bmj.m1091</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7. </w:t>
      </w:r>
      <w:r w:rsidRPr="00BE3FEF">
        <w:rPr>
          <w:rFonts w:ascii="Calibri" w:hAnsi="Calibri" w:cs="Calibri"/>
          <w:sz w:val="24"/>
          <w:szCs w:val="24"/>
        </w:rPr>
        <w:tab/>
        <w:t xml:space="preserve">Chow N, Fleming-Dutra K, </w:t>
      </w:r>
      <w:proofErr w:type="spellStart"/>
      <w:r w:rsidRPr="00BE3FEF">
        <w:rPr>
          <w:rFonts w:ascii="Calibri" w:hAnsi="Calibri" w:cs="Calibri"/>
          <w:sz w:val="24"/>
          <w:szCs w:val="24"/>
        </w:rPr>
        <w:t>Gierke</w:t>
      </w:r>
      <w:proofErr w:type="spellEnd"/>
      <w:r w:rsidRPr="00BE3FEF">
        <w:rPr>
          <w:rFonts w:ascii="Calibri" w:hAnsi="Calibri" w:cs="Calibri"/>
          <w:sz w:val="24"/>
          <w:szCs w:val="24"/>
        </w:rPr>
        <w:t xml:space="preserve"> R, et al. Preliminary Estimates of the Prevalence of Selected Underlying Health Conditions Among Patients with Coronavirus Disease 2019 — United States, February 12–March 28, 2020. MMWR </w:t>
      </w:r>
      <w:proofErr w:type="spellStart"/>
      <w:r w:rsidRPr="00BE3FEF">
        <w:rPr>
          <w:rFonts w:ascii="Calibri" w:hAnsi="Calibri" w:cs="Calibri"/>
          <w:sz w:val="24"/>
          <w:szCs w:val="24"/>
        </w:rPr>
        <w:t>Morb</w:t>
      </w:r>
      <w:proofErr w:type="spellEnd"/>
      <w:r w:rsidRPr="00BE3FEF">
        <w:rPr>
          <w:rFonts w:ascii="Calibri" w:hAnsi="Calibri" w:cs="Calibri"/>
          <w:sz w:val="24"/>
          <w:szCs w:val="24"/>
        </w:rPr>
        <w:t xml:space="preserve"> Mortal </w:t>
      </w:r>
      <w:proofErr w:type="spellStart"/>
      <w:r w:rsidRPr="00BE3FEF">
        <w:rPr>
          <w:rFonts w:ascii="Calibri" w:hAnsi="Calibri" w:cs="Calibri"/>
          <w:sz w:val="24"/>
          <w:szCs w:val="24"/>
        </w:rPr>
        <w:t>Wkly</w:t>
      </w:r>
      <w:proofErr w:type="spellEnd"/>
      <w:r w:rsidRPr="00BE3FEF">
        <w:rPr>
          <w:rFonts w:ascii="Calibri" w:hAnsi="Calibri" w:cs="Calibri"/>
          <w:sz w:val="24"/>
          <w:szCs w:val="24"/>
        </w:rPr>
        <w:t xml:space="preserve"> Rep. 2020</w:t>
      </w:r>
      <w:proofErr w:type="gramStart"/>
      <w:r w:rsidRPr="00BE3FEF">
        <w:rPr>
          <w:rFonts w:ascii="Calibri" w:hAnsi="Calibri" w:cs="Calibri"/>
          <w:sz w:val="24"/>
          <w:szCs w:val="24"/>
        </w:rPr>
        <w:t>;69</w:t>
      </w:r>
      <w:proofErr w:type="gramEnd"/>
      <w:r w:rsidRPr="00BE3FEF">
        <w:rPr>
          <w:rFonts w:ascii="Calibri" w:hAnsi="Calibri" w:cs="Calibri"/>
          <w:sz w:val="24"/>
          <w:szCs w:val="24"/>
        </w:rPr>
        <w:t>. doi:10.15585/mmwr.mm6913e2</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8. </w:t>
      </w:r>
      <w:r w:rsidRPr="00BE3FEF">
        <w:rPr>
          <w:rFonts w:ascii="Calibri" w:hAnsi="Calibri" w:cs="Calibri"/>
          <w:sz w:val="24"/>
          <w:szCs w:val="24"/>
        </w:rPr>
        <w:tab/>
        <w:t xml:space="preserve">Du R-H, Liang L-R, Yang C-Q, et al. Predictors of mortality for patients with COVID-19 pneumonia caused by SARS-CoV-2: a prospective cohort study. </w:t>
      </w:r>
      <w:proofErr w:type="spellStart"/>
      <w:r w:rsidRPr="00BE3FEF">
        <w:rPr>
          <w:rFonts w:ascii="Calibri" w:hAnsi="Calibri" w:cs="Calibri"/>
          <w:sz w:val="24"/>
          <w:szCs w:val="24"/>
        </w:rPr>
        <w:t>Eur</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Respir</w:t>
      </w:r>
      <w:proofErr w:type="spellEnd"/>
      <w:r w:rsidRPr="00BE3FEF">
        <w:rPr>
          <w:rFonts w:ascii="Calibri" w:hAnsi="Calibri" w:cs="Calibri"/>
          <w:sz w:val="24"/>
          <w:szCs w:val="24"/>
        </w:rPr>
        <w:t xml:space="preserve"> J. 2020</w:t>
      </w:r>
      <w:proofErr w:type="gramStart"/>
      <w:r w:rsidRPr="00BE3FEF">
        <w:rPr>
          <w:rFonts w:ascii="Calibri" w:hAnsi="Calibri" w:cs="Calibri"/>
          <w:sz w:val="24"/>
          <w:szCs w:val="24"/>
        </w:rPr>
        <w:t>;55</w:t>
      </w:r>
      <w:proofErr w:type="gramEnd"/>
      <w:r w:rsidRPr="00BE3FEF">
        <w:rPr>
          <w:rFonts w:ascii="Calibri" w:hAnsi="Calibri" w:cs="Calibri"/>
          <w:sz w:val="24"/>
          <w:szCs w:val="24"/>
        </w:rPr>
        <w:t>(5):2000524. doi:10.1183/13993003.00524-2020</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lastRenderedPageBreak/>
        <w:t xml:space="preserve">9. </w:t>
      </w:r>
      <w:r w:rsidRPr="00BE3FEF">
        <w:rPr>
          <w:rFonts w:ascii="Calibri" w:hAnsi="Calibri" w:cs="Calibri"/>
          <w:sz w:val="24"/>
          <w:szCs w:val="24"/>
        </w:rPr>
        <w:tab/>
        <w:t xml:space="preserve">Feng Y, Ling Y, </w:t>
      </w:r>
      <w:proofErr w:type="spellStart"/>
      <w:r w:rsidRPr="00BE3FEF">
        <w:rPr>
          <w:rFonts w:ascii="Calibri" w:hAnsi="Calibri" w:cs="Calibri"/>
          <w:sz w:val="24"/>
          <w:szCs w:val="24"/>
        </w:rPr>
        <w:t>Bai</w:t>
      </w:r>
      <w:proofErr w:type="spellEnd"/>
      <w:r w:rsidRPr="00BE3FEF">
        <w:rPr>
          <w:rFonts w:ascii="Calibri" w:hAnsi="Calibri" w:cs="Calibri"/>
          <w:sz w:val="24"/>
          <w:szCs w:val="24"/>
        </w:rPr>
        <w:t xml:space="preserve"> T, et al. COVID-19 with Different Severity: A Multi-center Study of Clinical Features. Am J </w:t>
      </w:r>
      <w:proofErr w:type="spellStart"/>
      <w:r w:rsidRPr="00BE3FEF">
        <w:rPr>
          <w:rFonts w:ascii="Calibri" w:hAnsi="Calibri" w:cs="Calibri"/>
          <w:sz w:val="24"/>
          <w:szCs w:val="24"/>
        </w:rPr>
        <w:t>Respir</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Crit</w:t>
      </w:r>
      <w:proofErr w:type="spellEnd"/>
      <w:r w:rsidRPr="00BE3FEF">
        <w:rPr>
          <w:rFonts w:ascii="Calibri" w:hAnsi="Calibri" w:cs="Calibri"/>
          <w:sz w:val="24"/>
          <w:szCs w:val="24"/>
        </w:rPr>
        <w:t xml:space="preserve"> Care Med. Published online April 10, 2020:rccm.202002-0445OC. doi:10.1164/rccm.202002-0445OC</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10. </w:t>
      </w:r>
      <w:r w:rsidRPr="00BE3FEF">
        <w:rPr>
          <w:rFonts w:ascii="Calibri" w:hAnsi="Calibri" w:cs="Calibri"/>
          <w:sz w:val="24"/>
          <w:szCs w:val="24"/>
        </w:rPr>
        <w:tab/>
      </w:r>
      <w:proofErr w:type="spellStart"/>
      <w:r w:rsidRPr="00BE3FEF">
        <w:rPr>
          <w:rFonts w:ascii="Calibri" w:hAnsi="Calibri" w:cs="Calibri"/>
          <w:sz w:val="24"/>
          <w:szCs w:val="24"/>
        </w:rPr>
        <w:t>Fernández</w:t>
      </w:r>
      <w:proofErr w:type="spellEnd"/>
      <w:r w:rsidRPr="00BE3FEF">
        <w:rPr>
          <w:rFonts w:ascii="Calibri" w:hAnsi="Calibri" w:cs="Calibri"/>
          <w:sz w:val="24"/>
          <w:szCs w:val="24"/>
        </w:rPr>
        <w:t xml:space="preserve">‐Ruiz M, Andrés A, </w:t>
      </w:r>
      <w:proofErr w:type="spellStart"/>
      <w:r w:rsidRPr="00BE3FEF">
        <w:rPr>
          <w:rFonts w:ascii="Calibri" w:hAnsi="Calibri" w:cs="Calibri"/>
          <w:sz w:val="24"/>
          <w:szCs w:val="24"/>
        </w:rPr>
        <w:t>Loinaz</w:t>
      </w:r>
      <w:proofErr w:type="spellEnd"/>
      <w:r w:rsidRPr="00BE3FEF">
        <w:rPr>
          <w:rFonts w:ascii="Calibri" w:hAnsi="Calibri" w:cs="Calibri"/>
          <w:sz w:val="24"/>
          <w:szCs w:val="24"/>
        </w:rPr>
        <w:t xml:space="preserve"> C, et al. COVID‐19 in solid organ transplant recipients: A single‐center case series from Spain. Am J Transplant. Published online May 10, 2020:ajt.15929. doi:10.1111/ajt.15929</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11. </w:t>
      </w:r>
      <w:r w:rsidRPr="00BE3FEF">
        <w:rPr>
          <w:rFonts w:ascii="Calibri" w:hAnsi="Calibri" w:cs="Calibri"/>
          <w:sz w:val="24"/>
          <w:szCs w:val="24"/>
        </w:rPr>
        <w:tab/>
      </w:r>
      <w:proofErr w:type="spellStart"/>
      <w:r w:rsidRPr="00BE3FEF">
        <w:rPr>
          <w:rFonts w:ascii="Calibri" w:hAnsi="Calibri" w:cs="Calibri"/>
          <w:sz w:val="24"/>
          <w:szCs w:val="24"/>
        </w:rPr>
        <w:t>Garg</w:t>
      </w:r>
      <w:proofErr w:type="spellEnd"/>
      <w:r w:rsidRPr="00BE3FEF">
        <w:rPr>
          <w:rFonts w:ascii="Calibri" w:hAnsi="Calibri" w:cs="Calibri"/>
          <w:sz w:val="24"/>
          <w:szCs w:val="24"/>
        </w:rPr>
        <w:t xml:space="preserve"> S, Kim L, Whitaker M, et al. Hospitalization Rates and Characteristics of Patients Hospitalized with Laboratory-Confirmed Coronavirus Disease 2019 — COVID-NET, 14 States, March 1–30, 2020. MMWR </w:t>
      </w:r>
      <w:proofErr w:type="spellStart"/>
      <w:r w:rsidRPr="00BE3FEF">
        <w:rPr>
          <w:rFonts w:ascii="Calibri" w:hAnsi="Calibri" w:cs="Calibri"/>
          <w:sz w:val="24"/>
          <w:szCs w:val="24"/>
        </w:rPr>
        <w:t>Morb</w:t>
      </w:r>
      <w:proofErr w:type="spellEnd"/>
      <w:r w:rsidRPr="00BE3FEF">
        <w:rPr>
          <w:rFonts w:ascii="Calibri" w:hAnsi="Calibri" w:cs="Calibri"/>
          <w:sz w:val="24"/>
          <w:szCs w:val="24"/>
        </w:rPr>
        <w:t xml:space="preserve"> Mortal </w:t>
      </w:r>
      <w:proofErr w:type="spellStart"/>
      <w:r w:rsidRPr="00BE3FEF">
        <w:rPr>
          <w:rFonts w:ascii="Calibri" w:hAnsi="Calibri" w:cs="Calibri"/>
          <w:sz w:val="24"/>
          <w:szCs w:val="24"/>
        </w:rPr>
        <w:t>Wkly</w:t>
      </w:r>
      <w:proofErr w:type="spellEnd"/>
      <w:r w:rsidRPr="00BE3FEF">
        <w:rPr>
          <w:rFonts w:ascii="Calibri" w:hAnsi="Calibri" w:cs="Calibri"/>
          <w:sz w:val="24"/>
          <w:szCs w:val="24"/>
        </w:rPr>
        <w:t xml:space="preserve"> Rep. 2020</w:t>
      </w:r>
      <w:proofErr w:type="gramStart"/>
      <w:r w:rsidRPr="00BE3FEF">
        <w:rPr>
          <w:rFonts w:ascii="Calibri" w:hAnsi="Calibri" w:cs="Calibri"/>
          <w:sz w:val="24"/>
          <w:szCs w:val="24"/>
        </w:rPr>
        <w:t>;69</w:t>
      </w:r>
      <w:proofErr w:type="gramEnd"/>
      <w:r w:rsidRPr="00BE3FEF">
        <w:rPr>
          <w:rFonts w:ascii="Calibri" w:hAnsi="Calibri" w:cs="Calibri"/>
          <w:sz w:val="24"/>
          <w:szCs w:val="24"/>
        </w:rPr>
        <w:t>(15):458-464. doi:10.15585/mmwr.mm6915e3</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12. </w:t>
      </w:r>
      <w:r w:rsidRPr="00BE3FEF">
        <w:rPr>
          <w:rFonts w:ascii="Calibri" w:hAnsi="Calibri" w:cs="Calibri"/>
          <w:sz w:val="24"/>
          <w:szCs w:val="24"/>
        </w:rPr>
        <w:tab/>
      </w:r>
      <w:proofErr w:type="spellStart"/>
      <w:r w:rsidRPr="00BE3FEF">
        <w:rPr>
          <w:rFonts w:ascii="Calibri" w:hAnsi="Calibri" w:cs="Calibri"/>
          <w:sz w:val="24"/>
          <w:szCs w:val="24"/>
        </w:rPr>
        <w:t>Godaert</w:t>
      </w:r>
      <w:proofErr w:type="spellEnd"/>
      <w:r w:rsidRPr="00BE3FEF">
        <w:rPr>
          <w:rFonts w:ascii="Calibri" w:hAnsi="Calibri" w:cs="Calibri"/>
          <w:sz w:val="24"/>
          <w:szCs w:val="24"/>
        </w:rPr>
        <w:t xml:space="preserve"> L, </w:t>
      </w:r>
      <w:proofErr w:type="spellStart"/>
      <w:r w:rsidRPr="00BE3FEF">
        <w:rPr>
          <w:rFonts w:ascii="Calibri" w:hAnsi="Calibri" w:cs="Calibri"/>
          <w:sz w:val="24"/>
          <w:szCs w:val="24"/>
        </w:rPr>
        <w:t>Proye</w:t>
      </w:r>
      <w:proofErr w:type="spellEnd"/>
      <w:r w:rsidRPr="00BE3FEF">
        <w:rPr>
          <w:rFonts w:ascii="Calibri" w:hAnsi="Calibri" w:cs="Calibri"/>
          <w:sz w:val="24"/>
          <w:szCs w:val="24"/>
        </w:rPr>
        <w:t xml:space="preserve"> E, </w:t>
      </w:r>
      <w:proofErr w:type="spellStart"/>
      <w:r w:rsidRPr="00BE3FEF">
        <w:rPr>
          <w:rFonts w:ascii="Calibri" w:hAnsi="Calibri" w:cs="Calibri"/>
          <w:sz w:val="24"/>
          <w:szCs w:val="24"/>
        </w:rPr>
        <w:t>Demoustier</w:t>
      </w:r>
      <w:proofErr w:type="spellEnd"/>
      <w:r w:rsidRPr="00BE3FEF">
        <w:rPr>
          <w:rFonts w:ascii="Calibri" w:hAnsi="Calibri" w:cs="Calibri"/>
          <w:sz w:val="24"/>
          <w:szCs w:val="24"/>
        </w:rPr>
        <w:t xml:space="preserve">-Tampere D, </w:t>
      </w:r>
      <w:proofErr w:type="spellStart"/>
      <w:r w:rsidRPr="00BE3FEF">
        <w:rPr>
          <w:rFonts w:ascii="Calibri" w:hAnsi="Calibri" w:cs="Calibri"/>
          <w:sz w:val="24"/>
          <w:szCs w:val="24"/>
        </w:rPr>
        <w:t>Coulibaly</w:t>
      </w:r>
      <w:proofErr w:type="spellEnd"/>
      <w:r w:rsidRPr="00BE3FEF">
        <w:rPr>
          <w:rFonts w:ascii="Calibri" w:hAnsi="Calibri" w:cs="Calibri"/>
          <w:sz w:val="24"/>
          <w:szCs w:val="24"/>
        </w:rPr>
        <w:t xml:space="preserve"> PS, </w:t>
      </w:r>
      <w:proofErr w:type="spellStart"/>
      <w:proofErr w:type="gramStart"/>
      <w:r w:rsidRPr="00BE3FEF">
        <w:rPr>
          <w:rFonts w:ascii="Calibri" w:hAnsi="Calibri" w:cs="Calibri"/>
          <w:sz w:val="24"/>
          <w:szCs w:val="24"/>
        </w:rPr>
        <w:t>Hequet</w:t>
      </w:r>
      <w:proofErr w:type="spellEnd"/>
      <w:proofErr w:type="gramEnd"/>
      <w:r w:rsidRPr="00BE3FEF">
        <w:rPr>
          <w:rFonts w:ascii="Calibri" w:hAnsi="Calibri" w:cs="Calibri"/>
          <w:sz w:val="24"/>
          <w:szCs w:val="24"/>
        </w:rPr>
        <w:t xml:space="preserve"> F, </w:t>
      </w:r>
      <w:proofErr w:type="spellStart"/>
      <w:r w:rsidRPr="00BE3FEF">
        <w:rPr>
          <w:rFonts w:ascii="Calibri" w:hAnsi="Calibri" w:cs="Calibri"/>
          <w:sz w:val="24"/>
          <w:szCs w:val="24"/>
        </w:rPr>
        <w:t>Dramé</w:t>
      </w:r>
      <w:proofErr w:type="spellEnd"/>
      <w:r w:rsidRPr="00BE3FEF">
        <w:rPr>
          <w:rFonts w:ascii="Calibri" w:hAnsi="Calibri" w:cs="Calibri"/>
          <w:sz w:val="24"/>
          <w:szCs w:val="24"/>
        </w:rPr>
        <w:t xml:space="preserve"> M. Clinical characteristics of older patients: The experience of a geriatric short-stay unit dedicated to patients with COVID-19 in France. J Infect. Published online April 2020:S0163445320302176. doi:10.1016/j.jinf.2020.04.009</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13. </w:t>
      </w:r>
      <w:r w:rsidRPr="00BE3FEF">
        <w:rPr>
          <w:rFonts w:ascii="Calibri" w:hAnsi="Calibri" w:cs="Calibri"/>
          <w:sz w:val="24"/>
          <w:szCs w:val="24"/>
        </w:rPr>
        <w:tab/>
      </w:r>
      <w:proofErr w:type="spellStart"/>
      <w:r w:rsidRPr="00BE3FEF">
        <w:rPr>
          <w:rFonts w:ascii="Calibri" w:hAnsi="Calibri" w:cs="Calibri"/>
          <w:sz w:val="24"/>
          <w:szCs w:val="24"/>
        </w:rPr>
        <w:t>Grasselli</w:t>
      </w:r>
      <w:proofErr w:type="spellEnd"/>
      <w:r w:rsidRPr="00BE3FEF">
        <w:rPr>
          <w:rFonts w:ascii="Calibri" w:hAnsi="Calibri" w:cs="Calibri"/>
          <w:sz w:val="24"/>
          <w:szCs w:val="24"/>
        </w:rPr>
        <w:t xml:space="preserve"> G, </w:t>
      </w:r>
      <w:proofErr w:type="spellStart"/>
      <w:r w:rsidRPr="00BE3FEF">
        <w:rPr>
          <w:rFonts w:ascii="Calibri" w:hAnsi="Calibri" w:cs="Calibri"/>
          <w:sz w:val="24"/>
          <w:szCs w:val="24"/>
        </w:rPr>
        <w:t>Zangrillo</w:t>
      </w:r>
      <w:proofErr w:type="spellEnd"/>
      <w:r w:rsidRPr="00BE3FEF">
        <w:rPr>
          <w:rFonts w:ascii="Calibri" w:hAnsi="Calibri" w:cs="Calibri"/>
          <w:sz w:val="24"/>
          <w:szCs w:val="24"/>
        </w:rPr>
        <w:t xml:space="preserve"> A, </w:t>
      </w:r>
      <w:proofErr w:type="spellStart"/>
      <w:r w:rsidRPr="00BE3FEF">
        <w:rPr>
          <w:rFonts w:ascii="Calibri" w:hAnsi="Calibri" w:cs="Calibri"/>
          <w:sz w:val="24"/>
          <w:szCs w:val="24"/>
        </w:rPr>
        <w:t>Zanella</w:t>
      </w:r>
      <w:proofErr w:type="spellEnd"/>
      <w:r w:rsidRPr="00BE3FEF">
        <w:rPr>
          <w:rFonts w:ascii="Calibri" w:hAnsi="Calibri" w:cs="Calibri"/>
          <w:sz w:val="24"/>
          <w:szCs w:val="24"/>
        </w:rPr>
        <w:t xml:space="preserve"> A, et al. Baseline Characteristics and Outcomes of 1591 Patients Infected With SARS-CoV-2 Admitted to ICUs of the Lombardy Region, Italy. JAMA. 2020</w:t>
      </w:r>
      <w:proofErr w:type="gramStart"/>
      <w:r w:rsidRPr="00BE3FEF">
        <w:rPr>
          <w:rFonts w:ascii="Calibri" w:hAnsi="Calibri" w:cs="Calibri"/>
          <w:sz w:val="24"/>
          <w:szCs w:val="24"/>
        </w:rPr>
        <w:t>;323</w:t>
      </w:r>
      <w:proofErr w:type="gramEnd"/>
      <w:r w:rsidRPr="00BE3FEF">
        <w:rPr>
          <w:rFonts w:ascii="Calibri" w:hAnsi="Calibri" w:cs="Calibri"/>
          <w:sz w:val="24"/>
          <w:szCs w:val="24"/>
        </w:rPr>
        <w:t>(16):1574. doi:10.1001/jama.2020.5394</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14. </w:t>
      </w:r>
      <w:r w:rsidRPr="00BE3FEF">
        <w:rPr>
          <w:rFonts w:ascii="Calibri" w:hAnsi="Calibri" w:cs="Calibri"/>
          <w:sz w:val="24"/>
          <w:szCs w:val="24"/>
        </w:rPr>
        <w:tab/>
      </w:r>
      <w:proofErr w:type="spellStart"/>
      <w:r w:rsidRPr="00BE3FEF">
        <w:rPr>
          <w:rFonts w:ascii="Calibri" w:hAnsi="Calibri" w:cs="Calibri"/>
          <w:sz w:val="24"/>
          <w:szCs w:val="24"/>
        </w:rPr>
        <w:t>Grein</w:t>
      </w:r>
      <w:proofErr w:type="spellEnd"/>
      <w:r w:rsidRPr="00BE3FEF">
        <w:rPr>
          <w:rFonts w:ascii="Calibri" w:hAnsi="Calibri" w:cs="Calibri"/>
          <w:sz w:val="24"/>
          <w:szCs w:val="24"/>
        </w:rPr>
        <w:t xml:space="preserve"> J, </w:t>
      </w:r>
      <w:proofErr w:type="spellStart"/>
      <w:r w:rsidRPr="00BE3FEF">
        <w:rPr>
          <w:rFonts w:ascii="Calibri" w:hAnsi="Calibri" w:cs="Calibri"/>
          <w:sz w:val="24"/>
          <w:szCs w:val="24"/>
        </w:rPr>
        <w:t>Ohmagari</w:t>
      </w:r>
      <w:proofErr w:type="spellEnd"/>
      <w:r w:rsidRPr="00BE3FEF">
        <w:rPr>
          <w:rFonts w:ascii="Calibri" w:hAnsi="Calibri" w:cs="Calibri"/>
          <w:sz w:val="24"/>
          <w:szCs w:val="24"/>
        </w:rPr>
        <w:t xml:space="preserve"> N, Shin D, et al. Compassionate Use of </w:t>
      </w:r>
      <w:proofErr w:type="spellStart"/>
      <w:r w:rsidRPr="00BE3FEF">
        <w:rPr>
          <w:rFonts w:ascii="Calibri" w:hAnsi="Calibri" w:cs="Calibri"/>
          <w:sz w:val="24"/>
          <w:szCs w:val="24"/>
        </w:rPr>
        <w:t>Remdesivir</w:t>
      </w:r>
      <w:proofErr w:type="spellEnd"/>
      <w:r w:rsidRPr="00BE3FEF">
        <w:rPr>
          <w:rFonts w:ascii="Calibri" w:hAnsi="Calibri" w:cs="Calibri"/>
          <w:sz w:val="24"/>
          <w:szCs w:val="24"/>
        </w:rPr>
        <w:t xml:space="preserve"> for Patients with Severe Covid-19. N </w:t>
      </w:r>
      <w:proofErr w:type="spellStart"/>
      <w:r w:rsidRPr="00BE3FEF">
        <w:rPr>
          <w:rFonts w:ascii="Calibri" w:hAnsi="Calibri" w:cs="Calibri"/>
          <w:sz w:val="24"/>
          <w:szCs w:val="24"/>
        </w:rPr>
        <w:t>Engl</w:t>
      </w:r>
      <w:proofErr w:type="spellEnd"/>
      <w:r w:rsidRPr="00BE3FEF">
        <w:rPr>
          <w:rFonts w:ascii="Calibri" w:hAnsi="Calibri" w:cs="Calibri"/>
          <w:sz w:val="24"/>
          <w:szCs w:val="24"/>
        </w:rPr>
        <w:t xml:space="preserve"> J Med. </w:t>
      </w:r>
      <w:proofErr w:type="gramStart"/>
      <w:r w:rsidRPr="00BE3FEF">
        <w:rPr>
          <w:rFonts w:ascii="Calibri" w:hAnsi="Calibri" w:cs="Calibri"/>
          <w:sz w:val="24"/>
          <w:szCs w:val="24"/>
        </w:rPr>
        <w:t>Published</w:t>
      </w:r>
      <w:proofErr w:type="gramEnd"/>
      <w:r w:rsidRPr="00BE3FEF">
        <w:rPr>
          <w:rFonts w:ascii="Calibri" w:hAnsi="Calibri" w:cs="Calibri"/>
          <w:sz w:val="24"/>
          <w:szCs w:val="24"/>
        </w:rPr>
        <w:t xml:space="preserve"> online April 10, 2020:NEJMoa2007016. </w:t>
      </w:r>
      <w:proofErr w:type="gramStart"/>
      <w:r w:rsidRPr="00BE3FEF">
        <w:rPr>
          <w:rFonts w:ascii="Calibri" w:hAnsi="Calibri" w:cs="Calibri"/>
          <w:sz w:val="24"/>
          <w:szCs w:val="24"/>
        </w:rPr>
        <w:t>doi:</w:t>
      </w:r>
      <w:proofErr w:type="gramEnd"/>
      <w:r w:rsidRPr="00BE3FEF">
        <w:rPr>
          <w:rFonts w:ascii="Calibri" w:hAnsi="Calibri" w:cs="Calibri"/>
          <w:sz w:val="24"/>
          <w:szCs w:val="24"/>
        </w:rPr>
        <w:t>10.1056/NEJMoa2007016</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15. </w:t>
      </w:r>
      <w:r w:rsidRPr="00BE3FEF">
        <w:rPr>
          <w:rFonts w:ascii="Calibri" w:hAnsi="Calibri" w:cs="Calibri"/>
          <w:sz w:val="24"/>
          <w:szCs w:val="24"/>
        </w:rPr>
        <w:tab/>
        <w:t xml:space="preserve">Guan W, Ni Z, Hu Y, et al. Clinical Characteristics of Coronavirus Disease 2019 in China. N </w:t>
      </w:r>
      <w:proofErr w:type="spellStart"/>
      <w:r w:rsidRPr="00BE3FEF">
        <w:rPr>
          <w:rFonts w:ascii="Calibri" w:hAnsi="Calibri" w:cs="Calibri"/>
          <w:sz w:val="24"/>
          <w:szCs w:val="24"/>
        </w:rPr>
        <w:t>Engl</w:t>
      </w:r>
      <w:proofErr w:type="spellEnd"/>
      <w:r w:rsidRPr="00BE3FEF">
        <w:rPr>
          <w:rFonts w:ascii="Calibri" w:hAnsi="Calibri" w:cs="Calibri"/>
          <w:sz w:val="24"/>
          <w:szCs w:val="24"/>
        </w:rPr>
        <w:t xml:space="preserve"> J Med. 2020</w:t>
      </w:r>
      <w:proofErr w:type="gramStart"/>
      <w:r w:rsidRPr="00BE3FEF">
        <w:rPr>
          <w:rFonts w:ascii="Calibri" w:hAnsi="Calibri" w:cs="Calibri"/>
          <w:sz w:val="24"/>
          <w:szCs w:val="24"/>
        </w:rPr>
        <w:t>;382</w:t>
      </w:r>
      <w:proofErr w:type="gramEnd"/>
      <w:r w:rsidRPr="00BE3FEF">
        <w:rPr>
          <w:rFonts w:ascii="Calibri" w:hAnsi="Calibri" w:cs="Calibri"/>
          <w:sz w:val="24"/>
          <w:szCs w:val="24"/>
        </w:rPr>
        <w:t xml:space="preserve">(18):1708-1720. </w:t>
      </w:r>
      <w:proofErr w:type="gramStart"/>
      <w:r w:rsidRPr="00BE3FEF">
        <w:rPr>
          <w:rFonts w:ascii="Calibri" w:hAnsi="Calibri" w:cs="Calibri"/>
          <w:sz w:val="24"/>
          <w:szCs w:val="24"/>
        </w:rPr>
        <w:t>doi:</w:t>
      </w:r>
      <w:proofErr w:type="gramEnd"/>
      <w:r w:rsidRPr="00BE3FEF">
        <w:rPr>
          <w:rFonts w:ascii="Calibri" w:hAnsi="Calibri" w:cs="Calibri"/>
          <w:sz w:val="24"/>
          <w:szCs w:val="24"/>
        </w:rPr>
        <w:t>10.1056/NEJMoa2002032</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16. </w:t>
      </w:r>
      <w:r w:rsidRPr="00BE3FEF">
        <w:rPr>
          <w:rFonts w:ascii="Calibri" w:hAnsi="Calibri" w:cs="Calibri"/>
          <w:sz w:val="24"/>
          <w:szCs w:val="24"/>
        </w:rPr>
        <w:tab/>
        <w:t xml:space="preserve">Kang Y-J. Mortality Rate of Infection </w:t>
      </w:r>
      <w:proofErr w:type="gramStart"/>
      <w:r w:rsidRPr="00BE3FEF">
        <w:rPr>
          <w:rFonts w:ascii="Calibri" w:hAnsi="Calibri" w:cs="Calibri"/>
          <w:sz w:val="24"/>
          <w:szCs w:val="24"/>
        </w:rPr>
        <w:t>With</w:t>
      </w:r>
      <w:proofErr w:type="gramEnd"/>
      <w:r w:rsidRPr="00BE3FEF">
        <w:rPr>
          <w:rFonts w:ascii="Calibri" w:hAnsi="Calibri" w:cs="Calibri"/>
          <w:sz w:val="24"/>
          <w:szCs w:val="24"/>
        </w:rPr>
        <w:t xml:space="preserve"> COVID-19 in Korea From the Perspective of Underlying Disease. Disaster Med Public Health Prep. Published online March 31, 2020:1-3. doi:10.1017/dmp.2020.60</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17. </w:t>
      </w:r>
      <w:r w:rsidRPr="00BE3FEF">
        <w:rPr>
          <w:rFonts w:ascii="Calibri" w:hAnsi="Calibri" w:cs="Calibri"/>
          <w:sz w:val="24"/>
          <w:szCs w:val="24"/>
        </w:rPr>
        <w:tab/>
        <w:t xml:space="preserve">COVID-19 National Emergency Response Center, Epidemiology and Case Management Team, Korea Centers for Disease Control and Prevention. Coronavirus Disease-19: The First 7,755 Cases in the Republic of Korea. </w:t>
      </w:r>
      <w:proofErr w:type="spellStart"/>
      <w:r w:rsidRPr="00BE3FEF">
        <w:rPr>
          <w:rFonts w:ascii="Calibri" w:hAnsi="Calibri" w:cs="Calibri"/>
          <w:sz w:val="24"/>
          <w:szCs w:val="24"/>
        </w:rPr>
        <w:t>Osong</w:t>
      </w:r>
      <w:proofErr w:type="spellEnd"/>
      <w:r w:rsidRPr="00BE3FEF">
        <w:rPr>
          <w:rFonts w:ascii="Calibri" w:hAnsi="Calibri" w:cs="Calibri"/>
          <w:sz w:val="24"/>
          <w:szCs w:val="24"/>
        </w:rPr>
        <w:t xml:space="preserve"> Public Health Res </w:t>
      </w:r>
      <w:proofErr w:type="spellStart"/>
      <w:r w:rsidRPr="00BE3FEF">
        <w:rPr>
          <w:rFonts w:ascii="Calibri" w:hAnsi="Calibri" w:cs="Calibri"/>
          <w:sz w:val="24"/>
          <w:szCs w:val="24"/>
        </w:rPr>
        <w:t>Perspect</w:t>
      </w:r>
      <w:proofErr w:type="spellEnd"/>
      <w:r w:rsidRPr="00BE3FEF">
        <w:rPr>
          <w:rFonts w:ascii="Calibri" w:hAnsi="Calibri" w:cs="Calibri"/>
          <w:sz w:val="24"/>
          <w:szCs w:val="24"/>
        </w:rPr>
        <w:t>. 2020</w:t>
      </w:r>
      <w:proofErr w:type="gramStart"/>
      <w:r w:rsidRPr="00BE3FEF">
        <w:rPr>
          <w:rFonts w:ascii="Calibri" w:hAnsi="Calibri" w:cs="Calibri"/>
          <w:sz w:val="24"/>
          <w:szCs w:val="24"/>
        </w:rPr>
        <w:t>;11</w:t>
      </w:r>
      <w:proofErr w:type="gramEnd"/>
      <w:r w:rsidRPr="00BE3FEF">
        <w:rPr>
          <w:rFonts w:ascii="Calibri" w:hAnsi="Calibri" w:cs="Calibri"/>
          <w:sz w:val="24"/>
          <w:szCs w:val="24"/>
        </w:rPr>
        <w:t>(2):85-90. doi:10.24171/j.phrp.2020.11.2.05</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lastRenderedPageBreak/>
        <w:t xml:space="preserve">18. </w:t>
      </w:r>
      <w:r w:rsidRPr="00BE3FEF">
        <w:rPr>
          <w:rFonts w:ascii="Calibri" w:hAnsi="Calibri" w:cs="Calibri"/>
          <w:sz w:val="24"/>
          <w:szCs w:val="24"/>
        </w:rPr>
        <w:tab/>
        <w:t>Korean Society of Infectious Diseases and Korea Centers for Disease Control and Prevention. Analysis on 54 Mortality Cases of Coronavirus Disease 2019 in the Republic of Korea from January 19 to March 10, 2020. J Korean Med Sci. 2020</w:t>
      </w:r>
      <w:proofErr w:type="gramStart"/>
      <w:r w:rsidRPr="00BE3FEF">
        <w:rPr>
          <w:rFonts w:ascii="Calibri" w:hAnsi="Calibri" w:cs="Calibri"/>
          <w:sz w:val="24"/>
          <w:szCs w:val="24"/>
        </w:rPr>
        <w:t>;35</w:t>
      </w:r>
      <w:proofErr w:type="gramEnd"/>
      <w:r w:rsidRPr="00BE3FEF">
        <w:rPr>
          <w:rFonts w:ascii="Calibri" w:hAnsi="Calibri" w:cs="Calibri"/>
          <w:sz w:val="24"/>
          <w:szCs w:val="24"/>
        </w:rPr>
        <w:t>(12):e132. doi:10.3346/jkms.2020.35.e132</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19. </w:t>
      </w:r>
      <w:r w:rsidRPr="00BE3FEF">
        <w:rPr>
          <w:rFonts w:ascii="Calibri" w:hAnsi="Calibri" w:cs="Calibri"/>
          <w:sz w:val="24"/>
          <w:szCs w:val="24"/>
        </w:rPr>
        <w:tab/>
      </w:r>
      <w:proofErr w:type="spellStart"/>
      <w:r w:rsidRPr="00BE3FEF">
        <w:rPr>
          <w:rFonts w:ascii="Calibri" w:hAnsi="Calibri" w:cs="Calibri"/>
          <w:sz w:val="24"/>
          <w:szCs w:val="24"/>
        </w:rPr>
        <w:t>Lechien</w:t>
      </w:r>
      <w:proofErr w:type="spellEnd"/>
      <w:r w:rsidRPr="00BE3FEF">
        <w:rPr>
          <w:rFonts w:ascii="Calibri" w:hAnsi="Calibri" w:cs="Calibri"/>
          <w:sz w:val="24"/>
          <w:szCs w:val="24"/>
        </w:rPr>
        <w:t xml:space="preserve"> JR, </w:t>
      </w:r>
      <w:proofErr w:type="spellStart"/>
      <w:r w:rsidRPr="00BE3FEF">
        <w:rPr>
          <w:rFonts w:ascii="Calibri" w:hAnsi="Calibri" w:cs="Calibri"/>
          <w:sz w:val="24"/>
          <w:szCs w:val="24"/>
        </w:rPr>
        <w:t>Chiesa‐Estomba</w:t>
      </w:r>
      <w:proofErr w:type="spellEnd"/>
      <w:r w:rsidRPr="00BE3FEF">
        <w:rPr>
          <w:rFonts w:ascii="Calibri" w:hAnsi="Calibri" w:cs="Calibri"/>
          <w:sz w:val="24"/>
          <w:szCs w:val="24"/>
        </w:rPr>
        <w:t xml:space="preserve"> CM, Place S, et al. Clinical and Epidemiological Characteristics of 1,420 European Patients with mild‐to‐moderate Coronavirus Disease 2019. J Intern Med. </w:t>
      </w:r>
      <w:proofErr w:type="gramStart"/>
      <w:r w:rsidRPr="00BE3FEF">
        <w:rPr>
          <w:rFonts w:ascii="Calibri" w:hAnsi="Calibri" w:cs="Calibri"/>
          <w:sz w:val="24"/>
          <w:szCs w:val="24"/>
        </w:rPr>
        <w:t>Published</w:t>
      </w:r>
      <w:proofErr w:type="gramEnd"/>
      <w:r w:rsidRPr="00BE3FEF">
        <w:rPr>
          <w:rFonts w:ascii="Calibri" w:hAnsi="Calibri" w:cs="Calibri"/>
          <w:sz w:val="24"/>
          <w:szCs w:val="24"/>
        </w:rPr>
        <w:t xml:space="preserve"> online April 30, 2020:joim.13089. doi:10.1111/joim.13089</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20. </w:t>
      </w:r>
      <w:r w:rsidRPr="00BE3FEF">
        <w:rPr>
          <w:rFonts w:ascii="Calibri" w:hAnsi="Calibri" w:cs="Calibri"/>
          <w:sz w:val="24"/>
          <w:szCs w:val="24"/>
        </w:rPr>
        <w:tab/>
        <w:t xml:space="preserve">Li J, Wang X, Chen J, Zhang H, Deng A. Association of Renin-Angiotensin System Inhibitors With Severity or Risk of Death in Patients With Hypertension Hospitalized for Coronavirus Disease 2019 (COVID-19) Infection in Wuhan, China. JAMA </w:t>
      </w:r>
      <w:proofErr w:type="spellStart"/>
      <w:r w:rsidRPr="00BE3FEF">
        <w:rPr>
          <w:rFonts w:ascii="Calibri" w:hAnsi="Calibri" w:cs="Calibri"/>
          <w:sz w:val="24"/>
          <w:szCs w:val="24"/>
        </w:rPr>
        <w:t>Cardiol</w:t>
      </w:r>
      <w:proofErr w:type="spellEnd"/>
      <w:r w:rsidRPr="00BE3FEF">
        <w:rPr>
          <w:rFonts w:ascii="Calibri" w:hAnsi="Calibri" w:cs="Calibri"/>
          <w:sz w:val="24"/>
          <w:szCs w:val="24"/>
        </w:rPr>
        <w:t>. Published online April 23, 2020. doi:10.1001/jamacardio.2020.1624</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21. </w:t>
      </w:r>
      <w:r w:rsidRPr="00BE3FEF">
        <w:rPr>
          <w:rFonts w:ascii="Calibri" w:hAnsi="Calibri" w:cs="Calibri"/>
          <w:sz w:val="24"/>
          <w:szCs w:val="24"/>
        </w:rPr>
        <w:tab/>
        <w:t xml:space="preserve">Li T, Zhang Y, Gong C, et al. Prevalence of malnutrition and analysis of related factors in elderly patients with COVID-19 in Wuhan, China. </w:t>
      </w:r>
      <w:proofErr w:type="spellStart"/>
      <w:r w:rsidRPr="00BE3FEF">
        <w:rPr>
          <w:rFonts w:ascii="Calibri" w:hAnsi="Calibri" w:cs="Calibri"/>
          <w:sz w:val="24"/>
          <w:szCs w:val="24"/>
        </w:rPr>
        <w:t>Eur</w:t>
      </w:r>
      <w:proofErr w:type="spellEnd"/>
      <w:r w:rsidRPr="00BE3FEF">
        <w:rPr>
          <w:rFonts w:ascii="Calibri" w:hAnsi="Calibri" w:cs="Calibri"/>
          <w:sz w:val="24"/>
          <w:szCs w:val="24"/>
        </w:rPr>
        <w:t xml:space="preserve"> J </w:t>
      </w:r>
      <w:proofErr w:type="spellStart"/>
      <w:r w:rsidRPr="00BE3FEF">
        <w:rPr>
          <w:rFonts w:ascii="Calibri" w:hAnsi="Calibri" w:cs="Calibri"/>
          <w:sz w:val="24"/>
          <w:szCs w:val="24"/>
        </w:rPr>
        <w:t>Clin</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Nutr</w:t>
      </w:r>
      <w:proofErr w:type="spellEnd"/>
      <w:r w:rsidRPr="00BE3FEF">
        <w:rPr>
          <w:rFonts w:ascii="Calibri" w:hAnsi="Calibri" w:cs="Calibri"/>
          <w:sz w:val="24"/>
          <w:szCs w:val="24"/>
        </w:rPr>
        <w:t xml:space="preserve">. Published online April 22, 2020. </w:t>
      </w:r>
      <w:proofErr w:type="gramStart"/>
      <w:r w:rsidRPr="00BE3FEF">
        <w:rPr>
          <w:rFonts w:ascii="Calibri" w:hAnsi="Calibri" w:cs="Calibri"/>
          <w:sz w:val="24"/>
          <w:szCs w:val="24"/>
        </w:rPr>
        <w:t>doi:</w:t>
      </w:r>
      <w:proofErr w:type="gramEnd"/>
      <w:r w:rsidRPr="00BE3FEF">
        <w:rPr>
          <w:rFonts w:ascii="Calibri" w:hAnsi="Calibri" w:cs="Calibri"/>
          <w:sz w:val="24"/>
          <w:szCs w:val="24"/>
        </w:rPr>
        <w:t>10.1038/s41430-020-0642-3</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22. </w:t>
      </w:r>
      <w:r w:rsidRPr="00BE3FEF">
        <w:rPr>
          <w:rFonts w:ascii="Calibri" w:hAnsi="Calibri" w:cs="Calibri"/>
          <w:sz w:val="24"/>
          <w:szCs w:val="24"/>
        </w:rPr>
        <w:tab/>
        <w:t xml:space="preserve">Li X, Wang L, Yan S, et al. Clinical characteristics of 25 death cases with COVID-19: A retrospective review of medical records in a single medical center, Wuhan, China. </w:t>
      </w:r>
      <w:proofErr w:type="spellStart"/>
      <w:r w:rsidRPr="00BE3FEF">
        <w:rPr>
          <w:rFonts w:ascii="Calibri" w:hAnsi="Calibri" w:cs="Calibri"/>
          <w:sz w:val="24"/>
          <w:szCs w:val="24"/>
        </w:rPr>
        <w:t>Int</w:t>
      </w:r>
      <w:proofErr w:type="spellEnd"/>
      <w:r w:rsidRPr="00BE3FEF">
        <w:rPr>
          <w:rFonts w:ascii="Calibri" w:hAnsi="Calibri" w:cs="Calibri"/>
          <w:sz w:val="24"/>
          <w:szCs w:val="24"/>
        </w:rPr>
        <w:t xml:space="preserve"> J Infect Dis. 2020</w:t>
      </w:r>
      <w:proofErr w:type="gramStart"/>
      <w:r w:rsidRPr="00BE3FEF">
        <w:rPr>
          <w:rFonts w:ascii="Calibri" w:hAnsi="Calibri" w:cs="Calibri"/>
          <w:sz w:val="24"/>
          <w:szCs w:val="24"/>
        </w:rPr>
        <w:t>;94:128</w:t>
      </w:r>
      <w:proofErr w:type="gramEnd"/>
      <w:r w:rsidRPr="00BE3FEF">
        <w:rPr>
          <w:rFonts w:ascii="Calibri" w:hAnsi="Calibri" w:cs="Calibri"/>
          <w:sz w:val="24"/>
          <w:szCs w:val="24"/>
        </w:rPr>
        <w:t>-132. doi:10.1016/j.ijid.2020.03.053</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23. </w:t>
      </w:r>
      <w:r w:rsidRPr="00BE3FEF">
        <w:rPr>
          <w:rFonts w:ascii="Calibri" w:hAnsi="Calibri" w:cs="Calibri"/>
          <w:sz w:val="24"/>
          <w:szCs w:val="24"/>
        </w:rPr>
        <w:tab/>
      </w:r>
      <w:proofErr w:type="spellStart"/>
      <w:r w:rsidRPr="00BE3FEF">
        <w:rPr>
          <w:rFonts w:ascii="Calibri" w:hAnsi="Calibri" w:cs="Calibri"/>
          <w:sz w:val="24"/>
          <w:szCs w:val="24"/>
        </w:rPr>
        <w:t>Lian</w:t>
      </w:r>
      <w:proofErr w:type="spellEnd"/>
      <w:r w:rsidRPr="00BE3FEF">
        <w:rPr>
          <w:rFonts w:ascii="Calibri" w:hAnsi="Calibri" w:cs="Calibri"/>
          <w:sz w:val="24"/>
          <w:szCs w:val="24"/>
        </w:rPr>
        <w:t xml:space="preserve"> J, Jin X, </w:t>
      </w:r>
      <w:proofErr w:type="spellStart"/>
      <w:r w:rsidRPr="00BE3FEF">
        <w:rPr>
          <w:rFonts w:ascii="Calibri" w:hAnsi="Calibri" w:cs="Calibri"/>
          <w:sz w:val="24"/>
          <w:szCs w:val="24"/>
        </w:rPr>
        <w:t>Hao</w:t>
      </w:r>
      <w:proofErr w:type="spellEnd"/>
      <w:r w:rsidRPr="00BE3FEF">
        <w:rPr>
          <w:rFonts w:ascii="Calibri" w:hAnsi="Calibri" w:cs="Calibri"/>
          <w:sz w:val="24"/>
          <w:szCs w:val="24"/>
        </w:rPr>
        <w:t xml:space="preserve"> S, et al. Analysis of Epidemiological and Clinical features in older patients with Corona Virus Disease 2019 (COVID-19) out of Wuhan. </w:t>
      </w:r>
      <w:proofErr w:type="spellStart"/>
      <w:r w:rsidRPr="00BE3FEF">
        <w:rPr>
          <w:rFonts w:ascii="Calibri" w:hAnsi="Calibri" w:cs="Calibri"/>
          <w:sz w:val="24"/>
          <w:szCs w:val="24"/>
        </w:rPr>
        <w:t>Clin</w:t>
      </w:r>
      <w:proofErr w:type="spellEnd"/>
      <w:r w:rsidRPr="00BE3FEF">
        <w:rPr>
          <w:rFonts w:ascii="Calibri" w:hAnsi="Calibri" w:cs="Calibri"/>
          <w:sz w:val="24"/>
          <w:szCs w:val="24"/>
        </w:rPr>
        <w:t xml:space="preserve"> Infect Dis. </w:t>
      </w:r>
      <w:proofErr w:type="gramStart"/>
      <w:r w:rsidRPr="00BE3FEF">
        <w:rPr>
          <w:rFonts w:ascii="Calibri" w:hAnsi="Calibri" w:cs="Calibri"/>
          <w:sz w:val="24"/>
          <w:szCs w:val="24"/>
        </w:rPr>
        <w:t>Published</w:t>
      </w:r>
      <w:proofErr w:type="gramEnd"/>
      <w:r w:rsidRPr="00BE3FEF">
        <w:rPr>
          <w:rFonts w:ascii="Calibri" w:hAnsi="Calibri" w:cs="Calibri"/>
          <w:sz w:val="24"/>
          <w:szCs w:val="24"/>
        </w:rPr>
        <w:t xml:space="preserve"> online March 25, 2020:ciaa242. doi:10.1093/</w:t>
      </w:r>
      <w:proofErr w:type="spellStart"/>
      <w:r w:rsidRPr="00BE3FEF">
        <w:rPr>
          <w:rFonts w:ascii="Calibri" w:hAnsi="Calibri" w:cs="Calibri"/>
          <w:sz w:val="24"/>
          <w:szCs w:val="24"/>
        </w:rPr>
        <w:t>cid</w:t>
      </w:r>
      <w:proofErr w:type="spellEnd"/>
      <w:r w:rsidRPr="00BE3FEF">
        <w:rPr>
          <w:rFonts w:ascii="Calibri" w:hAnsi="Calibri" w:cs="Calibri"/>
          <w:sz w:val="24"/>
          <w:szCs w:val="24"/>
        </w:rPr>
        <w:t>/ciaa242</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24. </w:t>
      </w:r>
      <w:r w:rsidRPr="00BE3FEF">
        <w:rPr>
          <w:rFonts w:ascii="Calibri" w:hAnsi="Calibri" w:cs="Calibri"/>
          <w:sz w:val="24"/>
          <w:szCs w:val="24"/>
        </w:rPr>
        <w:tab/>
        <w:t>Lin L, Jiang X, Zhang Z, et al. Gastrointestinal symptoms of 95 cases with SARS-CoV-2 infection. Gut. 2020</w:t>
      </w:r>
      <w:proofErr w:type="gramStart"/>
      <w:r w:rsidRPr="00BE3FEF">
        <w:rPr>
          <w:rFonts w:ascii="Calibri" w:hAnsi="Calibri" w:cs="Calibri"/>
          <w:sz w:val="24"/>
          <w:szCs w:val="24"/>
        </w:rPr>
        <w:t>;69</w:t>
      </w:r>
      <w:proofErr w:type="gramEnd"/>
      <w:r w:rsidRPr="00BE3FEF">
        <w:rPr>
          <w:rFonts w:ascii="Calibri" w:hAnsi="Calibri" w:cs="Calibri"/>
          <w:sz w:val="24"/>
          <w:szCs w:val="24"/>
        </w:rPr>
        <w:t xml:space="preserve">(6):997-1001. </w:t>
      </w:r>
      <w:proofErr w:type="gramStart"/>
      <w:r w:rsidRPr="00BE3FEF">
        <w:rPr>
          <w:rFonts w:ascii="Calibri" w:hAnsi="Calibri" w:cs="Calibri"/>
          <w:sz w:val="24"/>
          <w:szCs w:val="24"/>
        </w:rPr>
        <w:t>doi:</w:t>
      </w:r>
      <w:proofErr w:type="gramEnd"/>
      <w:r w:rsidRPr="00BE3FEF">
        <w:rPr>
          <w:rFonts w:ascii="Calibri" w:hAnsi="Calibri" w:cs="Calibri"/>
          <w:sz w:val="24"/>
          <w:szCs w:val="24"/>
        </w:rPr>
        <w:t>10.1136/gutjnl-2020-321013</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25. </w:t>
      </w:r>
      <w:r w:rsidRPr="00BE3FEF">
        <w:rPr>
          <w:rFonts w:ascii="Calibri" w:hAnsi="Calibri" w:cs="Calibri"/>
          <w:sz w:val="24"/>
          <w:szCs w:val="24"/>
        </w:rPr>
        <w:tab/>
        <w:t>Liu K, Chen Y, Lin R, Han K. Clinical features of COVID-19 in elderly patients: A comparison with young and middle-aged patients. J Infect. 2020</w:t>
      </w:r>
      <w:proofErr w:type="gramStart"/>
      <w:r w:rsidRPr="00BE3FEF">
        <w:rPr>
          <w:rFonts w:ascii="Calibri" w:hAnsi="Calibri" w:cs="Calibri"/>
          <w:sz w:val="24"/>
          <w:szCs w:val="24"/>
        </w:rPr>
        <w:t>;80</w:t>
      </w:r>
      <w:proofErr w:type="gramEnd"/>
      <w:r w:rsidRPr="00BE3FEF">
        <w:rPr>
          <w:rFonts w:ascii="Calibri" w:hAnsi="Calibri" w:cs="Calibri"/>
          <w:sz w:val="24"/>
          <w:szCs w:val="24"/>
        </w:rPr>
        <w:t>(6):e14-e18. doi:10.1016/j.jinf.2020.03.005</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26. </w:t>
      </w:r>
      <w:r w:rsidRPr="00BE3FEF">
        <w:rPr>
          <w:rFonts w:ascii="Calibri" w:hAnsi="Calibri" w:cs="Calibri"/>
          <w:sz w:val="24"/>
          <w:szCs w:val="24"/>
        </w:rPr>
        <w:tab/>
        <w:t xml:space="preserve">Liu Y, Mao B, Liang S, et al. Association between ages and clinical characteristics and outcomes of coronavirus disease 2019. </w:t>
      </w:r>
      <w:proofErr w:type="spellStart"/>
      <w:r w:rsidRPr="00BE3FEF">
        <w:rPr>
          <w:rFonts w:ascii="Calibri" w:hAnsi="Calibri" w:cs="Calibri"/>
          <w:sz w:val="24"/>
          <w:szCs w:val="24"/>
        </w:rPr>
        <w:t>Eur</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Respir</w:t>
      </w:r>
      <w:proofErr w:type="spellEnd"/>
      <w:r w:rsidRPr="00BE3FEF">
        <w:rPr>
          <w:rFonts w:ascii="Calibri" w:hAnsi="Calibri" w:cs="Calibri"/>
          <w:sz w:val="24"/>
          <w:szCs w:val="24"/>
        </w:rPr>
        <w:t xml:space="preserve"> J. Published online April 20, 2020:2001112. doi:10.1183/13993003.01112-2020</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27. </w:t>
      </w:r>
      <w:r w:rsidRPr="00BE3FEF">
        <w:rPr>
          <w:rFonts w:ascii="Calibri" w:hAnsi="Calibri" w:cs="Calibri"/>
          <w:sz w:val="24"/>
          <w:szCs w:val="24"/>
        </w:rPr>
        <w:tab/>
      </w:r>
      <w:proofErr w:type="spellStart"/>
      <w:r w:rsidRPr="00BE3FEF">
        <w:rPr>
          <w:rFonts w:ascii="Calibri" w:hAnsi="Calibri" w:cs="Calibri"/>
          <w:sz w:val="24"/>
          <w:szCs w:val="24"/>
        </w:rPr>
        <w:t>Lodigiani</w:t>
      </w:r>
      <w:proofErr w:type="spellEnd"/>
      <w:r w:rsidRPr="00BE3FEF">
        <w:rPr>
          <w:rFonts w:ascii="Calibri" w:hAnsi="Calibri" w:cs="Calibri"/>
          <w:sz w:val="24"/>
          <w:szCs w:val="24"/>
        </w:rPr>
        <w:t xml:space="preserve"> C, </w:t>
      </w:r>
      <w:proofErr w:type="spellStart"/>
      <w:r w:rsidRPr="00BE3FEF">
        <w:rPr>
          <w:rFonts w:ascii="Calibri" w:hAnsi="Calibri" w:cs="Calibri"/>
          <w:sz w:val="24"/>
          <w:szCs w:val="24"/>
        </w:rPr>
        <w:t>Iapichino</w:t>
      </w:r>
      <w:proofErr w:type="spellEnd"/>
      <w:r w:rsidRPr="00BE3FEF">
        <w:rPr>
          <w:rFonts w:ascii="Calibri" w:hAnsi="Calibri" w:cs="Calibri"/>
          <w:sz w:val="24"/>
          <w:szCs w:val="24"/>
        </w:rPr>
        <w:t xml:space="preserve"> G, </w:t>
      </w:r>
      <w:proofErr w:type="spellStart"/>
      <w:r w:rsidRPr="00BE3FEF">
        <w:rPr>
          <w:rFonts w:ascii="Calibri" w:hAnsi="Calibri" w:cs="Calibri"/>
          <w:sz w:val="24"/>
          <w:szCs w:val="24"/>
        </w:rPr>
        <w:t>Carenzo</w:t>
      </w:r>
      <w:proofErr w:type="spellEnd"/>
      <w:r w:rsidRPr="00BE3FEF">
        <w:rPr>
          <w:rFonts w:ascii="Calibri" w:hAnsi="Calibri" w:cs="Calibri"/>
          <w:sz w:val="24"/>
          <w:szCs w:val="24"/>
        </w:rPr>
        <w:t xml:space="preserve"> L, et al. Venous and arterial thromboembolic complications in COVID-19 patients admitted to an academic hospital in Milan, Italy. </w:t>
      </w:r>
      <w:proofErr w:type="spellStart"/>
      <w:r w:rsidRPr="00BE3FEF">
        <w:rPr>
          <w:rFonts w:ascii="Calibri" w:hAnsi="Calibri" w:cs="Calibri"/>
          <w:sz w:val="24"/>
          <w:szCs w:val="24"/>
        </w:rPr>
        <w:t>Thromb</w:t>
      </w:r>
      <w:proofErr w:type="spellEnd"/>
      <w:r w:rsidRPr="00BE3FEF">
        <w:rPr>
          <w:rFonts w:ascii="Calibri" w:hAnsi="Calibri" w:cs="Calibri"/>
          <w:sz w:val="24"/>
          <w:szCs w:val="24"/>
        </w:rPr>
        <w:t xml:space="preserve"> Res. 2020</w:t>
      </w:r>
      <w:proofErr w:type="gramStart"/>
      <w:r w:rsidRPr="00BE3FEF">
        <w:rPr>
          <w:rFonts w:ascii="Calibri" w:hAnsi="Calibri" w:cs="Calibri"/>
          <w:sz w:val="24"/>
          <w:szCs w:val="24"/>
        </w:rPr>
        <w:t>;191:9</w:t>
      </w:r>
      <w:proofErr w:type="gramEnd"/>
      <w:r w:rsidRPr="00BE3FEF">
        <w:rPr>
          <w:rFonts w:ascii="Calibri" w:hAnsi="Calibri" w:cs="Calibri"/>
          <w:sz w:val="24"/>
          <w:szCs w:val="24"/>
        </w:rPr>
        <w:t>-14. doi:10.1016/j.thromres.2020.04.024</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lastRenderedPageBreak/>
        <w:t xml:space="preserve">28. </w:t>
      </w:r>
      <w:r w:rsidRPr="00BE3FEF">
        <w:rPr>
          <w:rFonts w:ascii="Calibri" w:hAnsi="Calibri" w:cs="Calibri"/>
          <w:sz w:val="24"/>
          <w:szCs w:val="24"/>
        </w:rPr>
        <w:tab/>
        <w:t xml:space="preserve">Mehta V, </w:t>
      </w:r>
      <w:proofErr w:type="spellStart"/>
      <w:r w:rsidRPr="00BE3FEF">
        <w:rPr>
          <w:rFonts w:ascii="Calibri" w:hAnsi="Calibri" w:cs="Calibri"/>
          <w:sz w:val="24"/>
          <w:szCs w:val="24"/>
        </w:rPr>
        <w:t>Goel</w:t>
      </w:r>
      <w:proofErr w:type="spellEnd"/>
      <w:r w:rsidRPr="00BE3FEF">
        <w:rPr>
          <w:rFonts w:ascii="Calibri" w:hAnsi="Calibri" w:cs="Calibri"/>
          <w:sz w:val="24"/>
          <w:szCs w:val="24"/>
        </w:rPr>
        <w:t xml:space="preserve"> S, </w:t>
      </w:r>
      <w:proofErr w:type="spellStart"/>
      <w:r w:rsidRPr="00BE3FEF">
        <w:rPr>
          <w:rFonts w:ascii="Calibri" w:hAnsi="Calibri" w:cs="Calibri"/>
          <w:sz w:val="24"/>
          <w:szCs w:val="24"/>
        </w:rPr>
        <w:t>Kabarriti</w:t>
      </w:r>
      <w:proofErr w:type="spellEnd"/>
      <w:r w:rsidRPr="00BE3FEF">
        <w:rPr>
          <w:rFonts w:ascii="Calibri" w:hAnsi="Calibri" w:cs="Calibri"/>
          <w:sz w:val="24"/>
          <w:szCs w:val="24"/>
        </w:rPr>
        <w:t xml:space="preserve"> R, et al. Case Fatality Rate of Cancer Patients with COVID-19 in a New York Hospital System. Cancer </w:t>
      </w:r>
      <w:proofErr w:type="spellStart"/>
      <w:r w:rsidRPr="00BE3FEF">
        <w:rPr>
          <w:rFonts w:ascii="Calibri" w:hAnsi="Calibri" w:cs="Calibri"/>
          <w:sz w:val="24"/>
          <w:szCs w:val="24"/>
        </w:rPr>
        <w:t>Discov</w:t>
      </w:r>
      <w:proofErr w:type="spellEnd"/>
      <w:r w:rsidRPr="00BE3FEF">
        <w:rPr>
          <w:rFonts w:ascii="Calibri" w:hAnsi="Calibri" w:cs="Calibri"/>
          <w:sz w:val="24"/>
          <w:szCs w:val="24"/>
        </w:rPr>
        <w:t>. Published online May 1, 2020</w:t>
      </w:r>
      <w:proofErr w:type="gramStart"/>
      <w:r w:rsidRPr="00BE3FEF">
        <w:rPr>
          <w:rFonts w:ascii="Calibri" w:hAnsi="Calibri" w:cs="Calibri"/>
          <w:sz w:val="24"/>
          <w:szCs w:val="24"/>
        </w:rPr>
        <w:t>:CD</w:t>
      </w:r>
      <w:proofErr w:type="gramEnd"/>
      <w:r w:rsidRPr="00BE3FEF">
        <w:rPr>
          <w:rFonts w:ascii="Calibri" w:hAnsi="Calibri" w:cs="Calibri"/>
          <w:sz w:val="24"/>
          <w:szCs w:val="24"/>
        </w:rPr>
        <w:t>-20-0516. doi:10.1158/2159-8290.CD-20-0516</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29. </w:t>
      </w:r>
      <w:r w:rsidRPr="00BE3FEF">
        <w:rPr>
          <w:rFonts w:ascii="Calibri" w:hAnsi="Calibri" w:cs="Calibri"/>
          <w:sz w:val="24"/>
          <w:szCs w:val="24"/>
        </w:rPr>
        <w:tab/>
      </w:r>
      <w:proofErr w:type="spellStart"/>
      <w:r w:rsidRPr="00BE3FEF">
        <w:rPr>
          <w:rFonts w:ascii="Calibri" w:hAnsi="Calibri" w:cs="Calibri"/>
          <w:sz w:val="24"/>
          <w:szCs w:val="24"/>
        </w:rPr>
        <w:t>Nikpouraghdam</w:t>
      </w:r>
      <w:proofErr w:type="spellEnd"/>
      <w:r w:rsidRPr="00BE3FEF">
        <w:rPr>
          <w:rFonts w:ascii="Calibri" w:hAnsi="Calibri" w:cs="Calibri"/>
          <w:sz w:val="24"/>
          <w:szCs w:val="24"/>
        </w:rPr>
        <w:t xml:space="preserve"> M, </w:t>
      </w:r>
      <w:proofErr w:type="spellStart"/>
      <w:r w:rsidRPr="00BE3FEF">
        <w:rPr>
          <w:rFonts w:ascii="Calibri" w:hAnsi="Calibri" w:cs="Calibri"/>
          <w:sz w:val="24"/>
          <w:szCs w:val="24"/>
        </w:rPr>
        <w:t>Jalali</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Farahani</w:t>
      </w:r>
      <w:proofErr w:type="spellEnd"/>
      <w:r w:rsidRPr="00BE3FEF">
        <w:rPr>
          <w:rFonts w:ascii="Calibri" w:hAnsi="Calibri" w:cs="Calibri"/>
          <w:sz w:val="24"/>
          <w:szCs w:val="24"/>
        </w:rPr>
        <w:t xml:space="preserve"> A, </w:t>
      </w:r>
      <w:proofErr w:type="spellStart"/>
      <w:r w:rsidRPr="00BE3FEF">
        <w:rPr>
          <w:rFonts w:ascii="Calibri" w:hAnsi="Calibri" w:cs="Calibri"/>
          <w:sz w:val="24"/>
          <w:szCs w:val="24"/>
        </w:rPr>
        <w:t>Alishiri</w:t>
      </w:r>
      <w:proofErr w:type="spellEnd"/>
      <w:r w:rsidRPr="00BE3FEF">
        <w:rPr>
          <w:rFonts w:ascii="Calibri" w:hAnsi="Calibri" w:cs="Calibri"/>
          <w:sz w:val="24"/>
          <w:szCs w:val="24"/>
        </w:rPr>
        <w:t xml:space="preserve"> G, et al. Epidemiological characteristics of coronavirus disease 2019 (COVID-19) patients in IRAN: A single center study. J </w:t>
      </w:r>
      <w:proofErr w:type="spellStart"/>
      <w:r w:rsidRPr="00BE3FEF">
        <w:rPr>
          <w:rFonts w:ascii="Calibri" w:hAnsi="Calibri" w:cs="Calibri"/>
          <w:sz w:val="24"/>
          <w:szCs w:val="24"/>
        </w:rPr>
        <w:t>Clin</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Virol</w:t>
      </w:r>
      <w:proofErr w:type="spellEnd"/>
      <w:r w:rsidRPr="00BE3FEF">
        <w:rPr>
          <w:rFonts w:ascii="Calibri" w:hAnsi="Calibri" w:cs="Calibri"/>
          <w:sz w:val="24"/>
          <w:szCs w:val="24"/>
        </w:rPr>
        <w:t>. 2020</w:t>
      </w:r>
      <w:proofErr w:type="gramStart"/>
      <w:r w:rsidRPr="00BE3FEF">
        <w:rPr>
          <w:rFonts w:ascii="Calibri" w:hAnsi="Calibri" w:cs="Calibri"/>
          <w:sz w:val="24"/>
          <w:szCs w:val="24"/>
        </w:rPr>
        <w:t>;127:104378</w:t>
      </w:r>
      <w:proofErr w:type="gramEnd"/>
      <w:r w:rsidRPr="00BE3FEF">
        <w:rPr>
          <w:rFonts w:ascii="Calibri" w:hAnsi="Calibri" w:cs="Calibri"/>
          <w:sz w:val="24"/>
          <w:szCs w:val="24"/>
        </w:rPr>
        <w:t>. doi:10.1016/j.jcv.2020.104378</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30. </w:t>
      </w:r>
      <w:r w:rsidRPr="00BE3FEF">
        <w:rPr>
          <w:rFonts w:ascii="Calibri" w:hAnsi="Calibri" w:cs="Calibri"/>
          <w:sz w:val="24"/>
          <w:szCs w:val="24"/>
        </w:rPr>
        <w:tab/>
        <w:t>Pereira MR, Mohan S, Cohen DJ, et al. COVID‐19 in solid organ transplant recipients: Initial report from the US epicenter. Am J Transplant. Published online May 10, 2020:ajt.15941. doi:10.1111/ajt.15941</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31. </w:t>
      </w:r>
      <w:r w:rsidRPr="00BE3FEF">
        <w:rPr>
          <w:rFonts w:ascii="Calibri" w:hAnsi="Calibri" w:cs="Calibri"/>
          <w:sz w:val="24"/>
          <w:szCs w:val="24"/>
        </w:rPr>
        <w:tab/>
        <w:t xml:space="preserve">Richardson S, Hirsch JS, </w:t>
      </w:r>
      <w:proofErr w:type="spellStart"/>
      <w:r w:rsidRPr="00BE3FEF">
        <w:rPr>
          <w:rFonts w:ascii="Calibri" w:hAnsi="Calibri" w:cs="Calibri"/>
          <w:sz w:val="24"/>
          <w:szCs w:val="24"/>
        </w:rPr>
        <w:t>Narasimhan</w:t>
      </w:r>
      <w:proofErr w:type="spellEnd"/>
      <w:r w:rsidRPr="00BE3FEF">
        <w:rPr>
          <w:rFonts w:ascii="Calibri" w:hAnsi="Calibri" w:cs="Calibri"/>
          <w:sz w:val="24"/>
          <w:szCs w:val="24"/>
        </w:rPr>
        <w:t xml:space="preserve"> M, et al. Presenting Characteristics, Comorbidities, and Outcomes Among 5700 Patients Hospitalized With COVID-19 in the New York City Area. JAMA. Published online April 22, 2020. doi:10.1001/jama.2020.6775</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32. </w:t>
      </w:r>
      <w:r w:rsidRPr="00BE3FEF">
        <w:rPr>
          <w:rFonts w:ascii="Calibri" w:hAnsi="Calibri" w:cs="Calibri"/>
          <w:sz w:val="24"/>
          <w:szCs w:val="24"/>
        </w:rPr>
        <w:tab/>
        <w:t xml:space="preserve">Russell TW, </w:t>
      </w:r>
      <w:proofErr w:type="spellStart"/>
      <w:r w:rsidRPr="00BE3FEF">
        <w:rPr>
          <w:rFonts w:ascii="Calibri" w:hAnsi="Calibri" w:cs="Calibri"/>
          <w:sz w:val="24"/>
          <w:szCs w:val="24"/>
        </w:rPr>
        <w:t>Hellewell</w:t>
      </w:r>
      <w:proofErr w:type="spellEnd"/>
      <w:r w:rsidRPr="00BE3FEF">
        <w:rPr>
          <w:rFonts w:ascii="Calibri" w:hAnsi="Calibri" w:cs="Calibri"/>
          <w:sz w:val="24"/>
          <w:szCs w:val="24"/>
        </w:rPr>
        <w:t xml:space="preserve"> J, Jarvis CI, et al. Estimating the infection and case fatality ratio for coronavirus disease (COVID-19) using age-adjusted data from the outbreak on the Diamond Princess cruise ship, February 2020. </w:t>
      </w:r>
      <w:proofErr w:type="spellStart"/>
      <w:r w:rsidRPr="00BE3FEF">
        <w:rPr>
          <w:rFonts w:ascii="Calibri" w:hAnsi="Calibri" w:cs="Calibri"/>
          <w:sz w:val="24"/>
          <w:szCs w:val="24"/>
        </w:rPr>
        <w:t>Eurosurveillance</w:t>
      </w:r>
      <w:proofErr w:type="spellEnd"/>
      <w:r w:rsidRPr="00BE3FEF">
        <w:rPr>
          <w:rFonts w:ascii="Calibri" w:hAnsi="Calibri" w:cs="Calibri"/>
          <w:sz w:val="24"/>
          <w:szCs w:val="24"/>
        </w:rPr>
        <w:t>. 2020</w:t>
      </w:r>
      <w:proofErr w:type="gramStart"/>
      <w:r w:rsidRPr="00BE3FEF">
        <w:rPr>
          <w:rFonts w:ascii="Calibri" w:hAnsi="Calibri" w:cs="Calibri"/>
          <w:sz w:val="24"/>
          <w:szCs w:val="24"/>
        </w:rPr>
        <w:t>;25</w:t>
      </w:r>
      <w:proofErr w:type="gramEnd"/>
      <w:r w:rsidRPr="00BE3FEF">
        <w:rPr>
          <w:rFonts w:ascii="Calibri" w:hAnsi="Calibri" w:cs="Calibri"/>
          <w:sz w:val="24"/>
          <w:szCs w:val="24"/>
        </w:rPr>
        <w:t>(12). doi:10.2807/1560-7917.ES.2020.25.12.2000256</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33. </w:t>
      </w:r>
      <w:r w:rsidRPr="00BE3FEF">
        <w:rPr>
          <w:rFonts w:ascii="Calibri" w:hAnsi="Calibri" w:cs="Calibri"/>
          <w:sz w:val="24"/>
          <w:szCs w:val="24"/>
        </w:rPr>
        <w:tab/>
      </w:r>
      <w:proofErr w:type="spellStart"/>
      <w:r w:rsidRPr="00BE3FEF">
        <w:rPr>
          <w:rFonts w:ascii="Calibri" w:hAnsi="Calibri" w:cs="Calibri"/>
          <w:sz w:val="24"/>
          <w:szCs w:val="24"/>
        </w:rPr>
        <w:t>Tian</w:t>
      </w:r>
      <w:proofErr w:type="spellEnd"/>
      <w:r w:rsidRPr="00BE3FEF">
        <w:rPr>
          <w:rFonts w:ascii="Calibri" w:hAnsi="Calibri" w:cs="Calibri"/>
          <w:sz w:val="24"/>
          <w:szCs w:val="24"/>
        </w:rPr>
        <w:t xml:space="preserve"> S, Hu N, Lou J, et al. Characteristics of COVID-19 infection in Beijing. J Infect. 2020</w:t>
      </w:r>
      <w:proofErr w:type="gramStart"/>
      <w:r w:rsidRPr="00BE3FEF">
        <w:rPr>
          <w:rFonts w:ascii="Calibri" w:hAnsi="Calibri" w:cs="Calibri"/>
          <w:sz w:val="24"/>
          <w:szCs w:val="24"/>
        </w:rPr>
        <w:t>;80</w:t>
      </w:r>
      <w:proofErr w:type="gramEnd"/>
      <w:r w:rsidRPr="00BE3FEF">
        <w:rPr>
          <w:rFonts w:ascii="Calibri" w:hAnsi="Calibri" w:cs="Calibri"/>
          <w:sz w:val="24"/>
          <w:szCs w:val="24"/>
        </w:rPr>
        <w:t>(4):401-406. doi:10.1016/j.jinf.2020.02.018</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34. </w:t>
      </w:r>
      <w:r w:rsidRPr="00BE3FEF">
        <w:rPr>
          <w:rFonts w:ascii="Calibri" w:hAnsi="Calibri" w:cs="Calibri"/>
          <w:sz w:val="24"/>
          <w:szCs w:val="24"/>
        </w:rPr>
        <w:tab/>
        <w:t xml:space="preserve">Wang D, Yin Y, Hu C, et al. Clinical course and outcome of 107 patients infected with the novel coronavirus, SARS-CoV-2, discharged from two hospitals in Wuhan, China. </w:t>
      </w:r>
      <w:proofErr w:type="spellStart"/>
      <w:r w:rsidRPr="00BE3FEF">
        <w:rPr>
          <w:rFonts w:ascii="Calibri" w:hAnsi="Calibri" w:cs="Calibri"/>
          <w:sz w:val="24"/>
          <w:szCs w:val="24"/>
        </w:rPr>
        <w:t>Crit</w:t>
      </w:r>
      <w:proofErr w:type="spellEnd"/>
      <w:r w:rsidRPr="00BE3FEF">
        <w:rPr>
          <w:rFonts w:ascii="Calibri" w:hAnsi="Calibri" w:cs="Calibri"/>
          <w:sz w:val="24"/>
          <w:szCs w:val="24"/>
        </w:rPr>
        <w:t xml:space="preserve"> Care. 2020</w:t>
      </w:r>
      <w:proofErr w:type="gramStart"/>
      <w:r w:rsidRPr="00BE3FEF">
        <w:rPr>
          <w:rFonts w:ascii="Calibri" w:hAnsi="Calibri" w:cs="Calibri"/>
          <w:sz w:val="24"/>
          <w:szCs w:val="24"/>
        </w:rPr>
        <w:t>;24</w:t>
      </w:r>
      <w:proofErr w:type="gramEnd"/>
      <w:r w:rsidRPr="00BE3FEF">
        <w:rPr>
          <w:rFonts w:ascii="Calibri" w:hAnsi="Calibri" w:cs="Calibri"/>
          <w:sz w:val="24"/>
          <w:szCs w:val="24"/>
        </w:rPr>
        <w:t xml:space="preserve">(1):188. </w:t>
      </w:r>
      <w:proofErr w:type="gramStart"/>
      <w:r w:rsidRPr="00BE3FEF">
        <w:rPr>
          <w:rFonts w:ascii="Calibri" w:hAnsi="Calibri" w:cs="Calibri"/>
          <w:sz w:val="24"/>
          <w:szCs w:val="24"/>
        </w:rPr>
        <w:t>doi:</w:t>
      </w:r>
      <w:proofErr w:type="gramEnd"/>
      <w:r w:rsidRPr="00BE3FEF">
        <w:rPr>
          <w:rFonts w:ascii="Calibri" w:hAnsi="Calibri" w:cs="Calibri"/>
          <w:sz w:val="24"/>
          <w:szCs w:val="24"/>
        </w:rPr>
        <w:t>10.1186/s13054-020-02895-6</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35. </w:t>
      </w:r>
      <w:r w:rsidRPr="00BE3FEF">
        <w:rPr>
          <w:rFonts w:ascii="Calibri" w:hAnsi="Calibri" w:cs="Calibri"/>
          <w:sz w:val="24"/>
          <w:szCs w:val="24"/>
        </w:rPr>
        <w:tab/>
        <w:t>Wang L, He W, Yu X, et al. Coronavirus disease 2019 in elderly patients: Characteristics and prognostic factors based on 4-week follow-up. J Infect. Published online March 2020:S0163445320301468. doi:10.1016/j.jinf.2020.03.019</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36. </w:t>
      </w:r>
      <w:r w:rsidRPr="00BE3FEF">
        <w:rPr>
          <w:rFonts w:ascii="Calibri" w:hAnsi="Calibri" w:cs="Calibri"/>
          <w:sz w:val="24"/>
          <w:szCs w:val="24"/>
        </w:rPr>
        <w:tab/>
        <w:t xml:space="preserve">Wang W, Tang J, Wei F. Updated understanding of the outbreak of 2019 novel coronavirus (2019-nCoV) in Wuhan, China. J Med </w:t>
      </w:r>
      <w:proofErr w:type="spellStart"/>
      <w:r w:rsidRPr="00BE3FEF">
        <w:rPr>
          <w:rFonts w:ascii="Calibri" w:hAnsi="Calibri" w:cs="Calibri"/>
          <w:sz w:val="24"/>
          <w:szCs w:val="24"/>
        </w:rPr>
        <w:t>Virol</w:t>
      </w:r>
      <w:proofErr w:type="spellEnd"/>
      <w:r w:rsidRPr="00BE3FEF">
        <w:rPr>
          <w:rFonts w:ascii="Calibri" w:hAnsi="Calibri" w:cs="Calibri"/>
          <w:sz w:val="24"/>
          <w:szCs w:val="24"/>
        </w:rPr>
        <w:t>. 2020</w:t>
      </w:r>
      <w:proofErr w:type="gramStart"/>
      <w:r w:rsidRPr="00BE3FEF">
        <w:rPr>
          <w:rFonts w:ascii="Calibri" w:hAnsi="Calibri" w:cs="Calibri"/>
          <w:sz w:val="24"/>
          <w:szCs w:val="24"/>
        </w:rPr>
        <w:t>;92</w:t>
      </w:r>
      <w:proofErr w:type="gramEnd"/>
      <w:r w:rsidRPr="00BE3FEF">
        <w:rPr>
          <w:rFonts w:ascii="Calibri" w:hAnsi="Calibri" w:cs="Calibri"/>
          <w:sz w:val="24"/>
          <w:szCs w:val="24"/>
        </w:rPr>
        <w:t>(4):441-447. doi:10.1002/jmv.25689</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37. </w:t>
      </w:r>
      <w:r w:rsidRPr="00BE3FEF">
        <w:rPr>
          <w:rFonts w:ascii="Calibri" w:hAnsi="Calibri" w:cs="Calibri"/>
          <w:sz w:val="24"/>
          <w:szCs w:val="24"/>
        </w:rPr>
        <w:tab/>
        <w:t xml:space="preserve">Yang R, </w:t>
      </w:r>
      <w:proofErr w:type="spellStart"/>
      <w:proofErr w:type="gramStart"/>
      <w:r w:rsidRPr="00BE3FEF">
        <w:rPr>
          <w:rFonts w:ascii="Calibri" w:hAnsi="Calibri" w:cs="Calibri"/>
          <w:sz w:val="24"/>
          <w:szCs w:val="24"/>
        </w:rPr>
        <w:t>Gui</w:t>
      </w:r>
      <w:proofErr w:type="spellEnd"/>
      <w:proofErr w:type="gramEnd"/>
      <w:r w:rsidRPr="00BE3FEF">
        <w:rPr>
          <w:rFonts w:ascii="Calibri" w:hAnsi="Calibri" w:cs="Calibri"/>
          <w:sz w:val="24"/>
          <w:szCs w:val="24"/>
        </w:rPr>
        <w:t xml:space="preserve"> X, Zhang Y, </w:t>
      </w:r>
      <w:proofErr w:type="spellStart"/>
      <w:r w:rsidRPr="00BE3FEF">
        <w:rPr>
          <w:rFonts w:ascii="Calibri" w:hAnsi="Calibri" w:cs="Calibri"/>
          <w:sz w:val="24"/>
          <w:szCs w:val="24"/>
        </w:rPr>
        <w:t>Xiong</w:t>
      </w:r>
      <w:proofErr w:type="spellEnd"/>
      <w:r w:rsidRPr="00BE3FEF">
        <w:rPr>
          <w:rFonts w:ascii="Calibri" w:hAnsi="Calibri" w:cs="Calibri"/>
          <w:sz w:val="24"/>
          <w:szCs w:val="24"/>
        </w:rPr>
        <w:t xml:space="preserve"> Y. The role of essential organ-based comorbidities in the prognosis of COVID-19 infection patients. Expert Rev </w:t>
      </w:r>
      <w:proofErr w:type="spellStart"/>
      <w:r w:rsidRPr="00BE3FEF">
        <w:rPr>
          <w:rFonts w:ascii="Calibri" w:hAnsi="Calibri" w:cs="Calibri"/>
          <w:sz w:val="24"/>
          <w:szCs w:val="24"/>
        </w:rPr>
        <w:t>Respir</w:t>
      </w:r>
      <w:proofErr w:type="spellEnd"/>
      <w:r w:rsidRPr="00BE3FEF">
        <w:rPr>
          <w:rFonts w:ascii="Calibri" w:hAnsi="Calibri" w:cs="Calibri"/>
          <w:sz w:val="24"/>
          <w:szCs w:val="24"/>
        </w:rPr>
        <w:t xml:space="preserve"> Med. Published online April 28, 2020:1-4. doi:10.1080/17476348.2020.1761791</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lastRenderedPageBreak/>
        <w:t xml:space="preserve">38. </w:t>
      </w:r>
      <w:r w:rsidRPr="00BE3FEF">
        <w:rPr>
          <w:rFonts w:ascii="Calibri" w:hAnsi="Calibri" w:cs="Calibri"/>
          <w:sz w:val="24"/>
          <w:szCs w:val="24"/>
        </w:rPr>
        <w:tab/>
        <w:t xml:space="preserve">Yao N, Wang S, </w:t>
      </w:r>
      <w:proofErr w:type="spellStart"/>
      <w:r w:rsidRPr="00BE3FEF">
        <w:rPr>
          <w:rFonts w:ascii="Calibri" w:hAnsi="Calibri" w:cs="Calibri"/>
          <w:sz w:val="24"/>
          <w:szCs w:val="24"/>
        </w:rPr>
        <w:t>Lian</w:t>
      </w:r>
      <w:proofErr w:type="spellEnd"/>
      <w:r w:rsidRPr="00BE3FEF">
        <w:rPr>
          <w:rFonts w:ascii="Calibri" w:hAnsi="Calibri" w:cs="Calibri"/>
          <w:sz w:val="24"/>
          <w:szCs w:val="24"/>
        </w:rPr>
        <w:t xml:space="preserve"> J, et al. Clinical characteristics and influencing factors of patients with novel coronavirus pneumonia combined with liver injury in Shaanxi region. </w:t>
      </w:r>
      <w:proofErr w:type="spellStart"/>
      <w:r w:rsidRPr="00BE3FEF">
        <w:rPr>
          <w:rFonts w:ascii="Calibri" w:hAnsi="Calibri" w:cs="Calibri"/>
          <w:sz w:val="24"/>
          <w:szCs w:val="24"/>
        </w:rPr>
        <w:t>Zhonghua</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Gan</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Zang</w:t>
      </w:r>
      <w:proofErr w:type="spellEnd"/>
      <w:r w:rsidRPr="00BE3FEF">
        <w:rPr>
          <w:rFonts w:ascii="Calibri" w:hAnsi="Calibri" w:cs="Calibri"/>
          <w:sz w:val="24"/>
          <w:szCs w:val="24"/>
        </w:rPr>
        <w:t xml:space="preserve"> Bing </w:t>
      </w:r>
      <w:proofErr w:type="spellStart"/>
      <w:r w:rsidRPr="00BE3FEF">
        <w:rPr>
          <w:rFonts w:ascii="Calibri" w:hAnsi="Calibri" w:cs="Calibri"/>
          <w:sz w:val="24"/>
          <w:szCs w:val="24"/>
        </w:rPr>
        <w:t>Za</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Zhi</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Zhonghua</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Ganzangbing</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Zazhi</w:t>
      </w:r>
      <w:proofErr w:type="spellEnd"/>
      <w:r w:rsidRPr="00BE3FEF">
        <w:rPr>
          <w:rFonts w:ascii="Calibri" w:hAnsi="Calibri" w:cs="Calibri"/>
          <w:sz w:val="24"/>
          <w:szCs w:val="24"/>
        </w:rPr>
        <w:t xml:space="preserve"> Chin J </w:t>
      </w:r>
      <w:proofErr w:type="spellStart"/>
      <w:r w:rsidRPr="00BE3FEF">
        <w:rPr>
          <w:rFonts w:ascii="Calibri" w:hAnsi="Calibri" w:cs="Calibri"/>
          <w:sz w:val="24"/>
          <w:szCs w:val="24"/>
        </w:rPr>
        <w:t>Hepatol</w:t>
      </w:r>
      <w:proofErr w:type="spellEnd"/>
      <w:r w:rsidRPr="00BE3FEF">
        <w:rPr>
          <w:rFonts w:ascii="Calibri" w:hAnsi="Calibri" w:cs="Calibri"/>
          <w:sz w:val="24"/>
          <w:szCs w:val="24"/>
        </w:rPr>
        <w:t>. 2020</w:t>
      </w:r>
      <w:proofErr w:type="gramStart"/>
      <w:r w:rsidRPr="00BE3FEF">
        <w:rPr>
          <w:rFonts w:ascii="Calibri" w:hAnsi="Calibri" w:cs="Calibri"/>
          <w:sz w:val="24"/>
          <w:szCs w:val="24"/>
        </w:rPr>
        <w:t>;28:E003</w:t>
      </w:r>
      <w:proofErr w:type="gramEnd"/>
      <w:r w:rsidRPr="00BE3FEF">
        <w:rPr>
          <w:rFonts w:ascii="Calibri" w:hAnsi="Calibri" w:cs="Calibri"/>
          <w:sz w:val="24"/>
          <w:szCs w:val="24"/>
        </w:rPr>
        <w:t>. doi:10.3760/cma.j.cn501113-20200226-00070</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39. </w:t>
      </w:r>
      <w:r w:rsidRPr="00BE3FEF">
        <w:rPr>
          <w:rFonts w:ascii="Calibri" w:hAnsi="Calibri" w:cs="Calibri"/>
          <w:sz w:val="24"/>
          <w:szCs w:val="24"/>
        </w:rPr>
        <w:tab/>
        <w:t xml:space="preserve">Yao Q, Wang P, Wang X, et al. Retrospective study of risk factors for severe SARS-Cov-2 infections in hospitalized adult patients. Pol Arch Intern Med. </w:t>
      </w:r>
      <w:proofErr w:type="gramStart"/>
      <w:r w:rsidRPr="00BE3FEF">
        <w:rPr>
          <w:rFonts w:ascii="Calibri" w:hAnsi="Calibri" w:cs="Calibri"/>
          <w:sz w:val="24"/>
          <w:szCs w:val="24"/>
        </w:rPr>
        <w:t>Published</w:t>
      </w:r>
      <w:proofErr w:type="gramEnd"/>
      <w:r w:rsidRPr="00BE3FEF">
        <w:rPr>
          <w:rFonts w:ascii="Calibri" w:hAnsi="Calibri" w:cs="Calibri"/>
          <w:sz w:val="24"/>
          <w:szCs w:val="24"/>
        </w:rPr>
        <w:t xml:space="preserve"> online April 24, 2020. doi:10.20452/pamw.15312</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40. </w:t>
      </w:r>
      <w:r w:rsidRPr="00BE3FEF">
        <w:rPr>
          <w:rFonts w:ascii="Calibri" w:hAnsi="Calibri" w:cs="Calibri"/>
          <w:sz w:val="24"/>
          <w:szCs w:val="24"/>
        </w:rPr>
        <w:tab/>
        <w:t xml:space="preserve">Yu X, Sun X, Cui P, et al. Epidemiological and clinical characteristics of 333 confirmed cases with coronavirus disease 2019 in Shanghai, China. </w:t>
      </w:r>
      <w:proofErr w:type="spellStart"/>
      <w:r w:rsidRPr="00BE3FEF">
        <w:rPr>
          <w:rFonts w:ascii="Calibri" w:hAnsi="Calibri" w:cs="Calibri"/>
          <w:sz w:val="24"/>
          <w:szCs w:val="24"/>
        </w:rPr>
        <w:t>Transbound</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Emerg</w:t>
      </w:r>
      <w:proofErr w:type="spellEnd"/>
      <w:r w:rsidRPr="00BE3FEF">
        <w:rPr>
          <w:rFonts w:ascii="Calibri" w:hAnsi="Calibri" w:cs="Calibri"/>
          <w:sz w:val="24"/>
          <w:szCs w:val="24"/>
        </w:rPr>
        <w:t xml:space="preserve"> Dis. </w:t>
      </w:r>
      <w:proofErr w:type="gramStart"/>
      <w:r w:rsidRPr="00BE3FEF">
        <w:rPr>
          <w:rFonts w:ascii="Calibri" w:hAnsi="Calibri" w:cs="Calibri"/>
          <w:sz w:val="24"/>
          <w:szCs w:val="24"/>
        </w:rPr>
        <w:t>Published</w:t>
      </w:r>
      <w:proofErr w:type="gramEnd"/>
      <w:r w:rsidRPr="00BE3FEF">
        <w:rPr>
          <w:rFonts w:ascii="Calibri" w:hAnsi="Calibri" w:cs="Calibri"/>
          <w:sz w:val="24"/>
          <w:szCs w:val="24"/>
        </w:rPr>
        <w:t xml:space="preserve"> online May 13, 2020:tbed.13604. doi:10.1111/tbed.13604</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41. </w:t>
      </w:r>
      <w:r w:rsidRPr="00BE3FEF">
        <w:rPr>
          <w:rFonts w:ascii="Calibri" w:hAnsi="Calibri" w:cs="Calibri"/>
          <w:sz w:val="24"/>
          <w:szCs w:val="24"/>
        </w:rPr>
        <w:tab/>
        <w:t xml:space="preserve">Zhang G, Zhang J, Wang B, Zhu X, Wang Q, </w:t>
      </w:r>
      <w:proofErr w:type="spellStart"/>
      <w:r w:rsidRPr="00BE3FEF">
        <w:rPr>
          <w:rFonts w:ascii="Calibri" w:hAnsi="Calibri" w:cs="Calibri"/>
          <w:sz w:val="24"/>
          <w:szCs w:val="24"/>
        </w:rPr>
        <w:t>Qiu</w:t>
      </w:r>
      <w:proofErr w:type="spellEnd"/>
      <w:r w:rsidRPr="00BE3FEF">
        <w:rPr>
          <w:rFonts w:ascii="Calibri" w:hAnsi="Calibri" w:cs="Calibri"/>
          <w:sz w:val="24"/>
          <w:szCs w:val="24"/>
        </w:rPr>
        <w:t xml:space="preserve"> S. Analysis of clinical characteristics and laboratory findings of 95 cases of 2019 novel coronavirus pneumonia in Wuhan, China: a retrospective analysis. </w:t>
      </w:r>
      <w:proofErr w:type="spellStart"/>
      <w:r w:rsidRPr="00BE3FEF">
        <w:rPr>
          <w:rFonts w:ascii="Calibri" w:hAnsi="Calibri" w:cs="Calibri"/>
          <w:sz w:val="24"/>
          <w:szCs w:val="24"/>
        </w:rPr>
        <w:t>Respir</w:t>
      </w:r>
      <w:proofErr w:type="spellEnd"/>
      <w:r w:rsidRPr="00BE3FEF">
        <w:rPr>
          <w:rFonts w:ascii="Calibri" w:hAnsi="Calibri" w:cs="Calibri"/>
          <w:sz w:val="24"/>
          <w:szCs w:val="24"/>
        </w:rPr>
        <w:t xml:space="preserve"> Res. 2020</w:t>
      </w:r>
      <w:proofErr w:type="gramStart"/>
      <w:r w:rsidRPr="00BE3FEF">
        <w:rPr>
          <w:rFonts w:ascii="Calibri" w:hAnsi="Calibri" w:cs="Calibri"/>
          <w:sz w:val="24"/>
          <w:szCs w:val="24"/>
        </w:rPr>
        <w:t>;21</w:t>
      </w:r>
      <w:proofErr w:type="gramEnd"/>
      <w:r w:rsidRPr="00BE3FEF">
        <w:rPr>
          <w:rFonts w:ascii="Calibri" w:hAnsi="Calibri" w:cs="Calibri"/>
          <w:sz w:val="24"/>
          <w:szCs w:val="24"/>
        </w:rPr>
        <w:t xml:space="preserve">(1):74. </w:t>
      </w:r>
      <w:proofErr w:type="gramStart"/>
      <w:r w:rsidRPr="00BE3FEF">
        <w:rPr>
          <w:rFonts w:ascii="Calibri" w:hAnsi="Calibri" w:cs="Calibri"/>
          <w:sz w:val="24"/>
          <w:szCs w:val="24"/>
        </w:rPr>
        <w:t>doi:</w:t>
      </w:r>
      <w:proofErr w:type="gramEnd"/>
      <w:r w:rsidRPr="00BE3FEF">
        <w:rPr>
          <w:rFonts w:ascii="Calibri" w:hAnsi="Calibri" w:cs="Calibri"/>
          <w:sz w:val="24"/>
          <w:szCs w:val="24"/>
        </w:rPr>
        <w:t>10.1186/s12931-020-01338-8</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42. </w:t>
      </w:r>
      <w:r w:rsidRPr="00BE3FEF">
        <w:rPr>
          <w:rFonts w:ascii="Calibri" w:hAnsi="Calibri" w:cs="Calibri"/>
          <w:sz w:val="24"/>
          <w:szCs w:val="24"/>
        </w:rPr>
        <w:tab/>
        <w:t xml:space="preserve">Zhang G, Hu C, </w:t>
      </w:r>
      <w:proofErr w:type="spellStart"/>
      <w:r w:rsidRPr="00BE3FEF">
        <w:rPr>
          <w:rFonts w:ascii="Calibri" w:hAnsi="Calibri" w:cs="Calibri"/>
          <w:sz w:val="24"/>
          <w:szCs w:val="24"/>
        </w:rPr>
        <w:t>Luo</w:t>
      </w:r>
      <w:proofErr w:type="spellEnd"/>
      <w:r w:rsidRPr="00BE3FEF">
        <w:rPr>
          <w:rFonts w:ascii="Calibri" w:hAnsi="Calibri" w:cs="Calibri"/>
          <w:sz w:val="24"/>
          <w:szCs w:val="24"/>
        </w:rPr>
        <w:t xml:space="preserve"> L, et al. Clinical features and short-term outcomes of 221 patients with COVID-19 in Wuhan, China. J </w:t>
      </w:r>
      <w:proofErr w:type="spellStart"/>
      <w:r w:rsidRPr="00BE3FEF">
        <w:rPr>
          <w:rFonts w:ascii="Calibri" w:hAnsi="Calibri" w:cs="Calibri"/>
          <w:sz w:val="24"/>
          <w:szCs w:val="24"/>
        </w:rPr>
        <w:t>Clin</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Virol</w:t>
      </w:r>
      <w:proofErr w:type="spellEnd"/>
      <w:r w:rsidRPr="00BE3FEF">
        <w:rPr>
          <w:rFonts w:ascii="Calibri" w:hAnsi="Calibri" w:cs="Calibri"/>
          <w:sz w:val="24"/>
          <w:szCs w:val="24"/>
        </w:rPr>
        <w:t>. 2020</w:t>
      </w:r>
      <w:proofErr w:type="gramStart"/>
      <w:r w:rsidRPr="00BE3FEF">
        <w:rPr>
          <w:rFonts w:ascii="Calibri" w:hAnsi="Calibri" w:cs="Calibri"/>
          <w:sz w:val="24"/>
          <w:szCs w:val="24"/>
        </w:rPr>
        <w:t>;127:104364</w:t>
      </w:r>
      <w:proofErr w:type="gramEnd"/>
      <w:r w:rsidRPr="00BE3FEF">
        <w:rPr>
          <w:rFonts w:ascii="Calibri" w:hAnsi="Calibri" w:cs="Calibri"/>
          <w:sz w:val="24"/>
          <w:szCs w:val="24"/>
        </w:rPr>
        <w:t>. doi:10.1016/j.jcv.2020.104364</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43. </w:t>
      </w:r>
      <w:r w:rsidRPr="00BE3FEF">
        <w:rPr>
          <w:rFonts w:ascii="Calibri" w:hAnsi="Calibri" w:cs="Calibri"/>
          <w:sz w:val="24"/>
          <w:szCs w:val="24"/>
        </w:rPr>
        <w:tab/>
        <w:t xml:space="preserve">Zhang J, Wang X, </w:t>
      </w:r>
      <w:proofErr w:type="spellStart"/>
      <w:r w:rsidRPr="00BE3FEF">
        <w:rPr>
          <w:rFonts w:ascii="Calibri" w:hAnsi="Calibri" w:cs="Calibri"/>
          <w:sz w:val="24"/>
          <w:szCs w:val="24"/>
        </w:rPr>
        <w:t>Jia</w:t>
      </w:r>
      <w:proofErr w:type="spellEnd"/>
      <w:r w:rsidRPr="00BE3FEF">
        <w:rPr>
          <w:rFonts w:ascii="Calibri" w:hAnsi="Calibri" w:cs="Calibri"/>
          <w:sz w:val="24"/>
          <w:szCs w:val="24"/>
        </w:rPr>
        <w:t xml:space="preserve"> X, et al. Risk factors for disease severity, </w:t>
      </w:r>
      <w:proofErr w:type="spellStart"/>
      <w:r w:rsidRPr="00BE3FEF">
        <w:rPr>
          <w:rFonts w:ascii="Calibri" w:hAnsi="Calibri" w:cs="Calibri"/>
          <w:sz w:val="24"/>
          <w:szCs w:val="24"/>
        </w:rPr>
        <w:t>unimprovement</w:t>
      </w:r>
      <w:proofErr w:type="spellEnd"/>
      <w:r w:rsidRPr="00BE3FEF">
        <w:rPr>
          <w:rFonts w:ascii="Calibri" w:hAnsi="Calibri" w:cs="Calibri"/>
          <w:sz w:val="24"/>
          <w:szCs w:val="24"/>
        </w:rPr>
        <w:t xml:space="preserve">, and mortality in COVID-19 patients in Wuhan, China. </w:t>
      </w:r>
      <w:proofErr w:type="spellStart"/>
      <w:r w:rsidRPr="00BE3FEF">
        <w:rPr>
          <w:rFonts w:ascii="Calibri" w:hAnsi="Calibri" w:cs="Calibri"/>
          <w:sz w:val="24"/>
          <w:szCs w:val="24"/>
        </w:rPr>
        <w:t>Clin</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Microbiol</w:t>
      </w:r>
      <w:proofErr w:type="spellEnd"/>
      <w:r w:rsidRPr="00BE3FEF">
        <w:rPr>
          <w:rFonts w:ascii="Calibri" w:hAnsi="Calibri" w:cs="Calibri"/>
          <w:sz w:val="24"/>
          <w:szCs w:val="24"/>
        </w:rPr>
        <w:t xml:space="preserve"> Infect. Published online April 2020:S1198743X20302172. doi:10.1016/j.cmi.2020.04.012</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44. </w:t>
      </w:r>
      <w:r w:rsidRPr="00BE3FEF">
        <w:rPr>
          <w:rFonts w:ascii="Calibri" w:hAnsi="Calibri" w:cs="Calibri"/>
          <w:sz w:val="24"/>
          <w:szCs w:val="24"/>
        </w:rPr>
        <w:tab/>
        <w:t xml:space="preserve">Zhang L, Zhu F, </w:t>
      </w:r>
      <w:proofErr w:type="spellStart"/>
      <w:r w:rsidRPr="00BE3FEF">
        <w:rPr>
          <w:rFonts w:ascii="Calibri" w:hAnsi="Calibri" w:cs="Calibri"/>
          <w:sz w:val="24"/>
          <w:szCs w:val="24"/>
        </w:rPr>
        <w:t>Xie</w:t>
      </w:r>
      <w:proofErr w:type="spellEnd"/>
      <w:r w:rsidRPr="00BE3FEF">
        <w:rPr>
          <w:rFonts w:ascii="Calibri" w:hAnsi="Calibri" w:cs="Calibri"/>
          <w:sz w:val="24"/>
          <w:szCs w:val="24"/>
        </w:rPr>
        <w:t xml:space="preserve"> L, et al. Clinical characteristics of COVID-19-infected cancer patients: a retrospective case study in three hospitals within Wuhan, China. Ann </w:t>
      </w:r>
      <w:proofErr w:type="spellStart"/>
      <w:r w:rsidRPr="00BE3FEF">
        <w:rPr>
          <w:rFonts w:ascii="Calibri" w:hAnsi="Calibri" w:cs="Calibri"/>
          <w:sz w:val="24"/>
          <w:szCs w:val="24"/>
        </w:rPr>
        <w:t>Oncol</w:t>
      </w:r>
      <w:proofErr w:type="spellEnd"/>
      <w:r w:rsidRPr="00BE3FEF">
        <w:rPr>
          <w:rFonts w:ascii="Calibri" w:hAnsi="Calibri" w:cs="Calibri"/>
          <w:sz w:val="24"/>
          <w:szCs w:val="24"/>
        </w:rPr>
        <w:t>. Published online March 2020:S0923753420363833. doi:10.1016/j.annonc.2020.03.296</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45. </w:t>
      </w:r>
      <w:r w:rsidRPr="00BE3FEF">
        <w:rPr>
          <w:rFonts w:ascii="Calibri" w:hAnsi="Calibri" w:cs="Calibri"/>
          <w:sz w:val="24"/>
          <w:szCs w:val="24"/>
        </w:rPr>
        <w:tab/>
        <w:t xml:space="preserve">Zhang YT, Deng AP, Hu T, et al. [Clinical outcomes of COVID-19 cases and influencing factors in Guangdong province]. </w:t>
      </w:r>
      <w:proofErr w:type="spellStart"/>
      <w:r w:rsidRPr="00BE3FEF">
        <w:rPr>
          <w:rFonts w:ascii="Calibri" w:hAnsi="Calibri" w:cs="Calibri"/>
          <w:sz w:val="24"/>
          <w:szCs w:val="24"/>
        </w:rPr>
        <w:t>Zhonghua</w:t>
      </w:r>
      <w:proofErr w:type="spellEnd"/>
      <w:r w:rsidRPr="00BE3FEF">
        <w:rPr>
          <w:rFonts w:ascii="Calibri" w:hAnsi="Calibri" w:cs="Calibri"/>
          <w:sz w:val="24"/>
          <w:szCs w:val="24"/>
        </w:rPr>
        <w:t xml:space="preserve"> Liu Xing Bing </w:t>
      </w:r>
      <w:proofErr w:type="spellStart"/>
      <w:r w:rsidRPr="00BE3FEF">
        <w:rPr>
          <w:rFonts w:ascii="Calibri" w:hAnsi="Calibri" w:cs="Calibri"/>
          <w:sz w:val="24"/>
          <w:szCs w:val="24"/>
        </w:rPr>
        <w:t>Xue</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Za</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Zhi</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Zhonghua</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Liuxingbingxue</w:t>
      </w:r>
      <w:proofErr w:type="spellEnd"/>
      <w:r w:rsidRPr="00BE3FEF">
        <w:rPr>
          <w:rFonts w:ascii="Calibri" w:hAnsi="Calibri" w:cs="Calibri"/>
          <w:sz w:val="24"/>
          <w:szCs w:val="24"/>
        </w:rPr>
        <w:t xml:space="preserve"> </w:t>
      </w:r>
      <w:proofErr w:type="spellStart"/>
      <w:r w:rsidRPr="00BE3FEF">
        <w:rPr>
          <w:rFonts w:ascii="Calibri" w:hAnsi="Calibri" w:cs="Calibri"/>
          <w:sz w:val="24"/>
          <w:szCs w:val="24"/>
        </w:rPr>
        <w:t>Zazhi</w:t>
      </w:r>
      <w:proofErr w:type="spellEnd"/>
      <w:r w:rsidRPr="00BE3FEF">
        <w:rPr>
          <w:rFonts w:ascii="Calibri" w:hAnsi="Calibri" w:cs="Calibri"/>
          <w:sz w:val="24"/>
          <w:szCs w:val="24"/>
        </w:rPr>
        <w:t>. 2020</w:t>
      </w:r>
      <w:proofErr w:type="gramStart"/>
      <w:r w:rsidRPr="00BE3FEF">
        <w:rPr>
          <w:rFonts w:ascii="Calibri" w:hAnsi="Calibri" w:cs="Calibri"/>
          <w:sz w:val="24"/>
          <w:szCs w:val="24"/>
        </w:rPr>
        <w:t>;41</w:t>
      </w:r>
      <w:proofErr w:type="gramEnd"/>
      <w:r w:rsidRPr="00BE3FEF">
        <w:rPr>
          <w:rFonts w:ascii="Calibri" w:hAnsi="Calibri" w:cs="Calibri"/>
          <w:sz w:val="24"/>
          <w:szCs w:val="24"/>
        </w:rPr>
        <w:t>(0):E057. doi:10.3760/cma.j.cn112338-20200318-00378</w:t>
      </w:r>
    </w:p>
    <w:p w:rsidR="00BE3FEF" w:rsidRPr="00BE3FEF" w:rsidRDefault="00BE3FEF" w:rsidP="00BE3FEF">
      <w:pPr>
        <w:spacing w:after="160" w:line="259" w:lineRule="auto"/>
        <w:rPr>
          <w:rFonts w:ascii="Calibri" w:hAnsi="Calibri" w:cs="Calibri"/>
          <w:sz w:val="24"/>
          <w:szCs w:val="24"/>
        </w:rPr>
      </w:pPr>
      <w:r w:rsidRPr="00BE3FEF">
        <w:rPr>
          <w:rFonts w:ascii="Calibri" w:hAnsi="Calibri" w:cs="Calibri"/>
          <w:sz w:val="24"/>
          <w:szCs w:val="24"/>
        </w:rPr>
        <w:t xml:space="preserve">46. </w:t>
      </w:r>
      <w:r w:rsidRPr="00BE3FEF">
        <w:rPr>
          <w:rFonts w:ascii="Calibri" w:hAnsi="Calibri" w:cs="Calibri"/>
          <w:sz w:val="24"/>
          <w:szCs w:val="24"/>
        </w:rPr>
        <w:tab/>
        <w:t xml:space="preserve">Zhao X-Y, </w:t>
      </w:r>
      <w:proofErr w:type="spellStart"/>
      <w:r w:rsidRPr="00BE3FEF">
        <w:rPr>
          <w:rFonts w:ascii="Calibri" w:hAnsi="Calibri" w:cs="Calibri"/>
          <w:sz w:val="24"/>
          <w:szCs w:val="24"/>
        </w:rPr>
        <w:t>Xu</w:t>
      </w:r>
      <w:proofErr w:type="spellEnd"/>
      <w:r w:rsidRPr="00BE3FEF">
        <w:rPr>
          <w:rFonts w:ascii="Calibri" w:hAnsi="Calibri" w:cs="Calibri"/>
          <w:sz w:val="24"/>
          <w:szCs w:val="24"/>
        </w:rPr>
        <w:t xml:space="preserve"> X-X, Yin H-S, et al. Clinical characteristics of patients with 2019 coronavirus disease in a non-Wuhan area of Hubei Province, China: a retrospective study. BMC Infect Dis. 2020</w:t>
      </w:r>
      <w:proofErr w:type="gramStart"/>
      <w:r w:rsidRPr="00BE3FEF">
        <w:rPr>
          <w:rFonts w:ascii="Calibri" w:hAnsi="Calibri" w:cs="Calibri"/>
          <w:sz w:val="24"/>
          <w:szCs w:val="24"/>
        </w:rPr>
        <w:t>;20</w:t>
      </w:r>
      <w:proofErr w:type="gramEnd"/>
      <w:r w:rsidRPr="00BE3FEF">
        <w:rPr>
          <w:rFonts w:ascii="Calibri" w:hAnsi="Calibri" w:cs="Calibri"/>
          <w:sz w:val="24"/>
          <w:szCs w:val="24"/>
        </w:rPr>
        <w:t xml:space="preserve">(1):311. </w:t>
      </w:r>
      <w:proofErr w:type="gramStart"/>
      <w:r w:rsidRPr="00BE3FEF">
        <w:rPr>
          <w:rFonts w:ascii="Calibri" w:hAnsi="Calibri" w:cs="Calibri"/>
          <w:sz w:val="24"/>
          <w:szCs w:val="24"/>
        </w:rPr>
        <w:t>doi:</w:t>
      </w:r>
      <w:proofErr w:type="gramEnd"/>
      <w:r w:rsidRPr="00BE3FEF">
        <w:rPr>
          <w:rFonts w:ascii="Calibri" w:hAnsi="Calibri" w:cs="Calibri"/>
          <w:sz w:val="24"/>
          <w:szCs w:val="24"/>
        </w:rPr>
        <w:t>10.1186/s12879-020-05010-w</w:t>
      </w:r>
    </w:p>
    <w:p w:rsidR="00AF6D0E" w:rsidRDefault="00AF6D0E">
      <w:pPr>
        <w:spacing w:after="160" w:line="259" w:lineRule="auto"/>
        <w:rPr>
          <w:rFonts w:ascii="Calibri" w:hAnsi="Calibri" w:cs="Calibri"/>
          <w:sz w:val="24"/>
          <w:szCs w:val="24"/>
        </w:rPr>
      </w:pPr>
      <w:r>
        <w:rPr>
          <w:rFonts w:ascii="Calibri" w:hAnsi="Calibri" w:cs="Calibri"/>
          <w:sz w:val="24"/>
          <w:szCs w:val="24"/>
        </w:rPr>
        <w:br w:type="page"/>
      </w:r>
    </w:p>
    <w:p w:rsidR="00CF00D9" w:rsidRDefault="00CF00D9">
      <w:pPr>
        <w:spacing w:after="160" w:line="259" w:lineRule="auto"/>
      </w:pPr>
      <w:r>
        <w:rPr>
          <w:rFonts w:ascii="Calibri" w:hAnsi="Calibri" w:cs="Calibri"/>
          <w:sz w:val="24"/>
          <w:szCs w:val="24"/>
        </w:rPr>
        <w:lastRenderedPageBreak/>
        <w:t>Supplementary Table S1.</w:t>
      </w:r>
      <w:r w:rsidRPr="00E149D6">
        <w:rPr>
          <w:rFonts w:ascii="Calibri" w:hAnsi="Calibri" w:cs="Calibri"/>
          <w:sz w:val="24"/>
          <w:szCs w:val="24"/>
        </w:rPr>
        <w:t xml:space="preserve"> </w:t>
      </w:r>
      <w:r w:rsidRPr="00CF00D9">
        <w:rPr>
          <w:rFonts w:ascii="Calibri" w:hAnsi="Calibri" w:cs="Calibri"/>
          <w:sz w:val="24"/>
          <w:szCs w:val="24"/>
        </w:rPr>
        <w:t>Characteristics of the studies included in meta-analysis</w:t>
      </w:r>
    </w:p>
    <w:tbl>
      <w:tblPr>
        <w:tblW w:w="14742" w:type="dxa"/>
        <w:tblInd w:w="-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3"/>
        <w:gridCol w:w="861"/>
        <w:gridCol w:w="2131"/>
        <w:gridCol w:w="1871"/>
        <w:gridCol w:w="1914"/>
        <w:gridCol w:w="1165"/>
        <w:gridCol w:w="1418"/>
        <w:gridCol w:w="992"/>
        <w:gridCol w:w="709"/>
        <w:gridCol w:w="1311"/>
        <w:gridCol w:w="1047"/>
      </w:tblGrid>
      <w:tr w:rsidR="00CF00D9" w:rsidRPr="004548EB" w:rsidTr="00CF00D9">
        <w:tc>
          <w:tcPr>
            <w:tcW w:w="1323" w:type="dxa"/>
            <w:shd w:val="clear" w:color="auto" w:fill="auto"/>
            <w:vAlign w:val="bottom"/>
          </w:tcPr>
          <w:p w:rsidR="00CF00D9" w:rsidRPr="004548EB" w:rsidRDefault="00CF00D9" w:rsidP="00CF00D9">
            <w:pPr>
              <w:jc w:val="center"/>
              <w:rPr>
                <w:rFonts w:ascii="Calibri" w:hAnsi="Calibri" w:cs="Calibri"/>
                <w:b/>
                <w:bCs/>
                <w:color w:val="auto"/>
                <w:kern w:val="0"/>
                <w:lang w:val="en-IN" w:eastAsia="en-IN"/>
              </w:rPr>
            </w:pPr>
            <w:r w:rsidRPr="004548EB">
              <w:rPr>
                <w:rFonts w:ascii="Calibri" w:hAnsi="Calibri" w:cs="Calibri"/>
                <w:b/>
                <w:bCs/>
                <w:color w:val="auto"/>
                <w:kern w:val="0"/>
                <w:lang w:val="en-IN" w:eastAsia="en-IN"/>
              </w:rPr>
              <w:t>Study name</w:t>
            </w:r>
          </w:p>
        </w:tc>
        <w:tc>
          <w:tcPr>
            <w:tcW w:w="861" w:type="dxa"/>
            <w:shd w:val="clear" w:color="auto" w:fill="auto"/>
            <w:vAlign w:val="bottom"/>
          </w:tcPr>
          <w:p w:rsidR="00CF00D9" w:rsidRPr="004548EB" w:rsidRDefault="00CF00D9" w:rsidP="00CF00D9">
            <w:pPr>
              <w:jc w:val="center"/>
              <w:rPr>
                <w:rFonts w:ascii="Calibri" w:hAnsi="Calibri" w:cs="Calibri"/>
                <w:kern w:val="0"/>
                <w:lang w:val="en-IN" w:eastAsia="en-IN"/>
              </w:rPr>
            </w:pPr>
            <w:r w:rsidRPr="004548EB">
              <w:rPr>
                <w:rFonts w:ascii="Calibri" w:hAnsi="Calibri" w:cs="Calibri"/>
                <w:b/>
                <w:bCs/>
                <w:color w:val="auto"/>
                <w:kern w:val="0"/>
                <w:lang w:val="en-IN" w:eastAsia="en-IN"/>
              </w:rPr>
              <w:t>Place</w:t>
            </w:r>
          </w:p>
        </w:tc>
        <w:tc>
          <w:tcPr>
            <w:tcW w:w="2131" w:type="dxa"/>
            <w:shd w:val="clear" w:color="auto" w:fill="auto"/>
          </w:tcPr>
          <w:p w:rsidR="00CF00D9" w:rsidRPr="004548EB" w:rsidRDefault="00CF00D9" w:rsidP="00CF00D9">
            <w:pPr>
              <w:jc w:val="center"/>
              <w:rPr>
                <w:rFonts w:ascii="Calibri" w:hAnsi="Calibri" w:cs="Calibri"/>
                <w:b/>
                <w:bCs/>
                <w:color w:val="auto"/>
                <w:kern w:val="0"/>
                <w:lang w:val="en-IN" w:eastAsia="en-IN"/>
              </w:rPr>
            </w:pPr>
            <w:r w:rsidRPr="004548EB">
              <w:rPr>
                <w:rFonts w:ascii="Calibri" w:hAnsi="Calibri" w:cs="Calibri"/>
                <w:b/>
                <w:bCs/>
                <w:color w:val="auto"/>
                <w:kern w:val="0"/>
                <w:lang w:val="en-IN" w:eastAsia="en-IN"/>
              </w:rPr>
              <w:t>Patients characteristics</w:t>
            </w:r>
          </w:p>
        </w:tc>
        <w:tc>
          <w:tcPr>
            <w:tcW w:w="1871" w:type="dxa"/>
            <w:shd w:val="clear" w:color="auto" w:fill="auto"/>
          </w:tcPr>
          <w:p w:rsidR="00CF00D9" w:rsidRPr="004548EB" w:rsidRDefault="00CF00D9" w:rsidP="00CF00D9">
            <w:pPr>
              <w:jc w:val="center"/>
              <w:rPr>
                <w:rFonts w:ascii="Calibri" w:hAnsi="Calibri" w:cs="Calibri"/>
                <w:b/>
                <w:bCs/>
                <w:color w:val="auto"/>
                <w:kern w:val="0"/>
                <w:lang w:val="en-IN" w:eastAsia="en-IN"/>
              </w:rPr>
            </w:pPr>
            <w:r w:rsidRPr="004548EB">
              <w:rPr>
                <w:rFonts w:ascii="Calibri" w:hAnsi="Calibri" w:cs="Calibri"/>
                <w:b/>
                <w:bCs/>
                <w:color w:val="auto"/>
                <w:kern w:val="0"/>
                <w:lang w:val="en-IN" w:eastAsia="en-IN"/>
              </w:rPr>
              <w:t>Type of study</w:t>
            </w:r>
          </w:p>
        </w:tc>
        <w:tc>
          <w:tcPr>
            <w:tcW w:w="1914" w:type="dxa"/>
            <w:shd w:val="clear" w:color="auto" w:fill="auto"/>
          </w:tcPr>
          <w:p w:rsidR="00CF00D9" w:rsidRPr="004548EB" w:rsidRDefault="00CF00D9" w:rsidP="00CF00D9">
            <w:pPr>
              <w:jc w:val="center"/>
              <w:rPr>
                <w:rFonts w:ascii="Calibri" w:hAnsi="Calibri" w:cs="Calibri"/>
                <w:b/>
                <w:bCs/>
                <w:color w:val="auto"/>
                <w:kern w:val="0"/>
                <w:lang w:val="en-IN" w:eastAsia="en-IN"/>
              </w:rPr>
            </w:pPr>
            <w:r w:rsidRPr="004548EB">
              <w:rPr>
                <w:rFonts w:ascii="Calibri" w:hAnsi="Calibri" w:cs="Calibri"/>
                <w:b/>
                <w:bCs/>
                <w:color w:val="auto"/>
                <w:kern w:val="0"/>
                <w:lang w:val="en-IN" w:eastAsia="en-IN"/>
              </w:rPr>
              <w:t>Study duration</w:t>
            </w:r>
          </w:p>
        </w:tc>
        <w:tc>
          <w:tcPr>
            <w:tcW w:w="1165" w:type="dxa"/>
          </w:tcPr>
          <w:p w:rsidR="00CF00D9" w:rsidRPr="004548EB" w:rsidRDefault="00CF00D9" w:rsidP="00CF00D9">
            <w:pPr>
              <w:rPr>
                <w:rFonts w:ascii="Calibri" w:hAnsi="Calibri" w:cs="Calibri"/>
                <w:b/>
                <w:bCs/>
                <w:color w:val="auto"/>
                <w:kern w:val="0"/>
                <w:lang w:val="en-IN" w:eastAsia="en-IN"/>
              </w:rPr>
            </w:pPr>
            <w:r>
              <w:rPr>
                <w:rFonts w:ascii="Calibri" w:hAnsi="Calibri" w:cs="Calibri"/>
                <w:b/>
                <w:bCs/>
                <w:color w:val="auto"/>
                <w:kern w:val="0"/>
                <w:lang w:val="en-IN" w:eastAsia="en-IN"/>
              </w:rPr>
              <w:t>Minimum Length of follow up (days)</w:t>
            </w:r>
          </w:p>
        </w:tc>
        <w:tc>
          <w:tcPr>
            <w:tcW w:w="1418" w:type="dxa"/>
            <w:shd w:val="clear" w:color="auto" w:fill="auto"/>
            <w:vAlign w:val="bottom"/>
          </w:tcPr>
          <w:p w:rsidR="00CF00D9" w:rsidRPr="004548EB" w:rsidRDefault="00CF00D9" w:rsidP="00CF00D9">
            <w:pPr>
              <w:jc w:val="center"/>
              <w:rPr>
                <w:rFonts w:ascii="Calibri" w:hAnsi="Calibri" w:cs="Calibri"/>
                <w:b/>
                <w:bCs/>
                <w:color w:val="auto"/>
                <w:kern w:val="0"/>
                <w:lang w:val="en-IN" w:eastAsia="en-IN"/>
              </w:rPr>
            </w:pPr>
            <w:r w:rsidRPr="004548EB">
              <w:rPr>
                <w:rFonts w:ascii="Calibri" w:hAnsi="Calibri" w:cs="Calibri"/>
                <w:b/>
                <w:bCs/>
                <w:color w:val="auto"/>
                <w:kern w:val="0"/>
                <w:lang w:val="en-IN" w:eastAsia="en-IN"/>
              </w:rPr>
              <w:t>Cut-off age for definition of old people (years)</w:t>
            </w:r>
          </w:p>
        </w:tc>
        <w:tc>
          <w:tcPr>
            <w:tcW w:w="992" w:type="dxa"/>
            <w:vAlign w:val="bottom"/>
          </w:tcPr>
          <w:p w:rsidR="00CF00D9" w:rsidRDefault="00CF00D9" w:rsidP="00CF00D9">
            <w:pPr>
              <w:jc w:val="center"/>
              <w:rPr>
                <w:rFonts w:ascii="Calibri" w:hAnsi="Calibri" w:cs="Calibri"/>
                <w:b/>
                <w:bCs/>
                <w:color w:val="auto"/>
                <w:kern w:val="0"/>
                <w:lang w:val="en-IN" w:eastAsia="en-IN"/>
              </w:rPr>
            </w:pPr>
            <w:r>
              <w:rPr>
                <w:rFonts w:ascii="Calibri" w:hAnsi="Calibri" w:cs="Calibri"/>
                <w:b/>
                <w:bCs/>
                <w:color w:val="auto"/>
                <w:kern w:val="0"/>
                <w:lang w:val="en-IN" w:eastAsia="en-IN"/>
              </w:rPr>
              <w:t>Number of old</w:t>
            </w:r>
            <w:r w:rsidRPr="004548EB">
              <w:rPr>
                <w:rFonts w:ascii="Calibri" w:hAnsi="Calibri" w:cs="Calibri"/>
                <w:b/>
                <w:bCs/>
                <w:color w:val="auto"/>
                <w:kern w:val="0"/>
                <w:lang w:val="en-IN" w:eastAsia="en-IN"/>
              </w:rPr>
              <w:t xml:space="preserve"> patient</w:t>
            </w:r>
          </w:p>
        </w:tc>
        <w:tc>
          <w:tcPr>
            <w:tcW w:w="709" w:type="dxa"/>
          </w:tcPr>
          <w:p w:rsidR="00CF00D9" w:rsidRPr="00B6257D" w:rsidRDefault="00CF00D9" w:rsidP="00CF00D9">
            <w:pPr>
              <w:jc w:val="center"/>
              <w:rPr>
                <w:rFonts w:ascii="Calibri" w:hAnsi="Calibri" w:cs="Calibri"/>
                <w:b/>
                <w:bCs/>
                <w:color w:val="auto"/>
                <w:kern w:val="0"/>
                <w:lang w:val="en-IN" w:eastAsia="en-IN"/>
              </w:rPr>
            </w:pPr>
            <w:r>
              <w:rPr>
                <w:rFonts w:ascii="Calibri" w:hAnsi="Calibri" w:cs="Calibri"/>
                <w:b/>
                <w:bCs/>
                <w:color w:val="auto"/>
                <w:kern w:val="0"/>
                <w:lang w:val="en-IN" w:eastAsia="en-IN"/>
              </w:rPr>
              <w:t>Male</w:t>
            </w:r>
          </w:p>
        </w:tc>
        <w:tc>
          <w:tcPr>
            <w:tcW w:w="1311" w:type="dxa"/>
          </w:tcPr>
          <w:p w:rsidR="00CF00D9" w:rsidRPr="00B6257D" w:rsidRDefault="00CF00D9" w:rsidP="00CF00D9">
            <w:pPr>
              <w:jc w:val="center"/>
              <w:rPr>
                <w:rFonts w:ascii="Calibri" w:hAnsi="Calibri" w:cs="Calibri"/>
                <w:b/>
                <w:bCs/>
                <w:color w:val="auto"/>
                <w:kern w:val="0"/>
                <w:lang w:val="en-IN" w:eastAsia="en-IN"/>
              </w:rPr>
            </w:pPr>
            <w:r w:rsidRPr="00B6257D">
              <w:rPr>
                <w:rFonts w:ascii="Calibri" w:hAnsi="Calibri" w:cs="Calibri"/>
                <w:b/>
                <w:bCs/>
                <w:color w:val="auto"/>
                <w:kern w:val="0"/>
                <w:lang w:val="en-IN" w:eastAsia="en-IN"/>
              </w:rPr>
              <w:t>Age</w:t>
            </w:r>
          </w:p>
          <w:p w:rsidR="00CF00D9" w:rsidRPr="00B6257D" w:rsidRDefault="00CF00D9" w:rsidP="00CF00D9">
            <w:pPr>
              <w:jc w:val="center"/>
              <w:rPr>
                <w:rFonts w:ascii="Calibri" w:hAnsi="Calibri" w:cs="Calibri"/>
                <w:b/>
                <w:bCs/>
                <w:color w:val="auto"/>
                <w:kern w:val="0"/>
                <w:lang w:val="en-IN" w:eastAsia="en-IN"/>
              </w:rPr>
            </w:pPr>
            <w:r w:rsidRPr="00B6257D">
              <w:rPr>
                <w:rFonts w:ascii="Calibri" w:hAnsi="Calibri" w:cs="Calibri"/>
                <w:b/>
                <w:bCs/>
                <w:color w:val="auto"/>
                <w:kern w:val="0"/>
                <w:lang w:val="en-IN" w:eastAsia="en-IN"/>
              </w:rPr>
              <w:t>(Median – Interquartile range)</w:t>
            </w:r>
          </w:p>
        </w:tc>
        <w:tc>
          <w:tcPr>
            <w:tcW w:w="1047" w:type="dxa"/>
            <w:shd w:val="clear" w:color="auto" w:fill="auto"/>
            <w:vAlign w:val="bottom"/>
          </w:tcPr>
          <w:p w:rsidR="00CF00D9" w:rsidRPr="004548EB" w:rsidRDefault="00CF00D9" w:rsidP="00CF00D9">
            <w:pPr>
              <w:jc w:val="center"/>
              <w:rPr>
                <w:rFonts w:ascii="Calibri" w:hAnsi="Calibri" w:cs="Calibri"/>
                <w:b/>
                <w:bCs/>
                <w:color w:val="auto"/>
                <w:kern w:val="0"/>
                <w:lang w:val="en-IN" w:eastAsia="en-IN"/>
              </w:rPr>
            </w:pPr>
            <w:r w:rsidRPr="004548EB">
              <w:rPr>
                <w:rFonts w:ascii="Calibri" w:hAnsi="Calibri" w:cs="Calibri"/>
                <w:b/>
                <w:bCs/>
                <w:color w:val="auto"/>
                <w:kern w:val="0"/>
                <w:lang w:val="en-IN" w:eastAsia="en-IN"/>
              </w:rPr>
              <w:t>Quality assessment</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Bhatraju</w:t>
            </w:r>
            <w:proofErr w:type="spellEnd"/>
            <w:r w:rsidRPr="004548EB">
              <w:rPr>
                <w:rFonts w:ascii="Calibri" w:hAnsi="Calibri" w:cs="Calibri"/>
                <w:color w:val="auto"/>
                <w:kern w:val="0"/>
                <w:lang w:val="en-IN" w:eastAsia="en-IN"/>
              </w:rPr>
              <w:t>, P K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{"citationID":"BYIZnKiZ","properties":{"formattedCitation":"\\super 1\\nosupersub{}","plainCitation":"1","noteIndex":0},"citationItems":[{"id":1109,"uris":["http://zotero.org/users/local/t39DgVW4/items/LRVJ2BCH"],"uri":["http://zotero.org/users/local/t39DgVW4/items/LRVJ2BCH"],"itemData":{"id":1109,"type":"article-journal","abstract":"BACKGROUND Community transmission of coronavirus 2019 (Covid-19) was detected in the state of Washington in February 2020.\nMETHODS We identified patients from nine Seattle-area hospitals who were admitted to the intensive care unit (ICU) with confirmed infection with severe acute respiratory syndrome coronavirus-2 (SARS-CoV-2). Clinical data were obtained through review of medical records. The data reported here are those available through March 23, 2020. Each patient had at least 14 days of follow-up.\nRESULTS We identified 24 patients with confirmed Covid-19. The mean (±SD) age of the patients was 64±18 years, 63% were men, and symptoms began 7±4 days before admission. The most common symptoms were cough and shortness of breath; 50% of patients had fever on admission, and 58% had diabetes mellitus. All the patients were admitted for hypoxemic respiratory failure; 75% (18 patients) needed mechanical ventilation. Most of the patients (17) also had hypotension and needed vasopressors. No patient tested positive for influenza A, influenza B, or other respiratory viruses. Half the patients (12) died between ICU day 1 and day 18, including 4 patients who had a do-not-resuscitate order on admission. Of the 12 surviving patients, 5 were discharged home, 4 were discharged from the ICU but remained in the hospital, and 3 continued to receive mechanical ventilation in the ICU. From the Division of Pulmonary, Critical Care and Sleep Medicine, Department of Medicine (P.K.B., B.J.G., M.N., R.K., M.M.W., L.E., P.A.K., T.E.W., A.L., C.M.), the Departments of Laboratory Medicine (K.R.J., A.K.N., A.L.G.) and Radiology (S.P.), and the Division of Allergy and Infectious Disease (J.D.G.), University of Washington, the Vaccine and Infectious Disease Division, Fred Hutchinson Cancer Research Center (K.R.J., A.K.N., A.L.G.), the Sections of Critical Care and Pulmonary Medicine, Virginia Mason Medical Center (A.G.), and the Divisions of Pulmonary and Critical Care (C.R.D., S.O.) and Infectious Disease (J.D.G.), Swedish Medical Center — all in Seattle. Address reprint requests to Dr. Bhatraju at University of Washington–Harborview Medical Center, 325 9th Ave., Seattle, WA 98104, or at B­ hatraju@u­ w.e­ du. This article was published on March 30, 2020, at NEJM.org. DOI: 10.1056/NEJMoa2004500 Copyright © 2020 Massachusetts Medical Society.\nCONCLUSIONS During the first 3 weeks of the Covid-19 outbreak in the Seattle area, the most common reasons for admission to the ICU were hypoxemic respiratory failure leading to mechanical ventilation, hypotension requiring vasopressor treatment, or both. Mortality among these critically ill patients was high. (Funded by the National Institutes of Health.)","container-title":"New England Journal of Medicine","DOI":"10.1056/NEJMoa2004500","ISSN":"0028-4793, 1533-4406","journalAbbreviation":"N Engl J Med","language":"en","page":"NEJMoa2004500","source":"DOI.org (Crossref)","title":"Covid-19 in Critically Ill Patients in the Seattle Region — Case Series","author":[{"family":"Bhatraju","given":"Pavan K."},{"family":"Ghassemieh","given":"Bijan J."},{"family":"Nichols","given":"Michelle"},{"family":"Kim","given":"Richard"},{"family":"Jerome","given":"Keith R."},{"family":"Nalla","given":"Arun K."},{"family":"Greninger","given":"Alexander L."},{"family":"Pipavath","given":"Sudhakar"},{"family":"Wurfel","given":"Mark M."},{"family":"Evans","given":"Laura"},{"family":"Kritek","given":"Patricia A."},{"family":"West","given":"T. Eoin"},{"family":"Luks","given":"Andrew"},{"family":"Gerbino","given":"Anthony"},{"family":"Dale","given":"Chris R."},{"family":"Goldman","given":"Jason D."},{"family":"O’Mahony","given":"Shane"},{"family":"Mikacenic","given":"Carmen"}],"issued":{"date-parts":[["2020",3,30]]}}}],"schema":"https://github.com/citation-style-language/schema/raw/master/csl-citation.json"}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USA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patients admitted in ICU</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February 24, 2020 to March 9,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14</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18</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Bialek</w:t>
            </w:r>
            <w:proofErr w:type="spellEnd"/>
            <w:r w:rsidRPr="004548EB">
              <w:rPr>
                <w:rFonts w:ascii="Calibri" w:hAnsi="Calibri" w:cs="Calibri"/>
                <w:color w:val="auto"/>
                <w:kern w:val="0"/>
                <w:lang w:val="en-IN" w:eastAsia="en-IN"/>
              </w:rPr>
              <w:t>, S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{"citationID":"FFgrPNCu","properties":{"formattedCitation":"\\super 2\\nosupersub{}","plainCitation":"2","noteIndex":0},"citationItems":[{"id":1163,"uris":["http://zotero.org/users/local/t39DgVW4/items/YWSBWLZZ"],"uri":["http://zotero.org/users/local/t39DgVW4/items/YWSBWLZZ"],"itemData":{"id":1163,"type":"article-journal","abstract":"Globally, approximately 170,000 confirmed cases of coronavirus disease 2019 (COVID-19) caused by the 2019 novel coronavirus (SARS-CoV-2) have been reported, including an estimated 7,000 deaths in approximately 150 countries (1). On March 11, 2020, the World Health Organization declared the COVID-19 outbreak a pandemic (2). Data from China have indicated that older adults, particularly those with serious underlying health conditions, are at higher risk for severe COVID-19-associated illness and death than are younger persons (3). Although the majority of reported COVID-19 cases in China were mild (81%), approximately 80% of deaths occurred among adults aged ≥60 years; only one (0.1%) death occurred in a person aged ≤19 years (3). In this report, COVID-19 cases in the United States that occurred during February 12-March 16, 2020 and severity of disease (hospitalization, admission to intensive care unit [ICU], and death) were analyzed by age group. As of March 16, a total of 4,226 COVID-19 cases in the United States had been reported to CDC, with multiple cases reported among older adults living in long-term care facilities (4). Overall, 31% of cases, 45% of hospitalizations, 53% of ICU admissions, and 80% of deaths associated with COVID-19 were among adults aged ≥65 years with the highest percentage of severe outcomes among persons aged ≥85 years. In contrast, no ICU admissions or deaths were reported among persons aged ≤19 years. Similar to reports from other countries, this finding suggests that the risk for serious disease and death from COVID-19 is higher in older age groups.","container-title":"MMWR. Morbidity and Mortality Weekly Report","DOI":"10.15585/mmwr.mm6912e2","journalAbbreviation":"MMWR. Morbidity and Mortality Weekly Report","source":"ResearchGate","title":"Severe Outcomes Among Patients with Coronavirus Disease 2019 (COVID-19) — United States, February 12–March 16, 2020","volume":"69","author":[{"family":"Bialek","given":"Stephanie"},{"family":"Boundy","given":"Ellen"},{"family":"Bowen","given":"Virginia"},{"family":"Chow","given":"Nancy"},{"family":"Cohn","given":"Amanda"},{"family":"Dowling","given":"Nicole"},{"family":"Ellington","given":"Sascha"},{"family":"Gierke","given":"Ryan"},{"family":"Hall","given":"Aron"},{"family":"MacNeil","given":"Jessica"},{"family":"Patel","given":"Priti"},{"family":"Peacock","given":"Georgina"},{"family":"Pilishvili","given":"Tamara"},{"family":"Razzaghi","given":"Hilda"},{"family":"Reed","given":"Nia"},{"family":"Ritchey","given":"Matthew"},{"family":"Sauber-Schatz","given":"Erin"}],"issued":{"date-parts":[["2020",3,18]]}}}],"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USA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February 12, 2020 to March 16,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366</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Burrer</w:t>
            </w:r>
            <w:proofErr w:type="spellEnd"/>
            <w:r w:rsidRPr="004548EB">
              <w:rPr>
                <w:rFonts w:ascii="Calibri" w:hAnsi="Calibri" w:cs="Calibri"/>
                <w:color w:val="auto"/>
                <w:kern w:val="0"/>
                <w:lang w:val="en-IN" w:eastAsia="en-IN"/>
              </w:rPr>
              <w:t>, S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{"citationID":"AlueAgcS","properties":{"formattedCitation":"\\super 3\\nosupersub{}","plainCitation":"3","noteIndex":0},"citationItems":[{"id":1160,"uris":["http://zotero.org/users/local/t39DgVW4/items/LGNIG8MA"],"uri":["http://zotero.org/users/local/t39DgVW4/items/LGNIG8MA"],"itemData":{"id":1160,"type":"article-journal","abstract":"As of April 9, 2020, the coronavirus disease 2019 (COVID-19) pandemic had resulted in 1,521,252 cases and 92,798 deaths worldwide, including 459,165 cases and 16,570 deaths in the United States (1,2). Health care personnel (HCP) are essential workers defined as paid and unpaid persons serving in health care settings who have the potential for direct or indirect exposure to patients or infectious materials (3). During February 12-April 9, among 315,531 COVID-19 cases reported to CDC using a standardized form, 49,370 (16%) included data on whether the patient was a health care worker in the United States; including 9,282 (19%) who were identified as HCP. Among HCP patients with data available, the median age was 42 years (interquartile range [IQR] = 32-54 years), 6,603 (73%) were female, and 1,779 (38%) reported at least one underlying health condition. Among HCP patients with data on health care, household, and community exposures, 780 (55%) reported contact with a COVID-19 patient only in health care settings. Although 4,336 (92%) HCP patients reported having at least one symptom among fever, cough, or shortness of breath, the remaining 8% did not report any of these symptoms. Most HCP with COVID-19 (6,760, 90%) were not hospitalized; however, severe outcomes, including 27 deaths, occurred across all age groups; deaths most frequently occurred in HCP aged ≥65 years. These preliminary findings highlight that whether HCP acquire infection at work or in the community, it is necessary to protect the health and safety of this essential national workforce.","container-title":"MMWR. Morbidity and Mortality Weekly Report","DOI":"10.15585/mmwr.mm6915e6","journalAbbreviation":"MMWR. Morbidity and Mortality Weekly Report","source":"ResearchGate","title":"Characteristics of Health Care Personnel with COVID-19 — United States, February 12–April 9, 2020","volume":"69","author":[{"family":"Burrer","given":"Sherry"},{"family":"Perio","given":"Marie"},{"family":"Hughes","given":"Michelle"},{"family":"Kuhar","given":"David"},{"family":"Luckhaupt","given":"Sara"},{"family":"McDaniel","given":"Clinton"},{"family":"Porter","given":"Rachael"},{"family":"Silk","given":"Benjamin"},{"family":"Stuckey","given":"Matthew"},{"family":"Walters","given":"Maroya"}],"issued":{"date-parts":[["2020",4,14]]}}}],"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USA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All infected health care personnel </w:t>
            </w:r>
            <w:r>
              <w:rPr>
                <w:rFonts w:ascii="Calibri" w:hAnsi="Calibri"/>
              </w:rPr>
              <w:t>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 (surveillance data)</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February 12, 2020 to April 9,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238</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Catellani</w:t>
            </w:r>
            <w:proofErr w:type="spellEnd"/>
            <w:r w:rsidRPr="004548EB">
              <w:rPr>
                <w:rFonts w:ascii="Calibri" w:hAnsi="Calibri" w:cs="Calibri"/>
                <w:color w:val="auto"/>
                <w:kern w:val="0"/>
                <w:lang w:val="en-IN" w:eastAsia="en-IN"/>
              </w:rPr>
              <w:t>, F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{"citationID":"yuJQ0LgU","properties":{"formattedCitation":"\\super 4\\nosupersub{}","plainCitation":"4","noteIndex":0},"citationItems":[{"id":1145,"uris":["http://zotero.org/users/local/t39DgVW4/items/TFGZPQDL"],"uri":["http://zotero.org/users/local/t39DgVW4/items/TFGZPQDL"],"itemData":{"id":1145,"type":"article-journal","abstract":"Background: From February 20 to April 2020, the coronavirus SARS (severe acute respiratory syndrome)-CoV-2 spread in northern Italy, drastically challenging the care capacities of the national health care system. Unprepared for this emergency, hospitals have quickly reformulated paths of assistance in an effort to guarantee treatment for infected patients. Orthopaedic departments have been focused on elderly traumatology, especially the treatment of femoral neck fractures in patients with coronavirus disease-2019 (COVID-19). The purpose of the present study was to evaluate the orthopaedic management strategy for femoral fragility fractures in COVID-19-positive patients with the hypothesis that operative treatment may contribute to the overall stability of the patient.\nMethods: Sixteen patients affected by proximal femoral fracture and a recent history of fever, shortness of breath, and desaturation were admitted to the emergency room. Thoracic computed tomography (CT) and oropharyngeal swabs conﬁrmed that they were positive for COVID-19, requiring hospitalization and prophylaxis with low-molecular-weight heparin.\nResults: Three patients died before surgery because of severe respiratory insufﬁciency and multiple-organ-failure syndrome. Ten patients underwent surgery on the day after admission, whereas 3 patients had suspended their use of direct thrombin inhibitors and needed surgery to be delayed until the third day after admission. In all patients except 1, we noted an improvement in terms of O2 saturation and assisted respiration. In 9 patients, hemodynamic and respiratory stability was observed at an average of 7 days postoperatively. Four patients who underwent surgical treatment died of respiratory failure on the ﬁrst day after surgery (1 patient), the third day after surgery (2 patients), or the seventh day after surgery (1 patient).\nConclusions: We noted a stabilization of respiratory parameters in 12 COVID-19-positive patients who underwent surgery treatment of proximal femoral fractures. We believe that in elderly patients with COVID-19 who have proximal femoral fractures, surgery may contribute to the overall stability of the patient, seated mobilization, improvement in physiological ventilation, and general patient comfort in bed.","container-title":"The Journal of Bone and Joint Surgery","DOI":"10.2106/JBJS.20.00617","ISSN":"0021-9355","journalAbbreviation":"The Journal of Bone and Joint Surgery","language":"en","page":"1","source":"DOI.org (Crossref)","title":"Treatment of Proximal Femoral Fragility Fractures in Patients with COVID-19 During the SARS-CoV-2 Outbreak in Northern Italy:","title-short":"Treatment of Proximal Femoral Fragility Fractures in Patients with COVID-19 During the SARS-CoV-2 Outbreak in Northern Italy","author":[{"family":"Catellani","given":"Francesco"},{"family":"Coscione","given":"Andrea"},{"family":"D’Ambrosi","given":"Riccardo"},{"family":"Usai","given":"Luca"},{"family":"Roscitano","given":"Claudio"},{"family":"Fiorentino","given":"Gennaro"}],"issued":{"date-parts":[["2020",4]]}}}],"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4</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Italy</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patients with hip fracture with fever or respiratory symptoms</w:t>
            </w:r>
            <w:r>
              <w:rPr>
                <w:rFonts w:ascii="Calibri" w:hAnsi="Calibri"/>
              </w:rPr>
              <w:t xml:space="preserve"> and diagnosed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Prospective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N/A</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7</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16</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10</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84.5 (82 - 88.8</w:t>
            </w:r>
            <w:r w:rsidRPr="00B6257D">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Chen, T et al.</w:t>
            </w:r>
            <w:r>
              <w:rPr>
                <w:rFonts w:ascii="Calibri" w:hAnsi="Calibri" w:cs="Calibri"/>
                <w:color w:val="auto"/>
                <w:kern w:val="0"/>
                <w:lang w:val="en-IN" w:eastAsia="en-IN"/>
              </w:rPr>
              <w:t xml:space="preserve"> (a)</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{"citationID":"9jnoMwvO","properties":{"formattedCitation":"\\super 5\\nosupersub{}","plainCitation":"5","noteIndex":0},"citationItems":[{"id":1080,"uris":["http://zotero.org/users/local/t39DgVW4/items/S2BLXWEN"],"uri":["http://zotero.org/users/local/t39DgVW4/items/S2BLXWEN"],"itemData":{"id":1080,"type":"article-journal","abstract":"Abstract\n            \n              Background\n              In December 2019, the coronavirus disease 2019 (COVID-19) emerged in Wuhan city and spread rapidly throughout China and the world. In this study, we aimed to describe the clinical course and outcomes of older patients with COVID-19.\n            \n            \n              Methods\n              This is a retrospective investigation of hospitalized older patients with confirmed COVID-19 at Zhongnan Hospital of Wuhan University from January 1, 2020, to February 10, 2020.\n            \n            \n              Results\n              In total, 203 patients were diagnosed with COVID-19, with a median age of 54 years (interquartile range, 41–68; range, 20–91 years). Men accounted for 108 (53.2%) of the cases, and 55 patients (27.1%) were more than 65 years of age. Among patients who were 65 years and older, the mortality rate was 34.5% (19/55), which was significantly higher than that of the younger patients at 4.7% (7/148). Common symptoms of older patients with COVID-19 included fever (94.5%; n = 52), dry cough (69.1%; n = 38), and chest distress (63.6%; n = 35). Compared with young patients, older patients had more laboratory abnormalities and comorbidities. Through a multivariate analysis of the causes of death in older patients, we found that males, comorbidities, time from disease onset to hospitalization, abnormal kidney function, and elevated procalcitonin levels were all significantly associated with death.\n            \n            \n              Conclusions\n              In the recent outbreak of COVID-19, our local hospital in Wuhan found that patients aged 65 and older had greater initial comorbidities, more severe symptoms, and were more likely to experience multiorgan involvement and death, as compared to younger patients.","container-title":"The Journals of Gerontology: Series A","DOI":"10.1093/gerona/glaa089","ISSN":"1079-5006, 1758-535X","language":"en","page":"glaa089","source":"DOI.org (Crossref)","title":"Clinical Characteristics and Outcomes of Older Patients with Coronavirus Disease 2019 (COVID-19) in Wuhan, China: A Single-Centered, Retrospective Study","title-short":"Clinical Characteristics and Outcomes of Older Patients with Coronavirus Disease 2019 (COVID-19) in Wuhan, China","author":[{"family":"Chen","given":"TieLong"},{"family":"Dai","given":"Zhe"},{"family":"Mo","given":"Pingzheng"},{"family":"Li","given":"Xinyu"},{"family":"Ma","given":"Zhiyong"},{"family":"Song","given":"Shihui"},{"family":"Chen","given":"Xiaoping"},{"family":"Luo","given":"Mingqi"},{"family":"Liang","given":"Ke"},{"family":"Gao","given":"Shicheng"},{"family":"Zhang","given":"Yongxi"},{"family":"Deng","given":"Liping"},{"family":"Xiong","given":"Yong"}],"editor":[{"family":"Newman","given":"Anne"}],"issued":{"date-parts":[["2020",4,11]]}}}],"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5</w:t>
            </w:r>
            <w:r>
              <w:rPr>
                <w:rFonts w:ascii="Calibri" w:hAnsi="Calibri" w:cs="Calibri"/>
                <w:color w:val="auto"/>
                <w:kern w:val="0"/>
                <w:lang w:val="en-IN" w:eastAsia="en-IN"/>
              </w:rPr>
              <w:fldChar w:fldCharType="end"/>
            </w:r>
            <w:r w:rsidRPr="004548EB">
              <w:rPr>
                <w:rFonts w:ascii="Calibri" w:hAnsi="Calibri" w:cs="Calibri"/>
                <w:color w:val="auto"/>
                <w:kern w:val="0"/>
                <w:lang w:val="en-IN" w:eastAsia="en-IN"/>
              </w:rPr>
              <w:t xml:space="preserve"> </w:t>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kern w:val="0"/>
                <w:lang w:val="en-US" w:eastAsia="en-US"/>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kern w:val="0"/>
                <w:lang w:val="en-US" w:eastAsia="en-US"/>
              </w:rPr>
            </w:pPr>
            <w:r w:rsidRPr="004548EB">
              <w:rPr>
                <w:rFonts w:ascii="Calibri" w:hAnsi="Calibri"/>
              </w:rPr>
              <w:t>Prospective Case series</w:t>
            </w:r>
          </w:p>
        </w:tc>
        <w:tc>
          <w:tcPr>
            <w:tcW w:w="1914" w:type="dxa"/>
            <w:shd w:val="clear" w:color="auto" w:fill="auto"/>
            <w:vAlign w:val="bottom"/>
          </w:tcPr>
          <w:p w:rsidR="00CF00D9" w:rsidRPr="004548EB" w:rsidRDefault="00CF00D9" w:rsidP="00CF00D9">
            <w:pPr>
              <w:rPr>
                <w:rFonts w:ascii="Calibri" w:hAnsi="Calibri"/>
                <w:kern w:val="0"/>
                <w:lang w:val="en-US" w:eastAsia="en-US"/>
              </w:rPr>
            </w:pPr>
            <w:r w:rsidRPr="004548EB">
              <w:rPr>
                <w:rFonts w:ascii="Calibri" w:hAnsi="Calibri"/>
              </w:rPr>
              <w:t>January 1, 2020, to February 10,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10</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55</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34</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74(65-91)</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High</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Chen, T et al.</w:t>
            </w:r>
            <w:r>
              <w:rPr>
                <w:rFonts w:ascii="Calibri" w:hAnsi="Calibri" w:cs="Calibri"/>
                <w:color w:val="auto"/>
                <w:kern w:val="0"/>
                <w:lang w:val="en-IN" w:eastAsia="en-IN"/>
              </w:rPr>
              <w:t xml:space="preserve"> (b)</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{"citationID":"qo7AkHst","properties":{"formattedCitation":"\\super 6\\nosupersub{}","plainCitation":"6","noteIndex":0},"citationItems":[{"id":1085,"uris":["http://zotero.org/users/local/t39DgVW4/items/BZ464B6I"],"uri":["http://zotero.org/users/local/t39DgVW4/items/BZ464B6I"],"itemData":{"id":1085,"type":"article-journal","abstract":"Abstract\n            \n              Objective\n              To delineate the clinical characteristics of patients with coronavirus disease 2019 (covid-19) who died.\n            \n            \n              Design\n              Retrospective case series.\n            \n            \n              Setting\n              Tongji Hospital in Wuhan, China.\n            \n            \n              Participants\n              Among a cohort of 799 patients, 113 who died and 161 who recovered with a diagnosis of covid-19 were analysed. Data were collected until 28 February 2020.\n            \n            \n              Main outcome measures\n              Clinical characteristics and laboratory findings were obtained from electronic medical records with data collection forms.\n            \n            \n              Results\n              The median age of deceased patients (68 years) was significantly older than recovered patients (51 years). Male sex was more predominant in deceased patients (83; 73%) than in recovered patients (88; 55%). Chronic hypertension and other cardiovascular comorbidities were more frequent among deceased patients (54 (48%) and 16 (14%)) than recovered patients (39 (24%) and 7 (4%)). Dyspnoea, chest tightness, and disorder of consciousness were more common in deceased patients (70 (62%), 55 (49%), and 25 (22%)) than in recovered patients (50 (31%), 48 (30%), and 1 (1%)). The median time from disease onset to death in deceased patients was 16 (interquartile range 12.0-20.0) days. Leukocytosis was present in 56 (50%) patients who died and 6 (4%) who recovered, and lymphopenia was present in 103 (91%) and 76 (47%) respectively. Concentrations of alanine aminotransferase, aspartate aminotransferase, creatinine, creatine kinase, lactate dehydrogenase, cardiac troponin I, N-terminal pro-brain natriuretic peptide, and D-dimer were markedly higher in deceased patients than in recovered patients. Common complications observed more frequently in deceased patients included acute respiratory distress syndrome (113; 100%), type I respiratory failure (18/35; 51%), sepsis (113; 100%), acute cardiac injury (72/94; 77%), heart failure (41/83; 49%), alkalosis (14/35; 40%), hyperkalaemia (42; 37%), acute kidney injury (28; 25%), and hypoxic encephalopathy (23; 20%). Patients with cardiovascular comorbidity were more likely to develop cardiac complications. Regardless of history of cardiovascular disease, acute cardiac injury and heart failure were more common in deceased patients.\n            \n            \n              Conclusion\n              Severe acute respiratory syndrome coronavirus 2 infection can cause both pulmonary and systemic inflammation, leading to multi-organ dysfunction in patients at high risk. Acute respiratory distress syndrome and respiratory failure, sepsis, acute cardiac injury, and heart failure were the most common critical complications during exacerbation of covid-19.","container-title":"BMJ","DOI":"10.1136/bmj.m1091","ISSN":"1756-1833","journalAbbreviation":"BMJ","language":"en","page":"m1091","source":"DOI.org (Crossref)","title":"Clinical characteristics of 113 deceased patients with coronavirus disease 2019: retrospective study","title-short":"Clinical characteristics of 113 deceased patients with coronavirus disease 2019","author":[{"family":"Chen","given":"Tao"},{"family":"Wu","given":"Di"},{"family":"Chen","given":"Huilong"},{"family":"Yan","given":"Weiming"},{"family":"Yang","given":"Danlei"},{"family":"Chen","given":"Guang"},{"family":"Ma","given":"Ke"},{"family":"Xu","given":"Dong"},{"family":"Yu","given":"Haijing"},{"family":"Wang","given":"Hongwu"},{"family":"Wang","given":"Tao"},{"family":"Guo","given":"Wei"},{"family":"Chen","given":"Jia"},{"family":"Ding","given":"Chen"},{"family":"Zhang","given":"Xiaoping"},{"family":"Huang","given":"Jiaquan"},{"family":"Han","given":"Meifang"},{"family":"Li","given":"Shusheng"},{"family":"Luo","given":"Xiaoping"},{"family":"Zhao","given":"Jianping"},{"family":"Ning","given":"Qin"}],"issued":{"date-parts":[["2020",3,26]]}}}],"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6</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patients admitted</w:t>
            </w:r>
            <w:r>
              <w:rPr>
                <w:rFonts w:ascii="Calibri" w:hAnsi="Calibri"/>
              </w:rPr>
              <w:t xml:space="preserve"> with moderate to severe COVID-19</w:t>
            </w:r>
            <w:r w:rsidRPr="004548EB">
              <w:rPr>
                <w:rFonts w:ascii="Calibri" w:hAnsi="Calibri"/>
              </w:rPr>
              <w:t xml:space="preserve"> with a definite outcome</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13, 2020 to February 28,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16</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153</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Chow, N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{"citationID":"7VREJed6","properties":{"formattedCitation":"\\super 7\\nosupersub{}","plainCitation":"7","noteIndex":0},"citationItems":[{"id":1155,"uris":["http://zotero.org/users/local/t39DgVW4/items/JDRL4TSE"],"uri":["http://zotero.org/users/local/t39DgVW4/items/JDRL4TSE"],"itemData":{"id":1155,"type":"article-journal","abstract":"On March 11, 2020, the World Health Organization declared Coronavirus Disease 2019 (COVID-19) a pandemic (1). As of March 28, 2020, a total of 571,678 confirmed COVID-19 cases and 26,494 deaths have been reported worldwide (2). Reports from China and Italy suggest that risk factors for severe disease include older age and the presence of at least one of several underlying health conditions (3,4). U.S. older adults, including those aged ≥65 years and particularly those aged ≥85 years, also appear to be at higher risk for severe COVID-19-associated outcomes; however, data describing underlying health conditions among U.S. COVID-19 patients have not yet been reported (5). As of March 28, 2020, U.S. states and territories have reported 122,653 U.S. COVID-19 cases to CDC, including 7,162 (5.8%) for whom data on underlying health conditions and other known risk factors for severe outcomes from respiratory infections were reported. Among these 7,162 cases, 2,692 (37.6%) patients had one or more underlying health condition or risk factor, and 4,470 (62.4%) had none of these conditions reported. The percentage of COVID-19 patients with at least one underlying health condition or risk factor was higher among those requiring intensive care unit (ICU) admission (358 of 457, 78%) and those requiring hospitalization without ICU admission (732 of 1,037, 71%) than that among those who were not hospitalized (1,388 of 5,143, 27%). The most commonly reported conditions were diabetes mellitus, chronic lung disease, and cardiovascular disease. These preliminary findings suggest that in the United States, persons with underlying health conditions or other recognized risk factors for severe outcomes from respiratory infections appear to be at a higher risk for severe disease from COVID-19 than are persons without these conditions.","container-title":"MMWR. Morbidity and Mortality Weekly Report","DOI":"10.15585/mmwr.mm6913e2","journalAbbreviation":"MMWR. Morbidity and Mortality Weekly Report","source":"ResearchGate","title":"Preliminary Estimates of the Prevalence of Selected Underlying Health Conditions Among Patients with Coronavirus Disease 2019 — United States, February 12–March 28, 2020","volume":"69","author":[{"family":"Chow","given":"Nancy"},{"family":"Fleming-Dutra","given":"Katherine"},{"family":"Gierke","given":"Ryan"},{"family":"Hall","given":"Aron"},{"family":"Hughes","given":"Michelle"},{"family":"Pilishvili","given":"Tamara"},{"family":"Ritchey","given":"Matthew"},{"family":"Roguski","given":"Katherine"},{"family":"Skoff","given":"Tami"},{"family":"Ussery","given":"Emily"}],"issued":{"date-parts":[["2020",3,31]]}}}],"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7</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USA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Patients aged &gt;19 years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February 12, 2020 to March 28,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715</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Du, R-H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{"citationID":"Xw1pxQXC","properties":{"formattedCitation":"\\super 8\\nosupersub{}","plainCitation":"8","noteIndex":0},"citationItems":[{"id":1128,"uris":["http://zotero.org/users/local/t39DgVW4/items/Y7HRK9PJ"],"uri":["http://zotero.org/users/local/t39DgVW4/items/Y7HRK9PJ"],"itemData":{"id":1128,"type":"article-journal","abstract":"The aim of this study was to identify factors associated with the death of patients with COVID-19 pneumonia caused by the novel coronavirus SARS-CoV-2.\n            All clinical and laboratory parameters were collected prospectively from a cohort of patients with COVID-19 pneumonia who were hospitalised to Wuhan Pulmonary Hospital (Wuhan City, Hubei Province, China) between 25 December 2019 and 7 February 2020. Univariate and multivariate logistic regression was performed to investigate the relationship between each variable and the risk of death of COVID-19 pneumonia patients.\n            \n              In total, 179 patients with COVID-19 pneumonia (97 male and 82 female) were included in the present prospective study, of whom 21 died. Univariate and multivariate logistic regression analysis revealed that age ≥65 years (OR 3.765, 95% CI 1.146‒17.394; p=0.023), pre-existing concurrent cardiovascular or cerebrovascular diseases (OR 2.464, 95% CI 0.755‒8.044; p=0.007), CD3\n              +\n              CD8\n              +\n              T-cells ≤75 cells·μL\n              −1\n              (OR 3.982, 95% CI 1.132‒14.006; p&lt;0.001) and cardiac troponin I ≥0.05 ng·mL\n              −1\n              (OR 4.077, 95% CI 1.166‒14.253; p&lt;0.001) were associated with an increase in risk of mortality from COVID-19 pneumonia. In a sex-, age- and comorbid illness-matched case–control study, CD3\n              +\n              CD8\n              +\n              T-cells ≤75 cells·μL\n              −1\n              and cardiac troponin I ≥0.05 ng·mL\n              −1\n              remained as predictors for high mortality from COVID-19 pneumonia.\n            \n            \n              We identified four risk factors: age ≥65 years, pre-existing concurrent cardiovascular or cerebrovascular diseases, CD3\n              +\n              CD8\n              +\n              T-cells ≤75 cells·μL\n              −1\n              and cardiac troponin I ≥0.05 ng·mL\n              −1\n              . The latter two factors, especially, were predictors for mortality of COVID-19 pneumonia patients.","container-title":"European Respiratory Journal","DOI":"10.1183/13993003.00524-2020","ISSN":"0903-1936, 1399-3003","issue":"5","journalAbbreviation":"Eur Respir J","language":"en","page":"2000524","source":"DOI.org (Crossref)","title":"Predictors of mortality for patients with COVID-19 pneumonia caused by SARS-CoV-2: a prospective cohort study","title-short":"Predictors of mortality for patients with COVID-19 pneumonia caused by SARS-CoV-2","volume":"55","author":[{"family":"Du","given":"Rong-Hui"},{"family":"Liang","given":"Li-Rong"},{"family":"Yang","given":"Cheng-Qing"},{"family":"Wang","given":"Wen"},{"family":"Cao","given":"Tan-Ze"},{"family":"Li","given":"Ming"},{"family":"Guo","given":"Guang-Yun"},{"family":"Du","given":"Juan"},{"family":"Zheng","given":"Chun-Lan"},{"family":"Zhu","given":"Qi"},{"family":"Hu","given":"Ming"},{"family":"Li","given":"Xu-Yan"},{"family":"Peng","given":"Peng"},{"family":"Shi","given":"Huan-Zhong"}],"issued":{"date-parts":[["2020",5]]}}}],"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8</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Prospective cohort study </w:t>
            </w:r>
          </w:p>
        </w:tc>
        <w:tc>
          <w:tcPr>
            <w:tcW w:w="1914" w:type="dxa"/>
            <w:shd w:val="clear" w:color="auto" w:fill="auto"/>
            <w:vAlign w:val="bottom"/>
          </w:tcPr>
          <w:p w:rsidR="00CF00D9" w:rsidRPr="004548EB" w:rsidRDefault="00CF00D9" w:rsidP="00CF00D9">
            <w:pPr>
              <w:rPr>
                <w:rFonts w:ascii="Arial" w:hAnsi="Arial" w:cs="Arial"/>
                <w:color w:val="auto"/>
              </w:rPr>
            </w:pPr>
            <w:r w:rsidRPr="00F41741">
              <w:rPr>
                <w:rFonts w:ascii="Calibri" w:hAnsi="Calibri"/>
              </w:rPr>
              <w:t>December 25, 2019 to February 7, 2020</w:t>
            </w:r>
          </w:p>
        </w:tc>
        <w:tc>
          <w:tcPr>
            <w:tcW w:w="1165" w:type="dxa"/>
            <w:vAlign w:val="bottom"/>
          </w:tcPr>
          <w:p w:rsidR="00CF00D9" w:rsidRPr="00BB3E42" w:rsidRDefault="00CF00D9" w:rsidP="00CF00D9">
            <w:pPr>
              <w:jc w:val="right"/>
              <w:rPr>
                <w:rFonts w:ascii="Calibri" w:hAnsi="Calibri" w:cs="Calibri"/>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709" w:type="dxa"/>
            <w:vAlign w:val="bottom"/>
          </w:tcPr>
          <w:p w:rsidR="00CF00D9" w:rsidRPr="00BB3E42" w:rsidRDefault="00CF00D9" w:rsidP="00CF00D9">
            <w:pPr>
              <w:jc w:val="center"/>
              <w:rPr>
                <w:rFonts w:ascii="Calibri" w:hAnsi="Calibri" w:cs="Calibri"/>
                <w:bCs/>
                <w:color w:val="auto"/>
                <w:kern w:val="0"/>
                <w:vertAlign w:val="superscript"/>
                <w:lang w:val="en-IN" w:eastAsia="en-IN"/>
              </w:rPr>
            </w:pPr>
            <w:r>
              <w:rPr>
                <w:rFonts w:ascii="Calibri" w:hAnsi="Calibri" w:cs="Calibri"/>
                <w:bCs/>
                <w:color w:val="auto"/>
                <w:kern w:val="0"/>
                <w:lang w:val="en-IN" w:eastAsia="en-IN"/>
              </w:rPr>
              <w:t>10</w:t>
            </w:r>
            <w:r>
              <w:rPr>
                <w:rFonts w:ascii="Calibri" w:hAnsi="Calibri" w:cs="Calibri"/>
                <w:bCs/>
                <w:color w:val="auto"/>
                <w:kern w:val="0"/>
                <w:vertAlign w:val="superscript"/>
                <w:lang w:val="en-IN" w:eastAsia="en-IN"/>
              </w:rPr>
              <w:t>#</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71 (66.5 - 77)</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Arial" w:hAnsi="Arial" w:cs="Arial"/>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Feng, Y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{"citationID":"NHT55XFY","properties":{"formattedCitation":"\\super 9\\nosupersub{}","plainCitation":"9","noteIndex":0},"citationItems":[{"id":1148,"uris":["http://zotero.org/users/local/t39DgVW4/items/B84QQB6E"],"uri":["http://zotero.org/users/local/t39DgVW4/items/B84QQB6E"],"itemData":{"id":1148,"type":"article-journal","abstract":"Objectives: We compared the clinical characteristics, laboratory examinations, CT images and treatment of COVID-19 patients from three different cities in China.\nMethods: 476 patients were recruited from Jan 1 to Feb 15, 2020 at three hospitals in Wuhan, Shanghai and Anhui. Patients were divided into four groups according to age and into three groups (moderate, severe, and critical group) according to the fifth version of the guidelines issued by the National Health Commission of China on Diagnosis and Treatment of COVID19.\nMeasurements and main results: Compared with moderate group (37.8%), the incidence of comorbidities was higher in severe (46.3%) and critical groups (67.1%). Compared with severe and critical groups, there were more patients taking ACEI/ARB in moderate group. More patients had multiple lung lobe involvement and pleural effusion in the critical group as compared to moderate group. Compared with the moderate group, more patients received antiviral agents within first 4 days than in severe group, and more patients received antibiotics and corticosteriods in critical and severe groups. Patients over 75 years old had significantly lower survival rate than the younger patients.\nConclusion: Multiple organ dysfunction and impaired immune function were the typical characteristics of severe and critical patients. There was a significant difference in angiotensinconverting enzyme inhibitors/angiotensin II receptor blockers usage among patients with different severities. Involvement of multiple lung lobes and pleural effusion were associated","container-title":"American Journal of Respiratory and Critical Care Medicine","DOI":"10.1164/rccm.202002-0445OC","ISSN":"1073-449X, 1535-4970","journalAbbreviation":"Am J Respir Crit Care Med","language":"en","page":"rccm.202002-0445OC","source":"DOI.org (Crossref)","title":"COVID-19 with Different Severity: A Multi-center Study of Clinical Features","title-short":"COVID-19 with Different Severity","author":[{"family":"Feng","given":"Yun"},{"family":"Ling","given":"Yun"},{"family":"Bai","given":"Tao"},{"family":"Xie","given":"Yusang"},{"family":"Huang","given":"Jie"},{"family":"Li","given":"Jian"},{"family":"Xiong","given":"Weining"},{"family":"Yang","given":"Dexiang"},{"family":"Chen","given":"Rong"},{"family":"Lu","given":"Fangying"},{"family":"Lu","given":"Yunfei"},{"family":"Liu","given":"Xuhui"},{"family":"Chen","given":"Yuqing"},{"family":"Li","given":"Xin"},{"family":"Li","given":"Yong"},{"family":"Summah","given":"Hanssa Dwarka"},{"family":"Lin","given":"Huihuang"},{"family":"Yan","given":"Jiayang"},{"family":"Zhou","given":"Min"},{"family":"Lu","given":"Hongzhou"},{"family":"Qu","given":"Jieming"}],"issued":{"date-parts":[["2020",4,10]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9</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 xml:space="preserve">China </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Prospective cohort study </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 2020 to March 21,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35</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118</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61</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 </w:t>
            </w: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High</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Fernández</w:t>
            </w:r>
            <w:proofErr w:type="spellEnd"/>
            <w:r w:rsidRPr="004548EB">
              <w:rPr>
                <w:rFonts w:ascii="Calibri" w:hAnsi="Calibri" w:cs="Calibri"/>
                <w:color w:val="auto"/>
                <w:kern w:val="0"/>
                <w:lang w:val="en-IN" w:eastAsia="en-IN"/>
              </w:rPr>
              <w:t>-Ruiz, M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{"citationID":"LBa1hcqy","properties":{"formattedCitation":"\\super 10\\nosupersub{}","plainCitation":"10","noteIndex":0},"citationItems":[{"id":1110,"uris":["http://zotero.org/users/local/t39DgVW4/items/2R679UDN"],"uri":["http://zotero.org/users/local/t39DgVW4/items/2R679UDN"],"itemData":{"id":1110,"type":"article-journal","container-title":"American Journal of Transplantation","DOI":"10.1111/ajt.15929","ISSN":"1600-6135, 1600-6143","journalAbbreviation":"Am J Transplant","language":"en","page":"ajt.15929","source":"DOI.org (Crossref)","title":"COVID‐19 in solid organ transplant recipients: A single‐center case series from Spain","title-short":"COVID‐19 in solid organ transplant recipients","author":[{"family":"Fernández‐Ruiz","given":"Mario"},{"family":"Andrés","given":"Amado"},{"family":"Loinaz","given":"Carmelo"},{"family":"Delgado","given":"Juan F."},{"family":"López‐Medrano","given":"Francisco"},{"family":"San Juan","given":"Rafael"},{"family":"González","given":"Esther"},{"family":"Polanco","given":"Natalia"},{"family":"Folgueira","given":"María D."},{"family":"Lalueza","given":"Antonio"},{"family":"Lumbreras","given":"Carlos"},{"family":"Aguado","given":"José M."}],"issued":{"date-parts":[["2020",5,10]]}}}],"schema":"https://github.com/citation-style-language/schema/raw/master/csl-citation.json"}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10</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Spain</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solid organ transplant recipient patients</w:t>
            </w:r>
            <w:r>
              <w:rPr>
                <w:rFonts w:ascii="Calibri" w:hAnsi="Calibri"/>
              </w:rPr>
              <w:t xml:space="preserve"> admitted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Prospective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March 5, 2020 to April4,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14</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15</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12</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72 (65 - 76)</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lastRenderedPageBreak/>
              <w:t>Garg</w:t>
            </w:r>
            <w:proofErr w:type="spellEnd"/>
            <w:r w:rsidRPr="004548EB">
              <w:rPr>
                <w:rFonts w:ascii="Calibri" w:hAnsi="Calibri" w:cs="Calibri"/>
                <w:color w:val="auto"/>
                <w:kern w:val="0"/>
                <w:lang w:val="en-IN" w:eastAsia="en-IN"/>
              </w:rPr>
              <w:t>, S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{"citationID":"0LtrOBJh","properties":{"formattedCitation":"\\super 11\\nosupersub{}","plainCitation":"11","noteIndex":0},"citationItems":[{"id":1121,"uris":["http://zotero.org/users/local/t39DgVW4/items/387TUMC9"],"uri":["http://zotero.org/users/local/t39DgVW4/items/387TUMC9"],"itemData":{"id":1121,"type":"article-journal","container-title":"MMWR. Morbidity and Mortality Weekly Report","DOI":"10.15585/mmwr.mm6915e3","ISSN":"0149-2195, 1545-861X","issue":"15","journalAbbreviation":"MMWR Morb. Mortal. Wkly. Rep.","language":"en","page":"458-464","source":"DOI.org (Crossref)","title":"Hospitalization Rates and Characteristics of Patients Hospitalized with Laboratory-Confirmed Coronavirus Disease 2019 — COVID-NET, 14 States, March 1–30, 2020","volume":"69","author":[{"family":"Garg","given":"Shikha"},{"family":"Kim","given":"Lindsay"},{"family":"Whitaker","given":"Michael"},{"family":"O’Halloran","given":"Alissa"},{"family":"Cummings","given":"Charisse"},{"family":"Holstein","given":"Rachel"},{"family":"Prill","given":"Mila"},{"family":"Chai","given":"Shua J."},{"family":"Kirley","given":"Pam D."},{"family":"Alden","given":"Nisha B."},{"family":"Kawasaki","given":"Breanna"},{"family":"Yousey-Hindes","given":"Kimberly"},{"family":"Niccolai","given":"Linda"},{"family":"Anderson","given":"Evan J."},{"family":"Openo","given":"Kyle P."},{"family":"Weigel","given":"Andrew"},{"family":"Monroe","given":"Maya L."},{"family":"Ryan","given":"Patricia"},{"family":"Henderson","given":"Justin"},{"family":"Kim","given":"Sue"},{"family":"Como-Sabetti","given":"Kathy"},{"family":"Lynfield","given":"Ruth"},{"family":"Sosin","given":"Daniel"},{"family":"Torres","given":"Salina"},{"family":"Muse","given":"Alison"},{"family":"Bennett","given":"Nancy M."},{"family":"Billing","given":"Laurie"},{"family":"Sutton","given":"Melissa"},{"family":"West","given":"Nicole"},{"family":"Schaffner","given":"William"},{"family":"Talbot","given":"H. Keipp"},{"family":"Aquino","given":"Clarissa"},{"family":"George","given":"Andrea"},{"family":"Budd","given":"Alicia"},{"family":"Brammer","given":"Lynnette"},{"family":"Langley","given":"Gayle"},{"family":"Hall","given":"Aron J."},{"family":"Fry","given":"Alicia"}],"issued":{"date-parts":[["2020",4,17]]}}}],"schema":"https://github.com/citation-style-language/schema/raw/master/csl-citation.json"}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11</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USA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 (surveillance data)</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March 1, 2020 to March 30,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73</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Godaert</w:t>
            </w:r>
            <w:proofErr w:type="spellEnd"/>
            <w:r w:rsidRPr="004548EB">
              <w:rPr>
                <w:rFonts w:ascii="Calibri" w:hAnsi="Calibri" w:cs="Calibri"/>
                <w:color w:val="auto"/>
                <w:kern w:val="0"/>
                <w:lang w:val="en-IN" w:eastAsia="en-IN"/>
              </w:rPr>
              <w:t>, L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{"citationID":"cuWHewoF","properties":{"formattedCitation":"\\super 12\\nosupersub{}","plainCitation":"12","noteIndex":0},"citationItems":[{"id":1089,"uris":["http://zotero.org/users/local/t39DgVW4/items/KDD24KDC"],"uri":["http://zotero.org/users/local/t39DgVW4/items/KDD24KDC"],"itemData":{"id":1089,"type":"article-journal","container-title":"Journal of Infection","DOI":"10.1016/j.jinf.2020.04.009","ISSN":"01634453","journalAbbreviation":"Journal of Infection","language":"en","page":"S0163445320302176","source":"DOI.org (Crossref)","title":"Clinical characteristics of older patients: The experience of a geriatric short-stay unit dedicated to patients with COVID-19 in France","title-short":"Clinical characteristics of older patients","author":[{"family":"Godaert","given":"Lidvine"},{"family":"Proye","given":"Emeline"},{"family":"Demoustier-Tampere","given":"David"},{"family":"Coulibaly","given":"Pecory Souleymane"},{"family":"Hequet","given":"Fanny"},{"family":"Dramé","given":"Moustapha"}],"issued":{"date-parts":[["2020",4]]}}}],"schema":"https://github.com/citation-style-language/schema/raw/master/csl-citation.json"}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12</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France</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All older patients admitted </w:t>
            </w:r>
            <w:r>
              <w:rPr>
                <w:rFonts w:ascii="Calibri" w:hAnsi="Calibri"/>
              </w:rPr>
              <w:t xml:space="preserve">with COVID-19 </w:t>
            </w:r>
            <w:r w:rsidRPr="004548EB">
              <w:rPr>
                <w:rFonts w:ascii="Calibri" w:hAnsi="Calibri"/>
              </w:rPr>
              <w:t>in a dedicated short stay geriatric center</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Prospective case series </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March 2020 first week</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17</w:t>
            </w:r>
          </w:p>
        </w:tc>
        <w:tc>
          <w:tcPr>
            <w:tcW w:w="709" w:type="dxa"/>
          </w:tcPr>
          <w:p w:rsidR="00CF00D9" w:rsidRDefault="00CF00D9" w:rsidP="00CF00D9">
            <w:pPr>
              <w:jc w:val="center"/>
              <w:rPr>
                <w:rFonts w:ascii="Calibri" w:hAnsi="Calibri" w:cs="Calibri"/>
                <w:bCs/>
                <w:color w:val="auto"/>
                <w:kern w:val="0"/>
                <w:lang w:val="en-IN" w:eastAsia="en-IN"/>
              </w:rPr>
            </w:pPr>
          </w:p>
          <w:p w:rsidR="00CF00D9" w:rsidRDefault="00CF00D9" w:rsidP="00CF00D9">
            <w:pPr>
              <w:jc w:val="center"/>
              <w:rPr>
                <w:rFonts w:ascii="Calibri" w:hAnsi="Calibri" w:cs="Calibri"/>
                <w:bCs/>
                <w:color w:val="auto"/>
                <w:kern w:val="0"/>
                <w:lang w:val="en-IN" w:eastAsia="en-IN"/>
              </w:rPr>
            </w:pPr>
          </w:p>
          <w:p w:rsidR="00CF00D9" w:rsidRDefault="00CF00D9" w:rsidP="00CF00D9">
            <w:pPr>
              <w:jc w:val="center"/>
              <w:rPr>
                <w:rFonts w:ascii="Calibri" w:hAnsi="Calibri" w:cs="Calibri"/>
                <w:bCs/>
                <w:color w:val="auto"/>
                <w:kern w:val="0"/>
                <w:lang w:val="en-IN" w:eastAsia="en-IN"/>
              </w:rPr>
            </w:pPr>
          </w:p>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8</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Grasselli</w:t>
            </w:r>
            <w:proofErr w:type="spellEnd"/>
            <w:r w:rsidRPr="004548EB">
              <w:rPr>
                <w:rFonts w:ascii="Calibri" w:hAnsi="Calibri" w:cs="Calibri"/>
                <w:color w:val="auto"/>
                <w:kern w:val="0"/>
                <w:lang w:val="en-IN" w:eastAsia="en-IN"/>
              </w:rPr>
              <w:t>, G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{"citationID":"H8QW2tnp","properties":{"formattedCitation":"\\super 13\\nosupersub{}","plainCitation":"13","noteIndex":0},"citationItems":[{"id":1066,"uris":["http://zotero.org/users/local/t39DgVW4/items/2Y9NL7FN"],"uri":["http://zotero.org/users/local/t39DgVW4/items/2Y9NL7FN"],"itemData":{"id":1066,"type":"article-journal","abstract":"OBJECTIVE To characterize patients with coronavirus disease 2019 (COVID-19) requiring treatment in an intensive care unit (ICU) in the Lombardy region of Italy. DESIGN, SETTING, AND PARTICIPANTS Retrospective case series of 1591 consecutive patients with laboratory-confirmed COVID-19 referred for ICU admission to the coordinator center (Fondazione IRCCS Ca’ Granda Ospedale Maggiore Policlinico, Milan, Italy) of the COVID-19 Lombardy ICU Network and treated at one of the ICUs of the 72 hospitals in this network between February 20 and March 18, 2020. Date of final follow-up was March 25, 2020. EXPOSURES SARS-CoV-2 infection confirmed by real-time reverse transcriptase–polymerase chain reaction (RT-PCR) assay of nasal and pharyngeal swabs. MAIN OUTCOMES AND MEASURES Demographic and clinical data were collected, including data on clinical management, respiratory failure, and patient mortality. Data were recorded by the coordinator center on an electronic worksheet during telephone calls by the staff of the COVID-19 Lombardy ICU Network.\nRESULTS Of the 1591 patients included in the study, the median (IQR) age was 63 (56-70) years and 1304 (82%) were male. Of the 1043 patients with available data, 709 (68%) had at least 1 comorbidity and 509 (49%) had hypertension. Among 1300 patients with available respiratory support data, 1287 (99% [95% CI, 98%-99%]) needed respiratory support, including 1150 (88% [95% CI, 87%-90%]) who received mechanical ventilation and 137 (11% [95% CI, 9%-12%]) who received noninvasive ventilation. The median positive end-expiratory pressure (PEEP) was 14 (IQR, 12-16) cm H2O, and FIO2 was greater than 50% in 89% of patients. The median PaO2/FIO2 was 160 (IQR, 114-220). The median PEEP level was not different between younger patients (n = 503 aged Յ63 years) and older patients (n = 514 aged Ն64 years) (14 [IQR, 12-15] vs 14 [IQR, 12-16] cm H2O, respectively; median difference, 0 [95% CI, 0-0]; P = .94). Median FIO2 was lower in younger patients: 60% (IQR, 50%-80%) vs 70% (IQR, 50%-80%) (median difference, −10% [95% CI, −14% to 6%]; P = .006), and median PaO2/FIO2 was higher in younger patients: 163.5 (IQR, 120-230) vs 156 (IQR, 110-205) (median difference, 7 [95% CI, −8 to 22]; P = .02). Patients with hypertension (n = 509) were older than those without hypertension (n = 526) (median [IQR] age, 66 years [60-72] vs 62 years [54-68]; P &lt; .001) and had lower PaO2/FIO2 (median [IQR], 146 [105-214] vs 173 [120-222]; median difference, −27 [95% CI, −42 to −12]; P = .005). Among the 1581 patients with ICU disposition data available as of March 25, 2020, 920 patients (58% [95% CI, 56%-61%]) were still in the ICU, 256 (16% [95% CI, 14%-18%]) were discharged from the ICU, and 405 (26% [95% CI, 23%-28%]) had died in the ICU. Older patients (n = 786; age Ն64 years) had higher mortality than younger patients (n = 795; age Յ63 years) (36% vs 15%; difference, 21% [95% CI, 17%-26%]; P &lt; .001).\nCONCLUSIONS AND RELEVANCE In this case series of critically ill patients with laboratory-confirmed COVID-19 admitted to ICUs in Lombardy, Italy, the majority were older men, a large proportion required mechanical ventilation and high levels of PEEP, and ICU mortality was 26%.","container-title":"JAMA","DOI":"10.1001/jama.2020.5394","ISSN":"0098-7484","issue":"16","journalAbbreviation":"JAMA","language":"en","page":"1574","source":"DOI.org (Crossref)","title":"Baseline Characteristics and Outcomes of 1591 Patients Infected With SARS-CoV-2 Admitted to ICUs of the Lombardy Region, Italy","volume":"323","author":[{"family":"Grasselli","given":"Giacomo"},{"family":"Zangrillo","given":"Alberto"},{"family":"Zanella","given":"Alberto"},{"family":"Antonelli","given":"Massimo"},{"family":"Cabrini","given":"Luca"},{"family":"Castelli","given":"Antonio"},{"family":"Cereda","given":"Danilo"},{"family":"Coluccello","given":"Antonio"},{"family":"Foti","given":"Giuseppe"},{"family":"Fumagalli","given":"Roberto"},{"family":"Iotti","given":"Giorgio"},{"family":"Latronico","given":"Nicola"},{"family":"Lorini","given":"Luca"},{"family":"Merler","given":"Stefano"},{"family":"Natalini","given":"Giuseppe"},{"family":"Piatti","given":"Alessandra"},{"family":"Ranieri","given":"Marco Vito"},{"family":"Scandroglio","given":"Anna Mara"},{"family":"Storti","given":"Enrico"},{"family":"Cecconi","given":"Maurizio"},{"family":"Pesenti","given":"Antonio"},{"literal":"for the COVID-19 Lombardy ICU Network"}],"issued":{"date-parts":[["2020",4,28]]}}}],"schema":"https://github.com/citation-style-language/schema/raw/master/csl-citation.json"}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13</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Italy</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patients admitted in ICU</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February 20, 2020 and March 25,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7</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961</w:t>
            </w:r>
          </w:p>
        </w:tc>
        <w:tc>
          <w:tcPr>
            <w:tcW w:w="709" w:type="dxa"/>
          </w:tcPr>
          <w:p w:rsidR="00CF00D9" w:rsidRDefault="00CF00D9" w:rsidP="00CF00D9">
            <w:pPr>
              <w:jc w:val="center"/>
              <w:rPr>
                <w:rFonts w:ascii="Calibri" w:hAnsi="Calibri" w:cs="Calibri"/>
                <w:bCs/>
                <w:color w:val="auto"/>
                <w:kern w:val="0"/>
                <w:lang w:val="en-IN" w:eastAsia="en-IN"/>
              </w:rPr>
            </w:pPr>
          </w:p>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783</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Grein</w:t>
            </w:r>
            <w:proofErr w:type="spellEnd"/>
            <w:r w:rsidRPr="004548EB">
              <w:rPr>
                <w:rFonts w:ascii="Calibri" w:hAnsi="Calibri" w:cs="Calibri"/>
                <w:color w:val="auto"/>
                <w:kern w:val="0"/>
                <w:lang w:val="en-IN" w:eastAsia="en-IN"/>
              </w:rPr>
              <w:t>, J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{"citationID":"1w5lBho1","properties":{"formattedCitation":"\\super 14\\nosupersub{}","plainCitation":"14","noteIndex":0},"citationItems":[{"id":1102,"uris":["http://zotero.org/users/local/t39DgVW4/items/668UZQDK"],"uri":["http://zotero.org/users/local/t39DgVW4/items/668UZQDK"],"itemData":{"id":1102,"type":"article-journal","abstract":"BACKGROUND Remdesivir, a nucleotide analogue prodrug that inhibits viral RNA polymerases, has shown in vitro activity against SARS-CoV-2.\nMETHODS We provided remdesivir on a compassionate-use basis to patients hospitalized with Covid-19, the illness caused by infection with SARS-CoV-2. Patients were those with confirmed SARS-CoV-2 infection who had an oxygen saturation of 94% or less while they were breathing ambient air or who were receiving oxygen support. Patients received a 10-day course of remdesivir, consisting of 200 mg administered intravenously on day 1, followed by 100 mg daily for the remaining 9 days of treatment. This report is based on data from patients who received remdesivir during the period from January 25, 2020, through March 7, 2020, and have clinical data for at least 1 subsequent day. The authors’ full names, academic degrees, and affiliations are listed in the Appendix. Address reprint requests to Dr. Brainard at Gilead Sciences, 333 Lakeside Dr., Foster City, CA 94404, or at ­diana .­brainard@­gilead.­com. This article was published on April 10, 2020, at NEJM.org. DOI: 10.1056/NEJMoa2007016 Copyright © 2020 Massachusetts Medical Society.\nRESULTS Of the 61 patients who received at least one dose of remdesivir, data from 8 could not be analyzed (including 7 patients with no post-treatment data and 1 with a dosing error). Of the 53 patients whose data were analyzed, 22 were in the United States, 22 in Europe or Canada, and 9 in Japan. At baseline, 30 patients (57%) were receiving mechanical ventilation and 4 (8%) were receiving extracorporeal membrane oxygenation. During a median follow-up of 18 days, 36 patients (68%) had an improvement in oxygen-support class, including 17 of 30 patients (57%) receiving mechanical ventilation who were extubated. A total of 25 patients (47%) were discharged, and 7 patients (13%) died; mortality was 18% (6 of 34) among patients receiving invasive ventilation and 5% (1 of 19) among those not receiving invasive ventilation.\nCONCLUSIONS In this cohort of patients hospitalized for severe Covid-19 who were treated with compassionate-use remdesivir, clinical improvement was observed in 36 of 53 patients (68%). Measurement of efficacy will require ongoing randomized, placebocontrolled trials of remdesivir therapy. (Funded by Gilead Sciences.)","container-title":"New England Journal of Medicine","DOI":"10.1056/NEJMoa2007016","ISSN":"0028-4793, 1533-4406","journalAbbreviation":"N Engl J Med","language":"en","page":"NEJMoa2007016","source":"DOI.org (Crossref)","title":"Compassionate Use of Remdesivir for Patients with Severe Covid-19","author":[{"family":"Grein","given":"Jonathan"},{"family":"Ohmagari","given":"Norio"},{"family":"Shin","given":"Daniel"},{"family":"Diaz","given":"George"},{"family":"Asperges","given":"Erika"},{"family":"Castagna","given":"Antonella"},{"family":"Feldt","given":"Torsten"},{"family":"Green","given":"Gary"},{"family":"Green","given":"Margaret L."},{"family":"Lescure","given":"François-Xavier"},{"family":"Nicastri","given":"Emanuele"},{"family":"Oda","given":"Rentaro"},{"family":"Yo","given":"Kikuo"},{"family":"Quiros-Roldan","given":"Eugenia"},{"family":"Studemeister","given":"Alex"},{"family":"Redinski","given":"John"},{"family":"Ahmed","given":"Seema"},{"family":"Bernett","given":"Jorge"},{"family":"Chelliah","given":"Daniel"},{"family":"Chen","given":"Danny"},{"family":"Chihara","given":"Shingo"},{"family":"Cohen","given":"Stuart H."},{"family":"Cunningham","given":"Jennifer"},{"family":"D’Arminio Monforte","given":"Antonella"},{"family":"Ismail","given":"Saad"},{"family":"Kato","given":"Hideaki"},{"family":"Lapadula","given":"Giuseppe"},{"family":"L’Her","given":"Erwan"},{"family":"Maeno","given":"Toshitaka"},{"family":"Majumder","given":"Sumit"},{"family":"Massari","given":"Marco"},{"family":"Mora-Rillo","given":"Marta"},{"family":"Mutoh","given":"Yoshikazu"},{"family":"Nguyen","given":"Duc"},{"family":"Verweij","given":"Ewa"},{"family":"Zoufaly","given":"Alexander"},{"family":"Osinusi","given":"Anu O."},{"family":"DeZure","given":"Adam"},{"family":"Zhao","given":"Yang"},{"family":"Zhong","given":"Lijie"},{"family":"Chokkalingam","given":"Anand"},{"family":"Elboudwarej","given":"Emon"},{"family":"Telep","given":"Laura"},{"family":"Timbs","given":"Leighann"},{"family":"Henne","given":"Ilana"},{"family":"Sellers","given":"Scott"},{"family":"Cao","given":"Huyen"},{"family":"Tan","given":"Susanna K."},{"family":"Winterbourne","given":"Lucinda"},{"family":"Desai","given":"Polly"},{"family":"Mera","given":"Robertino"},{"family":"Gaggar","given":"Anuj"},{"family":"Myers","given":"Robert P."},{"family":"Brainard","given":"Diana M."},{"family":"Childs","given":"Richard"},{"family":"Flanigan","given":"Timothy"}],"issued":{"date-parts":[["2020",4,10]]}}}],"schema":"https://github.com/citation-style-language/schema/raw/master/csl-citation.json"}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14</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Multicentric - USA, Japan, Canada, France, Austria, Italy, Germany, Netherland, Spain</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All patients admitted </w:t>
            </w:r>
            <w:r>
              <w:rPr>
                <w:rFonts w:ascii="Calibri" w:hAnsi="Calibri"/>
              </w:rPr>
              <w:t xml:space="preserve">with COVID-19 </w:t>
            </w:r>
            <w:r w:rsidRPr="004548EB">
              <w:rPr>
                <w:rFonts w:ascii="Calibri" w:hAnsi="Calibri"/>
              </w:rPr>
              <w:t>with oxygen saturation of 94% or less while they were breathing ambient air or who were receiving oxygen support and who do not have seve</w:t>
            </w:r>
            <w:r>
              <w:rPr>
                <w:rFonts w:ascii="Calibri" w:hAnsi="Calibri"/>
              </w:rPr>
              <w:t>re renal or hepatic dysfunction</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Prospective cohort study</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25, 2020 to March 30,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28</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Pr>
                <w:rFonts w:ascii="Calibri" w:hAnsi="Calibri" w:cs="Calibri"/>
                <w:color w:val="auto"/>
                <w:kern w:val="0"/>
                <w:lang w:val="en-IN" w:eastAsia="en-IN"/>
              </w:rPr>
              <w:t>6</w:t>
            </w:r>
            <w:r w:rsidRPr="004548EB">
              <w:rPr>
                <w:rFonts w:ascii="Calibri" w:hAnsi="Calibri" w:cs="Calibri"/>
                <w:color w:val="auto"/>
                <w:kern w:val="0"/>
                <w:lang w:val="en-IN" w:eastAsia="en-IN"/>
              </w:rPr>
              <w:t>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18</w:t>
            </w:r>
          </w:p>
        </w:tc>
        <w:tc>
          <w:tcPr>
            <w:tcW w:w="709" w:type="dxa"/>
            <w:vAlign w:val="bottom"/>
          </w:tcPr>
          <w:p w:rsidR="00CF00D9" w:rsidRPr="001E462D" w:rsidRDefault="00CF00D9" w:rsidP="00CF00D9">
            <w:pPr>
              <w:jc w:val="center"/>
              <w:rPr>
                <w:rFonts w:ascii="Calibri" w:hAnsi="Calibri" w:cs="Calibri"/>
                <w:bCs/>
                <w:color w:val="auto"/>
                <w:kern w:val="0"/>
                <w:vertAlign w:val="superscript"/>
                <w:lang w:val="en-IN" w:eastAsia="en-IN"/>
              </w:rPr>
            </w:pPr>
            <w:r>
              <w:rPr>
                <w:rFonts w:ascii="Calibri" w:hAnsi="Calibri" w:cs="Calibri"/>
                <w:bCs/>
                <w:color w:val="auto"/>
                <w:kern w:val="0"/>
                <w:lang w:val="en-IN" w:eastAsia="en-IN"/>
              </w:rPr>
              <w:t>6</w:t>
            </w:r>
            <w:r>
              <w:rPr>
                <w:rFonts w:ascii="Calibri" w:hAnsi="Calibri" w:cs="Calibri"/>
                <w:bCs/>
                <w:color w:val="auto"/>
                <w:kern w:val="0"/>
                <w:vertAlign w:val="superscript"/>
                <w:lang w:val="en-IN" w:eastAsia="en-IN"/>
              </w:rPr>
              <w:t>#</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75 (72 - 78)##</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Guan, W-J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{"citationID":"oOjKIlEa","properties":{"formattedCitation":"\\super 15\\nosupersub{}","plainCitation":"15","noteIndex":0},"citationItems":[{"id":1087,"uris":["http://zotero.org/users/local/t39DgVW4/items/S59GDNHN"],"uri":["http://zotero.org/users/local/t39DgVW4/items/S59GDNHN"],"itemData":{"id":1087,"type":"article-journal","abstract":"BACKGROUND Since December 2019, when coronavirus disease 2019 (Covid-19) emerged in Wuhan city and rapidly spread throughout China, data have been needed on the clinical characteristics of the affected patients.\nMETHODS We extracted data regarding 1099 patients with laboratory-confirmed Covid-19 from 552 hospitals in 30 provinces, autonomous regions, and municipalities in mainland China through January 29, 2020. The primary composite end point was admission to an intensive care unit (ICU), the use of mechanical ventilation, or death. The authors’ full names, academic degrees, and affiliations are listed in the Appendix. Address reprint requests to Dr. Zhong at the State Key Laboratory of Respiratory Disease, National Clinical Research Center for Respiratory Disease, Guangzhou Institute of Respiratory Health, First Affiliated Hospital of Guangzhou Medical University, 151 Yanjiang Rd., Guangzhou, Guangdong, China, or at ­nanshan@­vip.­163.­com.\nRESULTS The median age of the patients was 47 years; 41.9% of the patients were female. The primary composite end point occurred in 67 patients (6.1%), including 5.0% who were admitted to the ICU, 2.3% who underwent invasive mechanical ventilation, and 1.4% who died. Only 1.9% of the patients had a history of direct contact with wildlife. Among nonresidents of Wuhan, 72.3% had contact with residents of Wuhan, including 31.3% who had visited the city. The most common symptoms were fever (43.8% on admission and 88.7% during hospitalization) and cough (67.8%). Diarrhea was uncommon (3.8%). The median incubation period was 4 days (interquartile range, 2 to 7). On admission, ground-glass opacity was the most common radiologic finding on chest computed tomography (CT) (56.4%). No radiographic or CT abnormality was found in 157 of 877 patients (17.9%) with nonsevere disease and in 5 of 173 patients (2.9%) with severe disease. Lymphocytopenia was present in 83.2% of the patients on admission. *A list of investigators in the China Medical Treatment Expert Group for Covid-19 study is provided in the Supplementary Appendix, available at NEJM.org. Drs. Guan, Ni, Yu Hu, W. Liang, Ou, He, L. Liu, Shan, Lei, Hui, Du, L. Li, Zeng, and Yuen contributed equally to this article. This article was published on February 28, 2020, and last updated on March 6, 2020, at NEJM.org. DOI: 10.1056/NEJMoa2002032 Copyright © 2020 Massachusetts Medical Society.\nCONCLUSIONS During the first 2 months of the current outbreak, Covid-19 spread rapidly throughout China and caused varying degrees of illness. Patients often presented without fever, and many did not have abnormal radiologic findings. (Funded by the National Health Commission of China and others.)","container-title":"New England Journal of Medicine","DOI":"10.1056/NEJMoa2002032","ISSN":"0028-4793, 1533-4406","issue":"18","journalAbbreviation":"N Engl J Med","language":"en","page":"1708-1720","source":"DOI.org (Crossref)","title":"Clinical Characteristics of Coronavirus Disease 2019 in China","volume":"382","author":[{"family":"Guan","given":"Wei-jie"},{"family":"Ni","given":"Zheng-yi"},{"family":"Hu","given":"Yu"},{"family":"Liang","given":"Wen-hua"},{"family":"Ou","given":"Chun-quan"},{"family":"He","given":"Jian-xing"},{"family":"Liu","given":"Lei"},{"family":"Shan","given":"Hong"},{"family":"Lei","given":"Chun-liang"},{"family":"Hui","given":"David S.C."},{"family":"Du","given":"Bin"},{"family":"Li","given":"Lan-juan"},{"family":"Zeng","given":"Guang"},{"family":"Yuen","given":"Kwok-Yung"},{"family":"Chen","given":"Ru-chong"},{"family":"Tang","given":"Chun-li"},{"family":"Wang","given":"Tao"},{"family":"Chen","given":"Ping-yan"},{"family":"Xiang","given":"Jie"},{"family":"Li","given":"Shi-yue"},{"family":"Wang","given":"Jin-lin"},{"family":"Liang","given":"Zi-jing"},{"family":"Peng","given":"Yi-xiang"},{"family":"Wei","given":"Li"},{"family":"Liu","given":"Yong"},{"family":"Hu","given":"Ya-hua"},{"family":"Peng","given":"Peng"},{"family":"Wang","given":"Jian-ming"},{"family":"Liu","given":"Ji-yang"},{"family":"Chen","given":"Zhong"},{"family":"Li","given":"Gang"},{"family":"Zheng","given":"Zhi-jian"},{"family":"Qiu","given":"Shao-qin"},{"family":"Luo","given":"Jie"},{"family":"Ye","given":"Chang-jiang"},{"family":"Zhu","given":"Shao-yong"},{"family":"Zhong","given":"Nan-shan"}],"issued":{"date-parts":[["2020",4,30]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15</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and out-patients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December 11, 2019, to January 31,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8</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153</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Kang, Y-J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{"citationID":"LICu9B6H","properties":{"formattedCitation":"\\super 16\\nosupersub{}","plainCitation":"16","noteIndex":0},"citationItems":[{"id":1124,"uris":["http://zotero.org/users/local/t39DgVW4/items/Y8N8IAFZ"],"uri":["http://zotero.org/users/local/t39DgVW4/items/Y8N8IAFZ"],"itemData":{"id":1124,"type":"article-journal","abstract":"On December 31, 2019 the China National Health Commission (NHC) reported that an unknown cause of pneumonia had been detected in Wuhan in Hubei province. On February 12, the disease caused by the novel coronavirus (2019-nCoV) was given a formal name, COVID-19. On January 20, 2020, the first case of COVID-19 was confirmed in Korea. The age-specific death rate was the highest among patients over 70 years of age, with underlying diseases in their circulatory system, such as myocardial infarction, cerebral infraction, arrythmia, and hypertension. Patients with underlying disease who are 70 years of age or older should recognize that there is a high possibility of developing a serious disease in case of viral infection and follow strict precautions.","container-title":"Disaster Medicine and Public Health Preparedness","DOI":"10.1017/dmp.2020.60","ISSN":"1935-7893, 1938-744X","journalAbbreviation":"Disaster med. public health prep.","language":"en","page":"1-3","source":"DOI.org (Crossref)","title":"Mortality Rate of Infection With COVID-19 in Korea From the Perspective of Underlying Disease","author":[{"family":"Kang","given":"Yun-Jung"}],"issued":{"date-parts":[["2020",3,31]]}}}],"schema":"https://github.com/citation-style-language/schema/raw/master/csl-citation.json"}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16</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South Korea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 (surveillance data)</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20, 2020 to March 16,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1825</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KCDC</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{"citationID":"AZ3s74gV","properties":{"formattedCitation":"\\super 17\\nosupersub{}","plainCitation":"17","noteIndex":0},"citationItems":[{"id":1107,"uris":["http://zotero.org/users/local/t39DgVW4/items/G5HNQL63"],"uri":["http://zotero.org/users/local/t39DgVW4/items/G5HNQL63"],"itemData":{"id":1107,"type":"article-journal","abstract":"We report the first 7,755 patients with confirmed COVID-19 in Korea as of March 12th, 2020. A total of 66 deaths have been recorded, giving a case fatality proportion of 0.9%. Older people, and those with comorbidities were at a higher risk of a fatal outcome. The highest number of cases of COVID-19 were in Daegu, followed by Gyeongbuk. This summary may help to understand the disease dynamics in the early phase of the COVID-19 outbreaks, and may therefore, guide future public health measures.","container-title":"Osong Public Health and Research Perspectives","DOI":"10.24171/j.phrp.2020.11.2.05","ISSN":"2210-9099, 2233-6052","issue":"2","journalAbbreviation":"Osong Public Health Res Perspect","language":"en","page":"85-90","source":"DOI.org (Crossref)","title":"Coronavirus Disease-19: The First 7,755 Cases in the Republic of Korea","title-short":"Coronavirus Disease-19","volume":"11","author":[{"literal":"COVID-19 National Emergency Response Center, Epidemiology and Case Management Team, Korea Centers for Disease Control and Prevention"}],"issued":{"date-parts":[["2020",4,30]]}}}],"schema":"https://github.com/citation-style-language/schema/raw/master/csl-citation.json"}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17</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South Korea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 (surveillance data)</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20, 2020 to March 13,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1679</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KSID/KCDC</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{"citationID":"cZgVK3vZ","properties":{"formattedCitation":"\\super 18\\nosupersub{}","plainCitation":"18","noteIndex":0},"citationItems":[{"id":1063,"uris":["http://zotero.org/users/local/t39DgVW4/items/8VDR8GAG"],"uri":["http://zotero.org/users/local/t39DgVW4/items/8VDR8GAG"],"itemData":{"id":1063,"type":"article-journal","container-title":"Journal of Korean Medical Science","DOI":"10.3346/jkms.2020.35.e132","ISSN":"1011-8934, 1598-6357","issue":"12","journalAbbreviation":"J Korean Med Sci","language":"en","page":"e132","source":"DOI.org (Crossref)","title":"Analysis on 54 Mortality Cases of Coronavirus Disease 2019 in the Republic of Korea from January 19 to March 10, 2020","volume":"35","author":[{"literal":"Korean Society of Infectious Diseases and Korea Centers for Disease Control and Prevention"}],"issued":{"date-parts":[["2020"]]}}}],"schema":"https://github.com/citation-style-language/schema/raw/master/csl-citation.json"}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18</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South Korea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died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Retrospective case series </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19, 2020 to March 10,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70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34</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20</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78 (76.8–83.3</w:t>
            </w:r>
            <w:r w:rsidRPr="00B6257D">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lastRenderedPageBreak/>
              <w:t>Lechien</w:t>
            </w:r>
            <w:proofErr w:type="spellEnd"/>
            <w:r w:rsidRPr="004548EB">
              <w:rPr>
                <w:rFonts w:ascii="Calibri" w:hAnsi="Calibri" w:cs="Calibri"/>
                <w:color w:val="auto"/>
                <w:kern w:val="0"/>
                <w:lang w:val="en-IN" w:eastAsia="en-IN"/>
              </w:rPr>
              <w:t>, J R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{"citationID":"nn0gjBMa","properties":{"formattedCitation":"\\super 19\\nosupersub{}","plainCitation":"19","noteIndex":0},"citationItems":[{"id":1079,"uris":["http://zotero.org/users/local/t39DgVW4/items/HUG2ZU83"],"uri":["http://zotero.org/users/local/t39DgVW4/items/HUG2ZU83"],"itemData":{"id":1079,"type":"article-journal","abstract":"Background: The clinical presentation of European patients with mild-to-moderate Covid-19 infection is still unknown.\nObjective: To study the clinical presentation of Covid-19 in Europe.\nMethods: Patients with positive diagnosis of Covid-19 were recruited from 18 European hospitals. Epidemiological and clinical data were obtained through a standardized questionnaire. Bayesian analysis was used for analyzing the relationship between outcomes.\nResults: 1,420 patients completed the study (962 females, 30.7% of health care workers). The mean age of patients was 39.17±12.09 years. The most common symptoms were headache (70.3%), loss of smell (70.2%), nasal obstruction (67.8%), cough (63.2%), asthenia (63.3%), myalgia (62.5%), rhinorrhea (60.1%), gustatory dysfunction (54.2%) and sore throat (52.9%). Fever was reported by on 45.4%. The mean duration of Covid-19 symptoms of mild-to-moderate cured patients was 11.5±5.7 days. The prevalence of symptoms significantly varied according to age and sex. Young patients more frequently had ear, nose, and throat complaints, whereas elderly individuals often presented fever, fatigue and loss of appetite. Loss of smell, headache, nasal obstruction and fatigue were more prevalent in female patients. The loss of smell was a key symptom of mild-to-moderate Covid19 patients and was not associated with nasal obstruction and rhinorrhea. Loss of smell persisted at least 7 days after the disease in 37.5% of cured patients.\nConclusion: The clinical presentation of mild-to-moderate Covid-19 substantially varies according to the age and the sex characteristics of patients. Olfactory dysfunction seems to be an important underestimated symptom of mild-to-moderate Covid-19 that needs to be recognized as such by the WHO.","container-title":"Journal of Internal Medicine","DOI":"10.1111/joim.13089","ISSN":"0954-6820, 1365-2796","journalAbbreviation":"J Intern Med","language":"en","page":"joim.13089","source":"DOI.org (Crossref)","title":"Clinical and Epidemiological Characteristics of 1,420 European Patients with mild‐to‐moderate Coronavirus Disease 2019","author":[{"family":"Lechien","given":"Jerome R."},{"family":"Chiesa‐Estomba","given":"Carlos M."},{"family":"Place","given":"Sammy"},{"family":"Van Laethem","given":"Yves"},{"family":"Cabaraux","given":"Pierre"},{"family":"Mat","given":"Quentin"},{"family":"Huet","given":"Kathy"},{"family":"Plzak","given":"Jan"},{"family":"Horoi","given":"Mihaela"},{"family":"Hans","given":"Stéphane"},{"family":"Barillari","given":"Maria Rosaria"},{"family":"Cammaroto","given":"Giovanni"},{"family":"Fakhry","given":"Nicolas"},{"family":"Martiny","given":"Delphine"},{"family":"Ayad","given":"Tareck"},{"family":"Jouffe","given":"Lionel"},{"family":"Hopkins","given":"Claire"},{"family":"Saussez","given":"Sven"},{"literal":"COVID‐19 Task Force of YO‐IFOS"},{"family":"Blecic","given":"Serge"},{"family":"De Siati","given":"Daniele R."},{"family":"Leich","given":"Pierre"},{"family":"Souchay","given":"Christel"},{"family":"Rossi","given":"Camelia"},{"family":"Journe","given":"Fabrice"},{"family":"Hsieh","given":"Julien"},{"family":"Ris","given":"Laurence"},{"family":"El Afia","given":"Fahd"},{"family":"Harmegnies","given":"Bernard"},{"family":"Distinguin","given":"Lea"},{"family":"Chekkoury‐Idrissi","given":"Younes"},{"family":"Circiu","given":"Marta"},{"family":"Lavigne","given":"Philippe"},{"family":"Lopez Delgado","given":"Irene"},{"family":"Calvo‐Henriquez","given":"Christian"},{"family":"Falanga","given":"Chiara"},{"family":"Coppee","given":"Frederique"},{"family":"Le Bon","given":"Serge D."},{"family":"Rodriguez","given":"Alexandra"},{"family":"Dequanter","given":"Didier"},{"family":"Cornelis","given":"Jean‐Philippe"},{"family":"Vergez","given":"Sebastien"},{"family":"Koenen","given":"Lukas"},{"family":"Giuditta","given":"Mannelli"},{"family":"Molteni","given":"Gabriele"},{"family":"Tucciarone","given":"Manuel"},{"family":"Radulesco","given":"Thomas"},{"family":"Khalife","given":"Mohamad"},{"family":"Fourneau","given":"Anne‐Francoise"},{"family":"Cherifi","given":"Soraya"},{"family":"Manto","given":"Mario"},{"family":"Michel","given":"Justin"},{"family":"Radulesco","given":"Thomas"},{"family":"Molteni","given":"Gabriele"},{"family":"Tucciarone","given":"Manuel"},{"family":"Mannelli","given":"Giuditta"},{"family":"Cantarella","given":"Giovanna"}],"issued":{"date-parts":[["2020",4,30]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19</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Multicentric (France, Italy, Spain, Belgium and Switzerland)</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w:t>
            </w:r>
            <w:r>
              <w:rPr>
                <w:rFonts w:ascii="Calibri" w:hAnsi="Calibri"/>
              </w:rPr>
              <w:t>nts with mild to moderate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Prospective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March 22, 2020 to April 10,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76</w:t>
            </w:r>
          </w:p>
        </w:tc>
        <w:tc>
          <w:tcPr>
            <w:tcW w:w="709" w:type="dxa"/>
          </w:tcPr>
          <w:p w:rsidR="00CF00D9" w:rsidRDefault="00CF00D9" w:rsidP="00CF00D9">
            <w:pPr>
              <w:jc w:val="center"/>
              <w:rPr>
                <w:rFonts w:ascii="Calibri" w:hAnsi="Calibri" w:cs="Calibri"/>
                <w:bCs/>
                <w:color w:val="auto"/>
                <w:kern w:val="0"/>
                <w:lang w:val="en-IN" w:eastAsia="en-IN"/>
              </w:rPr>
            </w:pPr>
          </w:p>
          <w:p w:rsidR="00CF00D9" w:rsidRDefault="00CF00D9" w:rsidP="00CF00D9">
            <w:pPr>
              <w:jc w:val="center"/>
              <w:rPr>
                <w:rFonts w:ascii="Calibri" w:hAnsi="Calibri" w:cs="Calibri"/>
                <w:bCs/>
                <w:color w:val="auto"/>
                <w:kern w:val="0"/>
                <w:lang w:val="en-IN" w:eastAsia="en-IN"/>
              </w:rPr>
            </w:pPr>
          </w:p>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37</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Li, J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{"citationID":"aa8lrmlq7a","properties":{"formattedCitation":"\\super 20\\nosupersub{}","plainCitation":"20","noteIndex":0},"citationItems":[{"id":1171,"uris":["http://zotero.org/users/local/t39DgVW4/items/RKLMXYWF"],"uri":["http://zotero.org/users/local/t39DgVW4/items/RKLMXYWF"],"itemData":{"id":1171,"type":"article-journal","abstract":"OBJECTIVE To investigate the association between ACEIs/ARBs and severity of illness and mortality in patients with hypertension hospitalized for COVID-19 infection. DESIGN, SETTING, AND PARTICIPANTS Retrospective, single-center case series of the 1178 hospitalized patients with COVID-19 infections at the Central Hospital of Wuhan, China, from January 15 to March 15, 2020. MAIN OUTCOMES AND MEASURES COVID-19 was confirmed by real-time reverse transcription polymerase chain reaction and epidemiologic, clinical, radiologic, laboratory, and drug therapy data were analyzed in all patients. The percentage of patients with hypertension taking ACEIs/ARBs was compared between those with severe vs nonsevere illness and between survivors vs nonsurvivors.\nRESULTS Of the 1178 patients with COVID-19, the median age was 55.5 years (interquartile range, 38-67 years) and 545 (46.3%) were men. The overall in-hospital mortality was 11.0%. There were 362 patients with hypertension (30.7% of the total group; median age, 66.0 years [interquartile range, 59-73 years]; 189 [52.2%] were men), of whom 115 (31.8%) were taking ACEI/ARBs. The in-hospital mortality in the patients with hypertension was 21.3%. The percentage of patients with hypertension taking ACEIs/ARBs did not differ between those with severe and nonsevere infections (32.9% vs 30.7%; P = .645) nor did it differ between nonsurvivors and survivors (27.3% vs 33.0%; P = .34). Similar findings were observed when data were analyzed for patients taking ACEIs and those taking ARBs.\nCONCLUSIONS AND RELEVANCE This study provides clinical data on the association between ACEIs/ARBs and outcomes in patients with hypertension hospitalized with COVID-19 infections, suggesting that ACEIs/ARBs are not associated with the severity or mortality of COVID-19 in such patients. These data support current guidelines and societal recommendations for treating hypertension during the COVID-19 pandemic.","container-title":"JAMA Cardiology","DOI":"10.1001/jamacardio.2020.1624","ISSN":"2380-6583","journalAbbreviation":"JAMA Cardiol","language":"en","source":"DOI.org (Crossref)","title":"Association of Renin-Angiotensin System Inhibitors With Severity or Risk of Death in Patients With Hypertension Hospitalized for Coronavirus Disease 2019 (COVID-19) Infection in Wuhan, China","URL":"https://jamanetwork.com/journals/jamacardiology/fullarticle/2765049","author":[{"family":"Li","given":"Juyi"},{"family":"Wang","given":"Xiufang"},{"family":"Chen","given":"Jian"},{"family":"Zhang","given":"Hongmei"},{"family":"Deng","given":"Aiping"}],"accessed":{"date-parts":[["2020",5,30]]},"issued":{"date-parts":[["2020",4,23]]}}}],"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20</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All admitted hypertensive patients </w:t>
            </w:r>
            <w:r>
              <w:rPr>
                <w:rFonts w:ascii="Calibri" w:hAnsi="Calibri"/>
              </w:rPr>
              <w:t>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15, 2020, to March 15,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259</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Li, T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{"citationID":"RrrUYaIz","properties":{"formattedCitation":"\\super 21\\nosupersub{}","plainCitation":"21","noteIndex":0},"citationItems":[{"id":1131,"uris":["http://zotero.org/users/local/t39DgVW4/items/FK9AWKVS"],"uri":["http://zotero.org/users/local/t39DgVW4/items/FK9AWKVS"],"itemData":{"id":1131,"type":"article-journal","abstract":"Background/objectives To evaluate the prevalence of malnutrition and its related factors in elderly patients with COVID-19 in Wuhan, China. Subjects/methods In a cross-sectional study, we evaluated the nutritional status of elderly inpatients with COVID-19 using the Mini Nutritional Assessment (MNA). Based on MNA scores, patients were divided into non-malnutrition group (MNA ≥ 24), the group with risk of malnutrition (MNA 17–23.5) and malnutrition group (MNA score &lt; 17). Regression analysis was conducted to screen for risk factors for malnutrition.\nResults A total of 182 patients were included in the study, of which 27.5% were in the group with malnutrition risk and 52.7% were in the malnutrition group. There were statistical differences in the incidence of comorbid diabetes mellitus, body mass index (BMI), calf circumference,albumin, hemoglobin, and lymphocyte counts among the three groups. Further regression analysis suggested that combined diabetes, low calf circumference, and low albumin were independent risk factors for malnutrition.\nConclusions The prevalence of malnutrition in elderly patients with COVID-19 was high, and nutritional support should be strengthened during treatment, especially for those with diabetes mellitus, low calf circumference, or low albumin. 1234567890();,:","container-title":"European Journal of Clinical Nutrition","DOI":"10.1038/s41430-020-0642-3","ISSN":"0954-3007, 1476-5640","journalAbbreviation":"Eur J Clin Nutr","language":"en","source":"DOI.org (Crossref)","title":"Prevalence of malnutrition and analysis of related factors in elderly patients with COVID-19 in Wuhan, China","URL":"http://www.nature.com/articles/s41430-020-0642-3","author":[{"family":"Li","given":"Tao"},{"family":"Zhang","given":"Yalan"},{"family":"Gong","given":"Cheng"},{"family":"Wang","given":"Jing"},{"family":"Liu","given":"Bao"},{"family":"Shi","given":"Li"},{"family":"Duan","given":"Jun"}],"accessed":{"date-parts":[["2020",5,19]]},"issued":{"date-parts":[["2020",4,22]]}}}],"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21</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older patients</w:t>
            </w:r>
            <w:r>
              <w:rPr>
                <w:rFonts w:ascii="Calibri" w:hAnsi="Calibri"/>
              </w:rPr>
              <w:t xml:space="preserve"> with COVID-19</w:t>
            </w:r>
            <w:r w:rsidRPr="004548EB">
              <w:rPr>
                <w:rFonts w:ascii="Calibri" w:hAnsi="Calibri"/>
              </w:rPr>
              <w:t xml:space="preserve"> who do not have severe renal or hepatic dysfunction</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Cross-sectional study</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to February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182</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65</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 </w:t>
            </w: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Li, X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{"citationID":"nga4E3X3","properties":{"formattedCitation":"\\super 22\\nosupersub{}","plainCitation":"22","noteIndex":0},"citationItems":[{"id":1150,"uris":["http://zotero.org/users/local/t39DgVW4/items/LVSSGQN2"],"uri":["http://zotero.org/users/local/t39DgVW4/items/LVSSGQN2"],"itemData":{"id":1150,"type":"article-journal","container-title":"International Journal of Infectious Diseases","DOI":"10.1016/j.ijid.2020.03.053","ISSN":"12019712","journalAbbreviation":"International Journal of Infectious Diseases","language":"en","page":"128-132","source":"DOI.org (Crossref)","title":"Clinical characteristics of 25 death cases with COVID-19: A retrospective review of medical records in a single medical center, Wuhan, China","title-short":"Clinical characteristics of 25 death cases with COVID-19","volume":"94","author":[{"family":"Li","given":"Xun"},{"family":"Wang","given":"Luwen"},{"family":"Yan","given":"Shaonan"},{"family":"Yang","given":"Fan"},{"family":"Xiang","given":"Longkui"},{"family":"Zhu","given":"Jiling"},{"family":"Shen","given":"Bo"},{"family":"Gong","given":"Zuojiong"}],"issued":{"date-parts":[["2020",5]]}}}],"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22</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died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Retrospective case series </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January 14, 2020 to </w:t>
            </w:r>
            <w:proofErr w:type="spellStart"/>
            <w:r w:rsidRPr="004548EB">
              <w:rPr>
                <w:rFonts w:ascii="Calibri" w:hAnsi="Calibri"/>
              </w:rPr>
              <w:t>Febuary</w:t>
            </w:r>
            <w:proofErr w:type="spellEnd"/>
            <w:r w:rsidRPr="004548EB">
              <w:rPr>
                <w:rFonts w:ascii="Calibri" w:hAnsi="Calibri"/>
              </w:rPr>
              <w:t xml:space="preserve"> 13, 2020.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19</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9</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 </w:t>
            </w: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Lian</w:t>
            </w:r>
            <w:proofErr w:type="spellEnd"/>
            <w:r w:rsidRPr="004548EB">
              <w:rPr>
                <w:rFonts w:ascii="Calibri" w:hAnsi="Calibri" w:cs="Calibri"/>
                <w:color w:val="auto"/>
                <w:kern w:val="0"/>
                <w:lang w:val="en-IN" w:eastAsia="en-IN"/>
              </w:rPr>
              <w:t>, J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{"citationID":"0RdabeR3","properties":{"formattedCitation":"\\super 23\\nosupersub{}","plainCitation":"23","noteIndex":0},"citationItems":[{"id":1040,"uris":["http://zotero.org/users/local/t39DgVW4/items/8RD7QRUD"],"uri":["http://zotero.org/users/local/t39DgVW4/items/8RD7QRUD"],"itemData":{"id":1040,"type":"article-journal","abstract":"Older patients with COVID-19 had significantly higher rate of female gender, high temperature, familiar clustering, co-existing of basic diseases, dyspnea, lymphocytopenia, severe/critical type and ICU admission; higher level of AST, CK, LDH, CRP and lower level of haemoglobin, albumin.","container-title":"Clinical Infectious Diseases","DOI":"10.1093/cid/ciaa242","ISSN":"1058-4838, 1537-6591","language":"en","page":"ciaa242","source":"DOI.org (Crossref)","title":"Analysis of Epidemiological and Clinical features in older patients with Corona Virus Disease 2019 (COVID-19) out of Wuhan","author":[{"family":"Lian","given":"Jiangshan"},{"family":"Jin","given":"Xi"},{"family":"Hao","given":"Shaorui"},{"family":"Cai","given":"Huan"},{"family":"Zhang","given":"Shanyan"},{"family":"Zheng","given":"Lin"},{"family":"Jia","given":"Hongyu"},{"family":"Hu","given":"Jianhua"},{"family":"Gao","given":"Jianguo"},{"family":"Zhang","given":"Yimin"},{"family":"Zhang","given":"Xiaoli"},{"family":"Yu","given":"Guodong"},{"family":"Wang","given":"Xiaoyan"},{"family":"Gu","given":"Jueqing"},{"family":"Ye","given":"Chanyuan"},{"family":"jin","given":"Ciliang"},{"family":"Lu","given":"Yingfeng"},{"family":"Yu","given":"Xia"},{"family":"Yu","given":"Xiaopeng"},{"family":"Ren","given":"Yue"},{"family":"Qiu","given":"Yunqing"},{"family":"Li","given":"Lanjuan"},{"family":"Sheng","given":"Jifang"},{"family":"Yang","given":"Yida"}],"issued":{"date-parts":[["2020",3,25]]}}}],"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23</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17, 2020 to February 12,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136</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58</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68.3 +/- 7.3</w:t>
            </w:r>
            <w:r>
              <w:rPr>
                <w:rFonts w:ascii="Calibri" w:hAnsi="Calibri" w:cs="Calibri"/>
                <w:bCs/>
                <w:color w:val="auto"/>
                <w:kern w:val="0"/>
                <w:vertAlign w:val="superscript"/>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Lin, L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{"citationID":"wYydvDhV","properties":{"formattedCitation":"\\super 24\\nosupersub{}","plainCitation":"24","noteIndex":0},"citationItems":[{"id":1120,"uris":["http://zotero.org/users/local/t39DgVW4/items/3UZR7ZLW"],"uri":["http://zotero.org/users/local/t39DgVW4/items/3UZR7ZLW"],"itemData":{"id":1120,"type":"article-journal","abstract":"Objective  To study the GI symptoms in severe acute respiratory syndrome coronavirus 2 (SARS-­CoV-2) infected patients. Design  We analysed epidemiological, demographic, clinical and laboratory data of 95 cases with SARS-­CoV-2 caused coronavirus disease 2019. Real-t­ime reverse transcriptase PCR was used to detect the presence of SARS-­CoV-2 in faeces and GI tissues.\nResults  Among the 95 patients, 58 cases exhibited GI symptoms of which 11 (11.6%) occurred on admission and 47 (49.5%) developed during hospitalisation. Diarrhoea (24.2%), anorexia (17.9%) and nausea (17.9%) were the main symptoms with five (5.3%), five (5.3%) and three (3.2%) cases occurred on the illness onset, respectively. A substantial proportion of patients developed diarrhoea during hospitalisation, potentially aggravated by various drugs including antibiotics. Faecal samples of 65 hospitalised patients were tested for the presence of SARS-­CoV-2, including 42 with and 23 without GI symptoms, of which 22 (52.4%) and 9 (39.1%) were positive, respectively. Six patients with GI symptoms were subjected to endoscopy, revealing oesophageal bleeding with erosions and ulcers in one severe patient. SARS-­CoV-2 RNA was detected in oesophagus, stomach, duodenum and rectum specimens for both two severe patients. In contrast, only duodenum was positive in one of the four non-­severe patients.\nConclusions  GI tract may be a potential transmission route and target organ of SARS-­CoV-2.","container-title":"Gut","DOI":"10.1136/gutjnl-2020-321013","ISSN":"0017-5749, 1468-3288","issue":"6","journalAbbreviation":"Gut","language":"en","page":"997-1001","source":"DOI.org (Crossref)","title":"Gastrointestinal symptoms of 95 cases with SARS-CoV-2 infection","volume":"69","author":[{"family":"Lin","given":"Lu"},{"family":"Jiang","given":"Xiayang"},{"family":"Zhang","given":"Zhenling"},{"family":"Huang","given":"Siwen"},{"family":"Zhang","given":"Zhenyi"},{"family":"Fang","given":"Zhaoxiong"},{"family":"Gu","given":"Zhiqiang"},{"family":"Gao","given":"Liangqing"},{"family":"Shi","given":"Honggang"},{"family":"Mai","given":"Lei"},{"family":"Liu","given":"Yuan"},{"family":"Lin","given":"Xianqi"},{"family":"Lai","given":"Renxu"},{"family":"Yan","given":"Zhixiang"},{"family":"Li","given":"Xiaofeng"},{"family":"Shan","given":"Hong"}],"issued":{"date-parts":[["2020",6]]}}}],"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24</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17, 2020 to February 15,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13</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Liu, K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{"citationID":"SyIw96S8","properties":{"formattedCitation":"\\super 25\\nosupersub{}","plainCitation":"25","noteIndex":0},"citationItems":[{"id":1098,"uris":["http://zotero.org/users/local/t39DgVW4/items/H252F7CN"],"uri":["http://zotero.org/users/local/t39DgVW4/items/H252F7CN"],"itemData":{"id":1098,"type":"article-journal","abstract":"Background: Due to the general susceptibility of new coronaviruses, the clinical characteristics and outcomes of elderly and young patients may be different. Objective: To analyze the clinical characteristics of elderly patients with 2019 new-type coronavirus pneumonia (COVID-19). Methods: This is a retrospective study of patients with new coronavirus pneumonia (COVID-19) who were hospitalized in Hainan Provincial People’s Hospital from January 15, 2020 to February 18, 2020. Compare the clinical characteristics of elderly with Young and Middle-aged patients.","container-title":"Journal of Infection","DOI":"10.1016/j.jinf.2020.03.005","ISSN":"01634453","issue":"6","journalAbbreviation":"Journal of Infection","language":"en","page":"e14-e18","source":"DOI.org (Crossref)","title":"Clinical features of COVID-19 in elderly patients: A comparison with young and middle-aged patients","title-short":"Clinical features of COVID-19 in elderly patients","volume":"80","author":[{"family":"Liu","given":"Kai"},{"family":"Chen","given":"Ying"},{"family":"Lin","given":"Ruzheng"},{"family":"Han","given":"Kunyuan"}],"issued":{"date-parts":[["2020",6]]}}}],"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25</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 2020 to February 15,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18</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12</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68.0 (65.3-69.8</w:t>
            </w:r>
            <w:r w:rsidRPr="00B6257D">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High</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Liu, Y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{"citationID":"rnGTmEqA","properties":{"formattedCitation":"\\super 26\\nosupersub{}","plainCitation":"26","noteIndex":0},"citationItems":[{"id":1185,"uris":["http://zotero.org/users/local/t39DgVW4/items/YNBVQ8ZB"],"uri":["http://zotero.org/users/local/t39DgVW4/items/YNBVQ8ZB"],"itemData":{"id":1185,"type":"article-journal","container-title":"European Respiratory Journal","DOI":"10.1183/13993003.01112-2020","ISSN":"0903-1936, 1399-3003","journalAbbreviation":"Eur Respir J","language":"en","page":"2001112","source":"DOI.org (Crossref)","title":"Association between ages and clinical characteristics and outcomes of coronavirus disease 2019","author":[{"family":"Liu","given":"Yang"},{"family":"Mao","given":"Bei"},{"family":"Liang","given":"Shuo"},{"family":"Yang","given":"Jia-wei"},{"family":"Lu","given":"Hai-wen"},{"family":"Chai","given":"Yan-hua"},{"family":"Wang","given":"Lan"},{"family":"Zhang","given":"Li"},{"family":"Li","given":"Qiu-hong"},{"family":"Zhao","given":"Lan"},{"family":"He","given":"Yan"},{"family":"Gu","given":"Xiao-long"},{"family":"Ji","given":"Xiao-bin"},{"family":"Li","given":"Li"},{"family":"Jie","given":"Zhi-jun"},{"family":"Li","given":"Qiang"},{"family":"Li","given":"Xiang-yang"},{"family":"Lu","given":"Hong-zhou"},{"family":"Zhang","given":"Wen-hong"},{"family":"Song","given":"Yuan-lin"},{"family":"Qu","given":"Jie-ming"},{"family":"Xu","given":"Jin-fu"}],"issued":{"date-parts":[["2020",4,20]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26</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 </w:t>
            </w:r>
            <w:r w:rsidRPr="004548EB">
              <w:rPr>
                <w:rFonts w:ascii="Calibri" w:hAnsi="Calibri"/>
              </w:rPr>
              <w:t xml:space="preserve">diagnosed by fever clinics </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Prospective case series</w:t>
            </w:r>
          </w:p>
        </w:tc>
        <w:tc>
          <w:tcPr>
            <w:tcW w:w="1914" w:type="dxa"/>
            <w:shd w:val="clear" w:color="auto" w:fill="auto"/>
            <w:vAlign w:val="bottom"/>
          </w:tcPr>
          <w:p w:rsidR="00CF00D9" w:rsidRPr="004548EB" w:rsidRDefault="00CF00D9" w:rsidP="00CF00D9">
            <w:pPr>
              <w:rPr>
                <w:rFonts w:ascii="Calibri" w:hAnsi="Calibri"/>
              </w:rPr>
            </w:pPr>
            <w:proofErr w:type="spellStart"/>
            <w:r w:rsidRPr="004548EB">
              <w:rPr>
                <w:rFonts w:ascii="Calibri" w:hAnsi="Calibri"/>
              </w:rPr>
              <w:t>Upto</w:t>
            </w:r>
            <w:proofErr w:type="spellEnd"/>
            <w:r w:rsidRPr="004548EB">
              <w:rPr>
                <w:rFonts w:ascii="Calibri" w:hAnsi="Calibri"/>
              </w:rPr>
              <w:t xml:space="preserve"> March 7,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85</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Lodigiani</w:t>
            </w:r>
            <w:proofErr w:type="spellEnd"/>
            <w:r w:rsidRPr="004548EB">
              <w:rPr>
                <w:rFonts w:ascii="Calibri" w:hAnsi="Calibri" w:cs="Calibri"/>
                <w:color w:val="auto"/>
                <w:kern w:val="0"/>
                <w:lang w:val="en-IN" w:eastAsia="en-IN"/>
              </w:rPr>
              <w:t>, C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{"citationID":"MDnFUkgh","properties":{"formattedCitation":"\\super 27\\nosupersub{}","plainCitation":"27","noteIndex":0},"citationItems":[{"id":1146,"uris":["http://zotero.org/users/local/t39DgVW4/items/IMPCU9XW"],"uri":["http://zotero.org/users/local/t39DgVW4/items/IMPCU9XW"],"itemData":{"id":1146,"type":"article-journal","abstract":"Background: Few data are available on the rate and characteristics of thromboembolic complications in hospitalized patients with COVID-19.\nMethods: We studied consecutive symptomatic patients with laboratory-proven COVID-19 admitted to a university hospital in Milan, Italy (13.02.2020–10.04.2020). The primary outcome was any thromboembolic complication, including venous thromboembolism (VTE), ischemic stroke, and acute coronary syndrome (ACS)/ myocardial infarction (MI). Secondary outcome was overt disseminated intravascular coagulation (DIC).\nResults: We included 388 patients (median age 66 years, 68% men, 16% requiring intensive care [ICU]). Thromboprophylaxis was used in 100% of ICU patients and 75% of those on the general ward. Thromboembolic events occurred in 28 (7.7% of closed cases; 95%CI 5.4%–11.0%), corresponding to a cumulative rate of 21% (27.6% ICU, 6.6% general ward). Half of the thromboembolic events were diagnosed within 24 h of hospital admission. Forty-four patients underwent VTE imaging tests and VTE was conﬁrmed in 16 (36%). Computed tomography pulmonary angiography (CTPA) was performed in 30 patients, corresponding to 7.7% of total, and pulmonary embolism was conﬁrmed in 10 (33% of CTPA). The rate of ischemic stroke and ACS/MI was 2.5% and 1.1%, respectively. Overt DIC was present in 8 (2.2%) patients.\nConclusions: The high number of arterial and, in particular, venous thromboembolic events diagnosed within 24 h of admission and the high rate of positive VTE imaging tests among the few COVID-19 patients tested suggest that there is an urgent need to improve speciﬁc VTE diagnostic strategies and investigate the eﬃcacy and safety of thromboprophylaxis in ambulatory COVID-19 patients.","container-title":"Thrombosis Research","DOI":"10.1016/j.thromres.2020.04.024","ISSN":"00493848","journalAbbreviation":"Thrombosis Research","language":"en","page":"9-14","source":"DOI.org (Crossref)","title":"Venous and arterial thromboembolic complications in COVID-19 patients admitted to an academic hospital in Milan, Italy","volume":"191","author":[{"family":"Lodigiani","given":"Corrado"},{"family":"Iapichino","given":"Giacomo"},{"family":"Carenzo","given":"Luca"},{"family":"Cecconi","given":"Maurizio"},{"family":"Ferrazzi","given":"Paola"},{"family":"Sebastian","given":"Tim"},{"family":"Kucher","given":"Nils"},{"family":"Studt","given":"Jan-Dirk"},{"family":"Sacco","given":"Clara"},{"family":"Alexia","given":"Bertuzzi"},{"family":"Sandri","given":"Maria Teresa"},{"family":"Barco","given":"Stefano"}],"issued":{"date-parts":[["2020",7]]}}}],"schema":"https://github.com/citation-style-language/schema/raw/master/csl-citation.json"}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27</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 xml:space="preserve">Italy </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 with a thromboembolic event</w:t>
            </w:r>
            <w:r>
              <w:rPr>
                <w:rFonts w:ascii="Calibri" w:hAnsi="Calibri"/>
              </w:rPr>
              <w:t xml:space="preserve"> and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cohort study</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February 13, 2020 to April 10,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22</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10</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71 (67 - 76.5)</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Mehta, V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{"citationID":"rOD6MSSc","properties":{"formattedCitation":"\\super 28\\nosupersub{}","plainCitation":"28","noteIndex":0},"citationItems":[{"id":1073,"uris":["http://zotero.org/users/local/t39DgVW4/items/DNP35I6F"],"uri":["http://zotero.org/users/local/t39DgVW4/items/DNP35I6F"],"itemData":{"id":1073,"type":"article-journal","abstract":"Cancer patients are presumed to be at increased risk from COVID-19 infection fatality due to underlying malignancy, treatment-related immunosuppression, or increased comorbidities. A total of 218 COVID-19 positive patients from March 18th-April 8th, 2020 with a malignant diagnosis were identified. A total of 61 (28%) cancer patients died from COVID-19 with a case fatality rate (CFR) of 37% (20/54) for hematologic malignancies and 25% (41/164) for solid malignancies. 6/11 (55%) lung cancer patients died from COVID-19 disease. Increased mortality was significantly associated with older age, multiple comorbidities, need for ICU support, and elevated levels of D-Dimers, LDH and lactate on multivariable analysis. Ageadjusted CFRs in cancer patients compared to non-cancer patients at our institution and NYC reported a significant increase in case fatality for cancer patients. These data suggest the need for proactive strategies to reduce likelihood of infection and improve early identification in this vulnerable patient population.","container-title":"Cancer Discovery","DOI":"10.1158/2159-8290.CD-20-0516","ISSN":"2159-8274, 2159-8290","journalAbbreviation":"Cancer Discov","language":"en","page":"CD-20-0516","source":"DOI.org (Crossref)","title":"Case Fatality Rate of Cancer Patients with COVID-19 in a New York Hospital System","author":[{"family":"Mehta","given":"Vikas"},{"family":"Goel","given":"Sanjay"},{"family":"Kabarriti","given":"Rafi"},{"family":"Cole","given":"Daniel"},{"family":"Goldfinger","given":"Mendel"},{"family":"Acuna-Villaorduna","given":"Ana"},{"family":"Pradhan","given":"Kith"},{"family":"Thota","given":"Raja"},{"family":"Reissman","given":"Stan"},{"family":"Sparano","given":"Joseph A."},{"family":"Gartrell","given":"Benjamin A"},{"family":"Smith","given":"Richard V."},{"family":"Ohri","given":"Nitin"},{"family":"Garg","given":"Madhur"},{"family":"Racine","given":"Andrew D."},{"family":"Kalnicki","given":"Shalom"},{"family":"Perez-Soler","given":"Roman"},{"family":"Halmos","given":"Balazs"},{"family":"Verma","given":"Amit"}],"issued":{"date-parts":[["2020",5,1]]}}}],"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28</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USA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patients with cancer</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March 18, 2020 to April 8,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4</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138</w:t>
            </w:r>
          </w:p>
        </w:tc>
        <w:tc>
          <w:tcPr>
            <w:tcW w:w="709" w:type="dxa"/>
          </w:tcPr>
          <w:p w:rsidR="00CF00D9" w:rsidRDefault="00CF00D9" w:rsidP="00CF00D9">
            <w:pPr>
              <w:jc w:val="center"/>
              <w:rPr>
                <w:rFonts w:ascii="Calibri" w:hAnsi="Calibri" w:cs="Calibri"/>
                <w:bCs/>
                <w:color w:val="auto"/>
                <w:kern w:val="0"/>
                <w:lang w:val="en-IN" w:eastAsia="en-IN"/>
              </w:rPr>
            </w:pPr>
          </w:p>
          <w:p w:rsidR="00CF00D9" w:rsidRPr="001E462D" w:rsidRDefault="00CF00D9" w:rsidP="00CF00D9">
            <w:pPr>
              <w:jc w:val="center"/>
              <w:rPr>
                <w:rFonts w:ascii="Calibri" w:hAnsi="Calibri" w:cs="Calibri"/>
                <w:bCs/>
                <w:color w:val="auto"/>
                <w:kern w:val="0"/>
                <w:vertAlign w:val="superscript"/>
                <w:lang w:val="en-IN" w:eastAsia="en-IN"/>
              </w:rPr>
            </w:pPr>
            <w:r w:rsidRPr="00B6257D">
              <w:rPr>
                <w:rFonts w:ascii="Calibri" w:hAnsi="Calibri" w:cs="Calibri"/>
                <w:bCs/>
                <w:color w:val="auto"/>
                <w:kern w:val="0"/>
                <w:lang w:val="en-IN" w:eastAsia="en-IN"/>
              </w:rPr>
              <w:t>31</w:t>
            </w:r>
            <w:r>
              <w:rPr>
                <w:rFonts w:ascii="Calibri" w:hAnsi="Calibri" w:cs="Calibri"/>
                <w:bCs/>
                <w:color w:val="auto"/>
                <w:kern w:val="0"/>
                <w:vertAlign w:val="superscript"/>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lastRenderedPageBreak/>
              <w:t>Nikpouraghdam</w:t>
            </w:r>
            <w:proofErr w:type="spellEnd"/>
            <w:r w:rsidRPr="004548EB">
              <w:rPr>
                <w:rFonts w:ascii="Calibri" w:hAnsi="Calibri" w:cs="Calibri"/>
                <w:color w:val="auto"/>
                <w:kern w:val="0"/>
                <w:lang w:val="en-IN" w:eastAsia="en-IN"/>
              </w:rPr>
              <w:t>, M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{"citationID":"a1tvd6bfvpa","properties":{"formattedCitation":"\\super 29\\nosupersub{}","plainCitation":"29","noteIndex":0},"citationItems":[{"id":1176,"uris":["http://zotero.org/users/local/t39DgVW4/items/C365CDZB"],"uri":["http://zotero.org/users/local/t39DgVW4/items/C365CDZB"],"itemData":{"id":1176,"type":"article-journal","container-title":"Journal of Clinical Virology","DOI":"10.1016/j.jcv.2020.104378","ISSN":"13866532","journalAbbreviation":"Journal of Clinical Virology","language":"en","page":"104378","source":"DOI.org (Crossref)","title":"Epidemiological characteristics of coronavirus disease 2019 (COVID-19) patients in IRAN: A single center study","title-short":"Epidemiological characteristics of coronavirus disease 2019 (COVID-19) patients in IRAN","volume":"127","author":[{"family":"Nikpouraghdam","given":"Mohamad"},{"family":"Jalali Farahani","given":"Alireza"},{"family":"Alishiri","given":"GholamHossein"},{"family":"Heydari","given":"Soleyman"},{"family":"Ebrahimnia","given":"Mehdi"},{"family":"Samadinia","given":"Hossein"},{"family":"Sepandi","given":"Mojtaba"},{"family":"Jafari","given":"Nematollah Jonaidi"},{"family":"Izadi","given":"Morteza"},{"family":"Qazvini","given":"Ali"},{"family":"Dorostkar","given":"Ruhollah"},{"family":"Tat","given":"Mahdi"},{"family":"Shahriary","given":"Alireza"},{"family":"Farnoosh","given":"Gholamreza"},{"family":"Hosseini Zijoud","given":"Seyed Reza"},{"family":"Taghdir","given":"Maryam"},{"family":"Alimohamadi","given":"Yousef"},{"family":"Abbaszadeh","given":"Sepideh"},{"family":"Gouvarchin Ghaleh","given":"Hadi Esmaeili"},{"family":"Bagheri","given":"Mahdi"}],"issued":{"date-parts":[["2020",6]]}}}],"schema":"https://github.com/citation-style-language/schema/raw/master/csl-citation.json"}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29</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Iran</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February 19, 2020 to April 15,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1164</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Pereira, M R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{"citationID":"Ri7tb5Z3","properties":{"formattedCitation":"\\super 30\\nosupersub{}","plainCitation":"30","noteIndex":0},"citationItems":[{"id":1244,"uris":["http://zotero.org/users/local/t39DgVW4/items/MJ7FHIVG"],"uri":["http://zotero.org/users/local/t39DgVW4/items/MJ7FHIVG"],"itemData":{"id":1244,"type":"article-journal","container-title":"American Journal of Transplantation","DOI":"10.1111/ajt.15941","ISSN":"1600-6135, 1600-6143","journalAbbreviation":"Am J Transplant","language":"en","page":"ajt.15941","source":"DOI.org (Crossref)","title":"COVID‐19 in solid organ transplant recipients: Initial report from the US epicenter","title-short":"COVID‐19 in solid organ transplant recipients","author":[{"family":"Pereira","given":"Marcus R."},{"family":"Mohan","given":"Sumit"},{"family":"Cohen","given":"David J."},{"family":"Husain","given":"Syed A."},{"family":"Dube","given":"Geoffrey K."},{"family":"Ratner","given":"Lloyd E."},{"family":"Arcasoy","given":"Selim"},{"family":"Aversa","given":"Meghan M."},{"family":"Benvenuto","given":"Luke J."},{"family":"Dadhania","given":"Darshana M."},{"family":"Kapur","given":"Sandip"},{"family":"Dove","given":"Lorna M."},{"family":"Brown","given":"Robert S."},{"family":"Rosenblatt","given":"Russell E."},{"family":"Samstein","given":"Benjamin"},{"family":"Uriel","given":"Nir"},{"family":"Farr","given":"Maryjane A."},{"family":"Satlin","given":"Michael"},{"family":"Small","given":"Catherine B."},{"family":"Walsh","given":"Thomas J."},{"family":"Kodiyanplakkal","given":"Rosy P."},{"family":"Miko","given":"Benjamin A."},{"family":"Aaron","given":"Justin G."},{"family":"Tsapepas","given":"Demetra S."},{"family":"Emond","given":"Jean C."},{"family":"Verna","given":"Elizabeth C."}],"issued":{"date-parts":[["2020",5,10]]}}}],"schema":"https://github.com/citation-style-language/schema/raw/master/csl-citation.json"}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30</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USA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All admitted solid organ transplant recipient patient </w:t>
            </w:r>
            <w:r>
              <w:rPr>
                <w:rFonts w:ascii="Calibri" w:hAnsi="Calibri"/>
              </w:rPr>
              <w:t>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Prospective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March 13, 2020 and April 3,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20 (14-24)*</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43</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Richardson, S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{"citationID":"Kbt7Bu40","properties":{"formattedCitation":"\\super 31\\nosupersub{}","plainCitation":"31","noteIndex":0},"citationItems":[{"id":1152,"uris":["http://zotero.org/users/local/t39DgVW4/items/WYPQ2XBB"],"uri":["http://zotero.org/users/local/t39DgVW4/items/WYPQ2XBB"],"itemData":{"id":1152,"type":"article-journal","abstract":"OBJECTIVE To describe the clinical characteristics and outcomes of patients with COVID-19 hospitalized in a US health care system. DESIGN, SETTING, AND PARTICIPANTS Case series of patients with COVID-19 admitted to 12 hospitals in New York City, Long Island, and Westchester County, New York, within the Northwell Health system. The study included all sequentially hospitalized patients between March 1, 2020, and April 4, 2020, inclusive of these dates. EXPOSURES Confirmed severe acute respiratory syndrome coronavirus 2 (SARS-CoV-2) infection by positive result on polymerase chain reaction testing of a nasopharyngeal sample among patients requiring admission. MAIN OUTCOMES AND MEASURES Clinical outcomes during hospitalization, such as invasive mechanical ventilation, kidney replacement therapy, and death. Demographics, baseline comorbidities, presenting vital signs, and test results were also collected.\nRESULTS A total of 5700 patients were included (median age, 63 years [interquartile range {IQR}, 52-75; range, 0-107 years]; 39.7% female). The most common comorbidities were hypertension (3026; 56.6%), obesity (1737; 41.7%), and diabetes (1808; 33.8%). At triage, 30.7% of patients were febrile, 17.3% had a respiratory rate greater than 24 breaths/minute, and 27.8% received supplemental oxygen. The rate of respiratory virus co-infection was 2.1%. Outcomes were assessed for 2634 patients who were discharged or had died at the study end point. During hospitalization, 373 patients (14.2%) (median age, 68 years [IQR, 56-78]; 33.5% female) were treated in the intensive care unit care, 320 (12.2%) received invasive mechanical ventilation, 81 (3.2%) were treated with kidney replacement therapy, and 553 (21%) died. As of April 4, 2020, for patients requiring mechanical ventilation (n = 1151, 20.2%), 38 (3.3%) were discharged alive, 282 (24.5%) died, and 831 (72.2%) remained in hospital. The median postdischarge follow-up time was 4.4 days (IQR, 2.2-9.3). A total of 45 patients (2.2%) were readmitted during the study period. The median time to readmission was 3 days (IQR, 1.0-4.5) for readmitted patients. Among the 3066 patients who remained hospitalized at the final study follow-up date (median age, 65 years [IQR, 54-75]), the median follow-up at time of censoring was 4.5 days (IQR, 2.4-8.1).\nCONCLUSIONS AND RELEVANCE This case series provides characteristics and early outcomes of sequentially hospitalized patients with confirmed COVID-19 in the New York City area.","container-title":"JAMA","DOI":"10.1001/jama.2020.6775","ISSN":"0098-7484","journalAbbreviation":"JAMA","language":"en","source":"DOI.org (Crossref)","title":"Presenting Characteristics, Comorbidities, and Outcomes Among 5700 Patients Hospitalized With COVID-19 in the New York City Area","URL":"https://jamanetwork.com/journals/jama/fullarticle/2765184","author":[{"family":"Richardson","given":"Safiya"},{"family":"Hirsch","given":"Jamie S."},{"family":"Narasimhan","given":"Mangala"},{"family":"Crawford","given":"James M."},{"family":"McGinn","given":"Thomas"},{"family":"Davidson","given":"Karina W."},{"literal":"and the Northwell COVID-19 Research Consortium"},{"family":"Barnaby","given":"Douglas P."},{"family":"Becker","given":"Lance B."},{"family":"Chelico","given":"John D."},{"family":"Cohen","given":"Stuart L."},{"family":"Cookingham","given":"Jennifer"},{"family":"Coppa","given":"Kevin"},{"family":"Diefenbach","given":"Michael A."},{"family":"Dominello","given":"Andrew J."},{"family":"Duer-Hefele","given":"Joan"},{"family":"Falzon","given":"Louise"},{"family":"Gitlin","given":"Jordan"},{"family":"Hajizadeh","given":"Negin"},{"family":"Harvin","given":"Tiffany G."},{"family":"Hirschwerk","given":"David A."},{"family":"Kim","given":"Eun Ji"},{"family":"Kozel","given":"Zachary M."},{"family":"Marrast","given":"Lyndonna M."},{"family":"Mogavero","given":"Jazmin N."},{"family":"Osorio","given":"Gabrielle A."},{"family":"Qiu","given":"Michael"},{"family":"Zanos","given":"Theodoros P."}],"accessed":{"date-parts":[["2020",5,19]]},"issued":{"date-parts":[["2020",4,22]]}}}],"schema":"https://github.com/citation-style-language/schema/raw/master/csl-citation.json"}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31</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USA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March 1, 2020 to April 4,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Pr>
                <w:rFonts w:ascii="Calibri" w:hAnsi="Calibri" w:cs="Calibri"/>
                <w:color w:val="auto"/>
                <w:kern w:val="0"/>
                <w:lang w:val="en-IN" w:eastAsia="en-IN"/>
              </w:rPr>
              <w:t>3368</w:t>
            </w:r>
          </w:p>
        </w:tc>
        <w:tc>
          <w:tcPr>
            <w:tcW w:w="709" w:type="dxa"/>
            <w:vAlign w:val="bottom"/>
          </w:tcPr>
          <w:p w:rsidR="00CF00D9" w:rsidRPr="001E462D" w:rsidRDefault="00CF00D9" w:rsidP="00CF00D9">
            <w:pPr>
              <w:jc w:val="center"/>
              <w:rPr>
                <w:rFonts w:ascii="Calibri" w:hAnsi="Calibri" w:cs="Calibri"/>
                <w:bCs/>
                <w:color w:val="auto"/>
                <w:kern w:val="0"/>
                <w:vertAlign w:val="superscript"/>
                <w:lang w:val="en-IN" w:eastAsia="en-IN"/>
              </w:rPr>
            </w:pPr>
            <w:r w:rsidRPr="00B6257D">
              <w:rPr>
                <w:rFonts w:ascii="Calibri" w:hAnsi="Calibri" w:cs="Calibri"/>
                <w:bCs/>
                <w:color w:val="auto"/>
                <w:kern w:val="0"/>
                <w:lang w:val="en-IN" w:eastAsia="en-IN"/>
              </w:rPr>
              <w:t>753</w:t>
            </w:r>
            <w:r>
              <w:rPr>
                <w:rFonts w:ascii="Calibri" w:hAnsi="Calibri" w:cs="Calibri"/>
                <w:bCs/>
                <w:color w:val="auto"/>
                <w:kern w:val="0"/>
                <w:vertAlign w:val="superscript"/>
                <w:lang w:val="en-IN" w:eastAsia="en-IN"/>
              </w:rPr>
              <w:t>#</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Russell, TW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{"citationID":"Nr5Hc9Ws","properties":{"formattedCitation":"\\super 32\\nosupersub{}","plainCitation":"32","noteIndex":0},"citationItems":[{"id":1183,"uris":["http://zotero.org/users/local/t39DgVW4/items/QKAUDEYA"],"uri":["http://zotero.org/users/local/t39DgVW4/items/QKAUDEYA"],"itemData":{"id":1183,"type":"article-journal","container-title":"Eurosurveillance","DOI":"10.2807/1560-7917.ES.2020.25.12.2000256","ISSN":"1560-7917","issue":"12","language":"en","source":"DOI.org (Crossref)","title":"Estimating the infection and case fatality ratio for coronavirus disease (COVID-19) using age-adjusted data from the outbreak on the Diamond Princess cruise ship, February 2020","URL":"https://www.eurosurveillance.org/content/10.2807/1560-7917.ES.2020.25.12.2000256","volume":"25","author":[{"family":"Russell","given":"Timothy W"},{"family":"Hellewell","given":"Joel"},{"family":"Jarvis","given":"Christopher I"},{"family":"Zandvoort","given":"Kevin","non-dropping-particle":"van"},{"family":"Abbott","given":"Sam"},{"family":"Ratnayake","given":"Ruwan"},{"literal":"CMMID COVID-19 working group"},{"family":"Flasche","given":"Stefan"},{"family":"Eggo","given":"Rosalind M"},{"family":"Edmunds","given":"W John"},{"family":"Kucharski","given":"Adam J"}],"accessed":{"date-parts":[["2020",5,30]]},"issued":{"date-parts":[["2020",3,26]]}}}],"schema":"https://github.com/citation-style-language/schema/raw/master/csl-citation.json"}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32</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Diamond Princess Cruise ship</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patients on Diamond Princess Cruise ship</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25, 2020 to February 20,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200</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proofErr w:type="spellStart"/>
            <w:r w:rsidRPr="004548EB">
              <w:rPr>
                <w:rFonts w:ascii="Calibri" w:hAnsi="Calibri" w:cs="Calibri"/>
                <w:color w:val="auto"/>
                <w:kern w:val="0"/>
                <w:lang w:val="en-IN" w:eastAsia="en-IN"/>
              </w:rPr>
              <w:t>Tian</w:t>
            </w:r>
            <w:proofErr w:type="spellEnd"/>
            <w:r w:rsidRPr="004548EB">
              <w:rPr>
                <w:rFonts w:ascii="Calibri" w:hAnsi="Calibri" w:cs="Calibri"/>
                <w:color w:val="auto"/>
                <w:kern w:val="0"/>
                <w:lang w:val="en-IN" w:eastAsia="en-IN"/>
              </w:rPr>
              <w:t>, S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{"citationID":"uz018Viv","properties":{"formattedCitation":"\\super 33\\nosupersub{}","plainCitation":"33","noteIndex":0},"citationItems":[{"id":1077,"uris":["http://zotero.org/users/local/t39DgVW4/items/UAZJFB3J"],"uri":["http://zotero.org/users/local/t39DgVW4/items/UAZJFB3J"],"itemData":{"id":1077,"type":"article-journal","abstract":"Background: Since the ﬁrst case of a novel coronavirus (COVID-19) infection pneumonia was detected in Wuhan, China, a series of conﬁrmed cases of the COVID-19 were found in Beijing. We analyzed the data of 262 conﬁrmed cases to determine the clinical and epidemiological characteristics of COVID-19 in Beijing.","container-title":"Journal of Infection","DOI":"10.1016/j.jinf.2020.02.018","ISSN":"01634453","issue":"4","journalAbbreviation":"Journal of Infection","language":"en","page":"401-406","source":"DOI.org (Crossref)","title":"Characteristics of COVID-19 infection in Beijing","volume":"80","author":[{"family":"Tian","given":"Sijia"},{"family":"Hu","given":"Nan"},{"family":"Lou","given":"Jing"},{"family":"Chen","given":"Kun"},{"family":"Kang","given":"Xuqin"},{"family":"Xiang","given":"Zhenjun"},{"family":"Chen","given":"Hui"},{"family":"Wang","given":"Dali"},{"family":"Liu","given":"Ning"},{"family":"Liu","given":"Dong"},{"family":"Chen","given":"Gang"},{"family":"Zhang","given":"Yongliang"},{"family":"Li","given":"Dou"},{"family":"Li","given":"Jianren"},{"family":"Lian","given":"Huixin"},{"family":"Niu","given":"Shengmei"},{"family":"Zhang","given":"Luxi"},{"family":"Zhang","given":"Jinjun"}],"issued":{"date-parts":[["2020",4]]}}}],"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33</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bookmarkStart w:id="0" w:name="OLE_LINK1"/>
            <w:bookmarkStart w:id="1" w:name="OLE_LINK2"/>
            <w:r w:rsidRPr="004548EB">
              <w:rPr>
                <w:rFonts w:ascii="Calibri" w:hAnsi="Calibri"/>
              </w:rPr>
              <w:t>Retrospective case series</w:t>
            </w:r>
            <w:bookmarkEnd w:id="0"/>
            <w:bookmarkEnd w:id="1"/>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 xml:space="preserve">January 20, 2020 to February 10, 2020 </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48</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Wang, D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{"citationID":"N3zT4eDk","properties":{"formattedCitation":"\\super 34\\nosupersub{}","plainCitation":"34","noteIndex":0},"citationItems":[{"id":1094,"uris":["http://zotero.org/users/local/t39DgVW4/items/HLGTWDFN"],"uri":["http://zotero.org/users/local/t39DgVW4/items/HLGTWDFN"],"itemData":{"id":1094,"type":"article-journal","abstract":"Background: In December 2019, coronavirus disease 2019 (COVID-19) outbreak was reported from Wuhan, China. Information on the clinical course and prognosis of COVID-19 was not thoroughly described. We described the clinical courses and prognosis in COVID-19 patients.\nMethods: Retrospective case series of COVID-19 patients from Zhongnan Hospital of Wuhan University in Wuhan and Xishui Hospital, Hubei Province, China, up to February 10, 2020. Epidemiological, demographic, and clinical data were collected. The clinical course of survivors and non-survivors were compared. Risk factors for death were analyzed.\nResults: A total of 107 discharged patients with COVID-19 were enrolled. The clinical course of COVID-19 presented as a tri-phasic pattern. Week 1 after illness onset was characterized by fever, cough, dyspnea, lymphopenia, and radiological multi-lobar pulmonary infiltrates. In severe cases, thrombocytopenia, acute kidney injury, acute myocardial injury, and adult respiratory distress syndrome were observed. During week 2, in mild cases, fever, cough, and systemic symptoms began to resolve and platelet count rose to normal range, but lymphopenia persisted. In severe cases, leukocytosis, neutrophilia, and deteriorating multi-organ dysfunction were dominant. By week 3, mild cases had clinically resolved except for lymphopenia. However, severe cases showed persistent lymphopenia, severe acute respiratory dyspnea syndrome, refractory shock, anuric acute kidney injury, coagulopathy, thrombocytopenia, and death. Older age and male sex were independent risk factors for poor outcome of the illness.\nConclusions: A period of 7–13 days after illness onset is the critical stage in the COVID-19 course. Age and male gender were independent risk factors for death of COVID-19.","container-title":"Critical Care","DOI":"10.1186/s13054-020-02895-6","ISSN":"1364-8535","issue":"1","journalAbbreviation":"Crit Care","language":"en","page":"188","source":"DOI.org (Crossref)","title":"Clinical course and outcome of 107 patients infected with the novel coronavirus, SARS-CoV-2, discharged from two hospitals in Wuhan, China","volume":"24","author":[{"family":"Wang","given":"Dawei"},{"family":"Yin","given":"Yimei"},{"family":"Hu","given":"Chang"},{"family":"Liu","given":"Xing"},{"family":"Zhang","given":"Xingguo"},{"family":"Zhou","given":"Shuliang"},{"family":"Jian","given":"Mingzhi"},{"family":"Xu","given":"Haibo"},{"family":"Prowle","given":"John"},{"family":"Hu","given":"Bo"},{"family":"Li","given":"Yirong"},{"family":"Peng","given":"Zhiyong"}],"issued":{"date-parts":[["2020",12]]}}}],"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34</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discharged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w:t>
            </w:r>
            <w:r>
              <w:rPr>
                <w:rFonts w:ascii="Calibri" w:hAnsi="Calibri"/>
              </w:rPr>
              <w:t xml:space="preserve">uary 1, 2020 to </w:t>
            </w:r>
            <w:r w:rsidRPr="004548EB">
              <w:rPr>
                <w:rFonts w:ascii="Calibri" w:hAnsi="Calibri"/>
              </w:rPr>
              <w:t xml:space="preserve">February </w:t>
            </w:r>
            <w:r>
              <w:rPr>
                <w:rFonts w:ascii="Calibri" w:hAnsi="Calibri"/>
              </w:rPr>
              <w:t xml:space="preserve">10, </w:t>
            </w:r>
            <w:r w:rsidRPr="004548EB">
              <w:rPr>
                <w:rFonts w:ascii="Calibri" w:hAnsi="Calibri"/>
              </w:rPr>
              <w:t>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36</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High</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Wang, L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{"citationID":"cpynAHwA","properties":{"formattedCitation":"\\super 35\\nosupersub{}","plainCitation":"35","noteIndex":0},"citationItems":[{"id":1038,"uris":["http://zotero.org/users/local/t39DgVW4/items/XNUJ8F5P"],"uri":["http://zotero.org/users/local/t39DgVW4/items/XNUJ8F5P"],"itemData":{"id":1038,"type":"article-journal","abstract":"Objective: To investigate the characteristics and prognostic factors in the elderly patients with COVID-19.\nMethods: Consecutive cases over 60 years old with COVID-19 in Renmin Hospital of Wuhan University from Jan 1 to Feb 6, 2020 were included. The primary outcomes were death and survival till March 5. Data of demographics, clinical features, comorbidities, laboratory tests and complications were collected and compared for different outcomes. Cox regression was performed for prognostic factors.\nResults: 339 patients with COVID-19 (aged 71±8 years,173 females (51%)) were enrolled, including 80 (23.6%) critical, 159 severe (46.9%) and 100 moderate (29.5%) cases. Common comorbidities were hypertension (40.8%), diabetes (16.0%) and cardiovascular disease (15.7%). Common symptoms included fever (92.0%), cough (53.0%), dyspnea (40.8%) and fatigue (39.9%). Lymphocytopenia was a common laboratory ﬁnding (63.2%). Common complications included bacterial infection (42.8%), liver enzyme abnormalities (28.7%) and acute respiratory distress syndrome (21.0%). Till Mar 5, 2020, 91 cases were discharged (26.8%), 183 cases stayed in hospital (54.0%) and 65 cases (19.2%) were dead. Shorter length of stay was found for the dead compared with the survivors (5 (3–8) vs. 28 (26–29), P &lt; 0.001). Symptoms of dyspnea (HR 2.35, P = 0.001), comorbidities including cardiovascular disease (HR 1.86, P = 0.031) and chronic obstructive pulmonary disease (HR 2.24, P = 0.023), and acute respiratory distress syndrome (HR 29.33, P &lt; 0.001) were strong predictors of death. And a high level of lymphocytes was predictive of better outcome (HR 0.10, P &lt; 0.001).\nConclusions: High proportion of severe to critical cases and high fatality rate were observed in the elderly COVID-19 patients. Rapid disease progress was noted in the dead with a median survival time of 5 days after admission. Dyspnea, lymphocytopenia, comorbidities including cardiovascular disease and chronic obstructive pulmonary disease, and acute respiratory distress syndrome were predictive of poor outcome. Close monitoring and timely treatment should be performed for the elderly patients at high risk.","container-title":"Journal of Infection","DOI":"10.1016/j.jinf.2020.03.019","ISSN":"01634453","journalAbbreviation":"Journal of Infection","language":"en","page":"S0163445320301468","source":"DOI.org (Crossref)","title":"Coronavirus disease 2019 in elderly patients: Characteristics and prognostic factors based on 4-week follow-up","title-short":"Coronavirus disease 2019 in elderly patients","author":[{"family":"Wang","given":"Lang"},{"family":"He","given":"Wenbo"},{"family":"Yu","given":"Xiaomei"},{"family":"Hu","given":"Dalong"},{"family":"Bao","given":"Mingwei"},{"family":"Liu","given":"Huafen"},{"family":"Zhou","given":"Jiali"},{"family":"Jiang","given":"Hong"}],"issued":{"date-parts":[["2020",3]]}}}],"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35</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older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 2020 to March 5,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28</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339</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166</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69 (65-76)</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High</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1339F2">
              <w:rPr>
                <w:rFonts w:ascii="Calibri" w:hAnsi="Calibri" w:cs="Calibri"/>
                <w:color w:val="auto"/>
                <w:kern w:val="0"/>
                <w:lang w:val="en-IN" w:eastAsia="en-IN"/>
              </w:rPr>
              <w:t>Wang, W et al.</w:t>
            </w:r>
            <w:r w:rsidRPr="001339F2">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{"citationID":"wYlIeds3","properties":{"formattedCitation":"\\super 36\\nosupersub{}","plainCitation":"36","noteIndex":0},"citationItems":[{"id":1191,"uris":["http://zotero.org/users/local/t39DgVW4/items/Z2NJLM3P"],"uri":["http://zotero.org/users/local/t39DgVW4/items/Z2NJLM3P"],"itemData":{"id":1191,"type":"article-journal","abstract":"To help health workers and the public recognize and deal with the 2019 novel coronavirus (2019-nCoV) quickly, effectively, and calmly with an updated understanding. A comprehensive search from Chinese and worldwide official websites and announcements was performed between 1 December 2019 and 9:30 am 26 January 2020 (Beijing time). A latest summary of 2019-nCoV and the current outbreak was drawn. Up to 24 pm, 25 January 2020, a total of 1975 cases of 2019-nCoV infection were confirmed in mainland China with a total of 56 deaths having occurred. The latest mortality was approximately 2.84% with a total of 2684 cases still suspected. The China National Health Commission reported the details of the first 17 deaths up to 24 pm, 22 January 2020. The deaths included 13 males and 4 females. The median age of the people who died was 75 (range 48-89) years. Fever (64.7%) and cough (52.9%) were the most common first symptoms among those who died. The median number of days from the occurence of the first symptom to death was 14.0 (range 6-41) days, and it tended to be shorter among people aged 70 years or more (11.5 [range 6-19] days) than those aged less than 70 years (20 [range 10-41] days; P = .033). The 2019-nCoV infection is spreading and its incidence is increasing nationwide. The first deaths occurred mostly in elderly people, among whom the disease might progress faster. The public should still be cautious in dealing with the virus and pay more attention to protecting the elderly people from the virus.","container-title":"Journal of Medical Virology","DOI":"10.1002/jmv.25689","ISSN":"1096-9071","issue":"4","journalAbbreviation":"J. Med. Virol.","language":"eng","note":"PMID: 31994742\nPMCID: PMC7167192","page":"441-447","source":"PubMed","title":"Updated understanding of the outbreak of 2019 novel coronavirus (2019-nCoV) in Wuhan, China","volume":"92","author":[{"family":"Wang","given":"Weier"},{"family":"Tang","given":"Jianming"},{"family":"Wei","given":"Fangqiang"}],"issued":{"date-parts":[["2020"]]}}}],"schema":"https://github.com/citation-style-language/schema/raw/master/csl-citation.json"} </w:instrText>
            </w:r>
            <w:r w:rsidRPr="001339F2">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36</w:t>
            </w:r>
            <w:r w:rsidRPr="001339F2">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Pr>
                <w:rFonts w:ascii="Calibri" w:hAnsi="Calibri"/>
              </w:rPr>
              <w:t>All died</w:t>
            </w:r>
            <w:r w:rsidRPr="004548EB">
              <w:rPr>
                <w:rFonts w:ascii="Calibri" w:hAnsi="Calibri"/>
              </w:rPr>
              <w:t xml:space="preserve">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Pr>
                <w:rFonts w:ascii="Calibri" w:hAnsi="Calibri"/>
              </w:rPr>
              <w:t>December 1, 2019 to January 22</w:t>
            </w:r>
            <w:r w:rsidRPr="004548EB">
              <w:rPr>
                <w:rFonts w:ascii="Calibri" w:hAnsi="Calibri"/>
              </w:rPr>
              <w:t>,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15</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12</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 </w:t>
            </w: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Y</w:t>
            </w:r>
            <w:r>
              <w:rPr>
                <w:rFonts w:ascii="Calibri" w:hAnsi="Calibri" w:cs="Calibri"/>
                <w:color w:val="auto"/>
                <w:kern w:val="0"/>
                <w:lang w:val="en-IN" w:eastAsia="en-IN"/>
              </w:rPr>
              <w:t>ang, R</w:t>
            </w:r>
            <w:r w:rsidRPr="004548EB">
              <w:rPr>
                <w:rFonts w:ascii="Calibri" w:hAnsi="Calibri" w:cs="Calibri"/>
                <w:color w:val="auto"/>
                <w:kern w:val="0"/>
                <w:lang w:val="en-IN" w:eastAsia="en-IN"/>
              </w:rPr>
              <w:t xml:space="preserve">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{"citationID":"4i4vfiv4","properties":{"formattedCitation":"\\super 37\\nosupersub{}","plainCitation":"37","noteIndex":0},"citationItems":[{"id":1144,"uris":["http://zotero.org/users/local/t39DgVW4/items/IGBY86SL"],"uri":["http://zotero.org/users/local/t39DgVW4/items/IGBY86SL"],"itemData":{"id":1144,"type":"article-journal","abstract":"Objectives: To assess the role of essential organ-based comorbidities in the prognosis of COVID-19 patients.\nMethods: All consecutive patients diagnosed with COVID-19 admitted to the Zhongnan Hospital of Wuhan University from 11 January to 16 March 2020 were enrolled in this retrospective cohort study.\nResults: A total of 212 COVID-19 patients were included. COVID-19 patients with heart, liver and kidneycomorbidity, compared to patients without related comorbidities, were more likely to have cardiac injuries [9.1%(3/33) vs 2.2%(4/179), P = 0.043], liver injuries [13.0%(3/23) vs 3.2%(6/189), P = 0.027], kidney injury [54.5%(6/11) vs 2.0%(4/201), P &lt; 0.001], and higher risk of mortality [Heart-comorbidity: 6.1%(2/33) vs 0.6%(1/179), P = 0.014; Liver-comorbidity: 8.7%(2/23) vs 0.5%(1/189), P = 0.002; Kidney-comorbidity: 27.3%(3/11) vs 1.0%(2/201), P &lt; 0.001. Mortality was higher in patients with more severe Grade of organ injuries [Heart-injury: P = 0.044; Liver-injury: P = 0.020; Kidney-injury: P = 0.030].\nConclusion: Male, older, co-existing of heart, liver, and kidney comorbidities, especially those with severe Grade organ injuries, had a poor prognosis after SARS-CoV-2 infection.","container-title":"Expert Review of Respiratory Medicine","DOI":"10.1080/17476348.2020.1761791","ISSN":"1747-6348, 1747-6356","journalAbbreviation":"Expert Review of Respiratory Medicine","language":"en","page":"1-4","source":"DOI.org (Crossref)","title":"The role of essential organ-based comorbidities in the prognosis of COVID-19 infection patients","author":[{"family":"Yang","given":"Rongrong"},{"family":"Gui","given":"Xien"},{"family":"Zhang","given":"Yongxi"},{"family":"Xiong","given":"Yong"}],"issued":{"date-parts":[["2020",4,28]]}}}],"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37</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cohort study</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11, 2020 to March 31,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15</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62</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Yao, N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{"citationID":"dDCNQe1l","properties":{"formattedCitation":"\\super 38\\nosupersub{}","plainCitation":"38","noteIndex":0},"citationItems":[{"id":1194,"uris":["http://zotero.org/users/local/t39DgVW4/items/GNXNG5UU"],"uri":["http://zotero.org/users/local/t39DgVW4/items/GNXNG5UU"],"itemData":{"id":1194,"type":"article-journal","abstract":"Objective: To understand the clinical characteristics, change of liver function, influencing factors and prognosis in hospitalized patients with coronavirus disease-19 (COVID-19) combined with liver injury. Methods: The general conditions, biochemical indicators of liver, blood clotting mechanism, routine blood test, UGT1A1 * 28 gene polymorphism and other data of 40 cases with COVID-19 admitted to the isolation ward of Tangdu Hospital were retrospectively analyzed. The clinical characteristics, influencing factors and prognosis of liver injury in patients with liver injury group and those with normal liver function group were compared. The mean of two samples in univariate analysis was compared by t-test and analysis of variance. The counting data was measured by χ(2) tests. The non-normal distribution measurement data were described by the median, and the non-parametric test was used. Statistically significant influencing factors were used as the independent variables in univariate analysis. Multiple logistic regression analysis was used to analyze the main influencing factors of liver injury. Results: Of the 40 cases, 25 were male (62.5%) and 15 were female (37.5%), aged 22 to 83 (53.87 ± 15.84) years. Liver injury was occurred in 22 cases (55%) during the course of the disease. Alanine aminotransferase (ALT) and aspartate aminotransferase (AST) level was initially increased (4.4 to 3.5 times of the normal value) along with decrease of albumin in the second week, and the difference was statistically significant (P &lt; 0.001). Ten cases (43.5%) had highest abnormal total blood bilirubin (54.1 μmol/ L). There was no correlation between the increase in transaminase and the increase in total blood bilirubin (R = -0.006, P = 0.972). Three cases had prothrombin activity (PTA) of ≤ 50%, 10 cases had elevated FDP, and 13 cases had elevated D-dimer, all of whom were severe or critically ill. Liver function injury was more likely to occur in patients who used many types of drugs and large amounts of hormones (P = 0.002, P = 0.031), and there was no correlation with the TA6TA7 mutation in the UGT1A1 * 28 gene locus. Multiple regression analysis showed that the occurrence of liver injury was only related to critical illness. The liver function of all patients had recovered within one week after conventional liver protection treatment. Conclusion: COVID-19 combined with liver function injury may be due to the slight elevation of transaminase, mostly around the second week of the disease course. Severe patients have a higher proportion of liver injury, and critical type is an independent risk factor for liver injury.","container-title":"Zhonghua gan zang bing za zhi = Zhonghua ganzangbing zazhi = Chinese journal of hepatology","DOI":"10.3760/cma.j.cn501113-20200226-00070","journalAbbreviation":"Zhonghua gan zang bing za zhi = Zhonghua ganzangbing zazhi = Chinese journal of hepatology","page":"E003","source":"ResearchGate","title":"Clinical characteristics and influencing factors of patients with novel coronavirus pneumonia combined with liver injury in Shaanxi region","volume":"28","author":[{"family":"Yao","given":"N"},{"family":"Wang","given":"S"},{"family":"Lian","given":"J"},{"family":"Sun","given":"Y"},{"family":"Zhang","given":"G"},{"family":"Kang","given":"W"},{"family":"Kang","given":"W"}],"issued":{"date-parts":[["2020",3,10]]}}}],"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38</w:t>
            </w:r>
            <w:r>
              <w:rPr>
                <w:rFonts w:ascii="Calibri" w:hAnsi="Calibri" w:cs="Calibri"/>
                <w:color w:val="auto"/>
                <w:kern w:val="0"/>
                <w:lang w:val="en-IN" w:eastAsia="en-IN"/>
              </w:rPr>
              <w:fldChar w:fldCharType="end"/>
            </w:r>
            <w:r w:rsidRPr="004548EB">
              <w:rPr>
                <w:rFonts w:ascii="Calibri" w:hAnsi="Calibri" w:cs="Calibri"/>
                <w:color w:val="auto"/>
                <w:kern w:val="0"/>
                <w:lang w:val="en-IN" w:eastAsia="en-IN"/>
              </w:rPr>
              <w:t xml:space="preserve"> </w:t>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 N/A</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17</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Yao, Q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{"citationID":"a234qj3tmdd","properties":{"formattedCitation":"\\super 39\\nosupersub{}","plainCitation":"39","noteIndex":0},"citationItems":[{"id":1137,"uris":["http://zotero.org/users/local/t39DgVW4/items/9JNABMHL"],"uri":["http://zotero.org/users/local/t39DgVW4/items/9JNABMHL"],"itemData":{"id":1137,"type":"article-journal","container-title":"Polish Archives of Internal Medicine","DOI":"10.20452/pamw.15312","ISSN":"1897-9483","language":"en","source":"DOI.org (Crossref)","title":"Retrospective study of risk factors for severe SARS-Cov-2 infections in hospitalized adult patients","URL":"https://www.mp.pl/paim/issue/article/15312","author":[{"family":"Yao","given":"Qingchun"},{"family":"Wang","given":"Peng"},{"family":"Wang","given":"Xingguang"},{"family":"Qie","given":"Guoqiang"},{"family":"Meng","given":"Mei"},{"family":"Tong","given":"Xiwen"},{"family":"Bai","given":"Xue"},{"family":"Ding","given":"Min"},{"family":"Liu","given":"Weiming"},{"family":"Liu","given":"Keke"},{"family":"Chu","given":"Yufeng"}],"accessed":{"date-parts":[["2020",5,19]]},"issued":{"date-parts":[["2020",4,24]]}}}],"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39</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cohort study</w:t>
            </w:r>
          </w:p>
        </w:tc>
        <w:tc>
          <w:tcPr>
            <w:tcW w:w="1914" w:type="dxa"/>
            <w:shd w:val="clear" w:color="auto" w:fill="auto"/>
            <w:vAlign w:val="bottom"/>
          </w:tcPr>
          <w:p w:rsidR="00CF00D9" w:rsidRPr="004548EB" w:rsidRDefault="00CF00D9" w:rsidP="00CF00D9">
            <w:pPr>
              <w:rPr>
                <w:rFonts w:ascii="Calibri" w:hAnsi="Calibri"/>
              </w:rPr>
            </w:pPr>
            <w:r>
              <w:rPr>
                <w:rFonts w:ascii="Calibri" w:hAnsi="Calibri"/>
              </w:rPr>
              <w:t xml:space="preserve">January 30, 2020 to </w:t>
            </w:r>
            <w:r w:rsidRPr="004548EB">
              <w:rPr>
                <w:rFonts w:ascii="Calibri" w:hAnsi="Calibri"/>
              </w:rPr>
              <w:t>March</w:t>
            </w:r>
            <w:r>
              <w:rPr>
                <w:rFonts w:ascii="Calibri" w:hAnsi="Calibri"/>
              </w:rPr>
              <w:t xml:space="preserve"> 3</w:t>
            </w:r>
            <w:r w:rsidRPr="004548EB">
              <w:rPr>
                <w:rFonts w:ascii="Calibri" w:hAnsi="Calibri"/>
              </w:rPr>
              <w:t>,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21</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17</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High</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Yu, X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{"citationID":"a1p1p8go5g4","properties":{"formattedCitation":"\\super 40\\nosupersub{}","plainCitation":"40","noteIndex":0},"citationItems":[{"id":1115,"uris":["http://zotero.org/users/local/t39DgVW4/items/VXVA3RV9"],"uri":["http://zotero.org/users/local/t39DgVW4/items/VXVA3RV9"],"itemData":{"id":1115,"type":"article-journal","abstract":"Coronavirus disease 2019 (COVID-19) is an emerging infectious disease first identified in Wuhan City, Hubei Province, China. As of 19 February 2020, there had been 333 confirmed cases reported in Shanghai, China. This study elaborates on the epidemiological and clinical characteristics of COVID-19 based on a descriptive study of the 333 patients infected with COVID-19 in Shanghai for the purpose of probing into this new disease and providing reference. Among the 333 confirmed cases in Shanghai, 172 (51.7%) were males and 161 (48.3%) were females, with a median age of 50 years. 299 (89.8%) cases presented mild symptoms. 139 (41.7%) and 111 (33.3%) cases were infected in Wuhan and Shanghai, respectively. 148 (44.4%) cases once had contact with confirmed cases before onset, while 103 (30.9%) cases had never contacted confirmed cases but they had a sojourn history in Wuhan. The onset date of the first case in Shanghai was 28 December, with the peak appearing on 27 January. The median incubation period of COVID-19 was estimated to be 7.2 days. 207 (62.2%) cases had fever symptoms at the onset, whereas 273 (82.0%) cases experienced fever before hospitalization. 56 (18.6%) adults experienced a decrease in white blood cell and 84 (42.9%) had increased C-reactive protein after onset. Elderly, male and heart disease history were risk factors for severe or critical pneumonia. These findings suggest that most cases experienced fever symptoms and had mild pneumonia. Strengthening the health management of elderly men, especially those with underlying diseases, may help reduce the incidence of severe and critical pneumonia. Time intervals from onset to visit, hospitalization and diagnosis confirmed were all shortened after Shanghai's first-level public health emergency response. Shanghai's experience proves that COVID-19 can be controlled well in megacities.","container-title":"Transboundary and Emerging Diseases","DOI":"10.1111/tbed.13604","ISSN":"1865-1674, 1865-1682","journalAbbreviation":"Transbound Emerg Dis","language":"en","page":"tbed.13604","source":"DOI.org (Crossref)","title":"Epidemiological and clinical characteristics of 333 confirmed cases with coronavirus disease 2019 in Shanghai, China","author":[{"family":"Yu","given":"Xiao"},{"family":"Sun","given":"Xiaodong"},{"family":"Cui","given":"Peng"},{"family":"Pan","given":"Hao"},{"family":"Lin","given":"Sheng"},{"family":"Han","given":"Ruobing"},{"family":"Jiang","given":"Chenyan"},{"family":"Fang","given":"Qiwen"},{"family":"Kong","given":"Dechuan"},{"family":"Zhu","given":"Yiyi"},{"family":"Zheng","given":"Yaxu"},{"family":"Gong","given":"Xiaohuan"},{"family":"Xiao","given":"Wenjia"},{"family":"Mao","given":"Shenghua"},{"family":"Jin","given":"Bihong"},{"family":"Wu","given":"Huanyu"},{"family":"Fu","given":"Chen"}],"issued":{"date-parts":[["2020",5,13]]}}}],"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40</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Pr>
                <w:rFonts w:ascii="Calibri" w:hAnsi="Calibri"/>
              </w:rPr>
              <w:t>December 2019 to F</w:t>
            </w:r>
            <w:r w:rsidRPr="004548EB">
              <w:rPr>
                <w:rFonts w:ascii="Calibri" w:hAnsi="Calibri"/>
              </w:rPr>
              <w:t xml:space="preserve">ebruary </w:t>
            </w:r>
            <w:r>
              <w:rPr>
                <w:rFonts w:ascii="Calibri" w:hAnsi="Calibri"/>
              </w:rPr>
              <w:t xml:space="preserve">19, </w:t>
            </w:r>
            <w:r w:rsidRPr="004548EB">
              <w:rPr>
                <w:rFonts w:ascii="Calibri" w:hAnsi="Calibri"/>
              </w:rPr>
              <w:t>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107</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 xml:space="preserve">Zhang, G et al. </w:t>
            </w:r>
            <w:r>
              <w:rPr>
                <w:rFonts w:ascii="Calibri" w:hAnsi="Calibri" w:cs="Calibri"/>
                <w:color w:val="auto"/>
                <w:kern w:val="0"/>
                <w:lang w:val="en-IN" w:eastAsia="en-IN"/>
              </w:rPr>
              <w:t>(a)</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{"citationID":"TBj0b6li","properties":{"formattedCitation":"\\super 41\\nosupersub{}","plainCitation":"41","noteIndex":0},"citationItems":[{"id":1059,"uris":["http://zotero.org/users/local/t39DgVW4/items/UPTKGBX6"],"uri":["http://zotero.org/users/local/t39DgVW4/items/UPTKGBX6"],"itemData":{"id":1059,"type":"article-journal","abstract":"Background: Since December 2019, 2019 novel coronavirus pneumonia emerged in Wuhan city and rapidly spread throughout China and even the world. We sought to analyse the clinical characteristics and laboratory findings of some cases with 2019 novel coronavirus pneumonia .\nMethods: In this retrospective study, we extracted the data on 95 patients with laboratory-confirmed 2019 novel coronavirus pneumonia in Wuhan Xinzhou District People’s Hospital from January 16th to February 25th, 2020. Cases were confirmed by real-time RT-PCR and abnormal radiologic findings. Outcomes were followed up until March 2th, 2020.\nResults: Higher temperature, blood leukocyte count, neutrophil count, neutrophil percentage, C-reactive protein level, D-dimer level, alanine aminotransferase activity, aspartate aminotransferase activity, α - hydroxybutyrate dehydrogenase activity, lactate dehydrogenase activity and creatine kinase activity were related to severe 2019 novel coronavirus pneumonia and composite endpoint, and so were lower lymphocyte count, lymphocyte percentage and total protein level. Age below 40 or above 60 years old, male, higher Creatinine level, and lower platelet count also seemed related to severe 2019 novel coronavirus pneumonia and composite endpoint, however the P values were greater than 0.05, which mean under the same condition studies of larger samples are needed in the future.\nConclusion: Multiple factors were related to severe 2019 novel coronavirus pneumonia and composite endpoint, and more related studies are needed in the future.","container-title":"Respiratory Research","DOI":"10.1186/s12931-020-01338-8","ISSN":"1465-993X","issue":"1","journalAbbreviation":"Respir Res","language":"en","page":"74","source":"DOI.org (Crossref)","title":"Analysis of clinical characteristics and laboratory findings of 95 cases of 2019 novel coronavirus pneumonia in Wuhan, China: a retrospective analysis","title-short":"Analysis of clinical characteristics and laboratory findings of 95 cases of 2019 novel coronavirus pneumonia in Wuhan, China","volume":"21","author":[{"family":"Zhang","given":"Gemin"},{"family":"Zhang","given":"Jie"},{"family":"Wang","given":"Bowen"},{"family":"Zhu","given":"Xionglin"},{"family":"Wang","given":"Qiang"},{"family":"Qiu","given":"Shiming"}],"issued":{"date-parts":[["2020",12]]}}}],"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41</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 </w:t>
            </w:r>
            <w:r w:rsidRPr="004548EB">
              <w:rPr>
                <w:rFonts w:ascii="Calibri" w:hAnsi="Calibri"/>
              </w:rPr>
              <w:t xml:space="preserve">who do not have chronic or severe underlying disease with </w:t>
            </w:r>
            <w:r w:rsidRPr="004548EB">
              <w:rPr>
                <w:rFonts w:ascii="Calibri" w:hAnsi="Calibri"/>
              </w:rPr>
              <w:lastRenderedPageBreak/>
              <w:t xml:space="preserve">Procalcitonin level &lt;0.5 </w:t>
            </w:r>
            <w:proofErr w:type="spellStart"/>
            <w:r w:rsidRPr="004548EB">
              <w:rPr>
                <w:rFonts w:ascii="Calibri" w:hAnsi="Calibri"/>
              </w:rPr>
              <w:t>ng</w:t>
            </w:r>
            <w:proofErr w:type="spellEnd"/>
            <w:r w:rsidRPr="004548EB">
              <w:rPr>
                <w:rFonts w:ascii="Calibri" w:hAnsi="Calibri"/>
              </w:rPr>
              <w:t>/ml</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lastRenderedPageBreak/>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16, 2020 to February 25,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7</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17</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lastRenderedPageBreak/>
              <w:t>Zhang</w:t>
            </w:r>
            <w:r>
              <w:rPr>
                <w:rFonts w:ascii="Calibri" w:hAnsi="Calibri" w:cs="Calibri"/>
                <w:color w:val="auto"/>
                <w:kern w:val="0"/>
                <w:lang w:val="en-IN" w:eastAsia="en-IN"/>
              </w:rPr>
              <w:t>,</w:t>
            </w:r>
            <w:r w:rsidRPr="004548EB">
              <w:rPr>
                <w:rFonts w:ascii="Calibri" w:hAnsi="Calibri" w:cs="Calibri"/>
                <w:color w:val="auto"/>
                <w:kern w:val="0"/>
                <w:lang w:val="en-IN" w:eastAsia="en-IN"/>
              </w:rPr>
              <w:t xml:space="preserve"> G et al.</w:t>
            </w:r>
            <w:r>
              <w:rPr>
                <w:rFonts w:ascii="Calibri" w:hAnsi="Calibri" w:cs="Calibri"/>
                <w:color w:val="auto"/>
                <w:kern w:val="0"/>
                <w:lang w:val="en-IN" w:eastAsia="en-IN"/>
              </w:rPr>
              <w:t xml:space="preserve"> (b)</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{"citationID":"ZcHe4rax","properties":{"formattedCitation":"\\super 42\\nosupersub{}","plainCitation":"42","noteIndex":0},"citationItems":[{"id":1095,"uris":["http://zotero.org/users/local/t39DgVW4/items/NBPH2DES"],"uri":["http://zotero.org/users/local/t39DgVW4/items/NBPH2DES"],"itemData":{"id":1095,"type":"article-journal","abstract":"Background: In late December 2019, an outbreak of acute respiratory illness, coronavirus disease 2019 (COVID-19), emerged in Wuhan, China. We aimed to study the epidemiology, clinical features and short-term outcomes of patients with COVID-19 in Wuhan, China.\nMethods: We performed a single center, retrospective case series study in 221 patients with laboratory confirmed SARS-CoV-2 pneumonia at a university hospital, including 55 severe patients and 166 non-severe patients, from January 2, 2020 to February 10, 2020.\nResults: Of the 221 patients with COVID-19, the median age was 55.0 years and 48.9% were male and only 8 (3.6%) patients had a history of exposure to the Huanan Seafood Market. Compared to the non-severe pneumonia patients, the median age of the severe patients was significantly older, and they were more likely to have chronic comorbidities. Most common symptoms in severe patients were high fever, anorexia and dyspnea. On admission, 33.0% patients showed leukopenia and 73.8% showed lymphopenia. In addition, the severe patients suffered a higher rate of co-infections with bacteria or fungus and they were more likely to developing complications. As of February 15, 2020, 19.0% patients had been discharged and 5.4% patients died. 80% of severe cases received ICU (intensive care unit) care, and 52.3% of them transferred to the general wards due to relieved symptoms, and the mortality rate of severe patients in ICU was 20.5%.\nConclusions: Patients with elder age, chronic comorbidities, blood leukocyte/lymphocyte count, procalcitonin level, co-infection and severe complications might increase the risk of poor clinical outcomes.","container-title":"Journal of Clinical Virology","DOI":"10.1016/j.jcv.2020.104364","ISSN":"13866532","journalAbbreviation":"Journal of Clinical Virology","language":"en","page":"104364","source":"DOI.org (Crossref)","title":"Clinical features and short-term outcomes of 221 patients with COVID-19 in Wuhan, China","volume":"127","author":[{"family":"Zhang","given":"Guqin"},{"family":"Hu","given":"Chang"},{"family":"Luo","given":"Linjie"},{"family":"Fang","given":"Fang"},{"family":"Chen","given":"Yongfeng"},{"family":"Li","given":"Jianguo"},{"family":"Peng","given":"Zhiyong"},{"family":"Pan","given":"Huaqin"}],"issued":{"date-parts":[["2020",6]]}}}],"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42</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Pr>
                <w:rFonts w:ascii="Calibri" w:hAnsi="Calibri"/>
              </w:rPr>
              <w:t>January 2, 2020 to F</w:t>
            </w:r>
            <w:r w:rsidRPr="004548EB">
              <w:rPr>
                <w:rFonts w:ascii="Calibri" w:hAnsi="Calibri"/>
              </w:rPr>
              <w:t>ebruary 10,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5</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65</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62</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Zhang, J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{"citationID":"lUiqTSxP","properties":{"formattedCitation":"\\super 43\\nosupersub{}","plainCitation":"43","noteIndex":0},"citationItems":[{"id":1134,"uris":["http://zotero.org/users/local/t39DgVW4/items/YBED9LDV"],"uri":["http://zotero.org/users/local/t39DgVW4/items/YBED9LDV"],"itemData":{"id":1134,"type":"article-journal","abstract":"Objective Since December 2019, coronavirus disease (COVID-19) emerged in Wuhan. However, the characteristics and risk factors associated with disease severity, unimprovement and mortality are unclear.\nMethods All consecutive patients diagnosed with COVID-19 admitted to the Renmin Hospital of Wuhan University from January 11 to February 6, 2020 were enrolled in this retrospective cohort study.\nResults A total of 663 COVID-19 patients were included in this study. Among those, 247 (37.3%) had at least one kind of chronic disease. A total of 0.5% (n=3) of patients were diagnosed with mild COVID-19, while 37.8% (251/663), 47.5% (315/663), and 14.2% (94/663) were in moderate, severe, and critical condition, respectively. In our hospital during follow-up, 251 of 663 (37.9%) patients were improved and 25 patients died, leading to a mortality rate of 3.77%. Older patients (&gt;60 years old) and those with chronic diseases were prone to have severe and critical COVID-19 conditions, show unimprovement, and die (P &lt; 0.001, &lt; 0.001). Multivariate logistic regression analysis identified being male (OR = 0.486, 95% CI 0.311-0.758; P = 0.001), having severe COVID-19 conditions (OR = 0.129, 95% CI 0.082-0.201; P &lt; 0.001), expectoration (OR = 1.796, 95% CI 1.062-3.036; P = 0.029), muscle ache (OR = 0.309, 95% CI 0.153-0.626; P = 0.001), and decreased albumin (OR = 1.929, 95% CI 1.199-3.104; P = 0.007) were associated with unimprovement in COVID-19 patients.\nConclusion Being male, in severe COVID-19 conditions, expectoration, muscle ache, and decreased albumin were independent risk factors which influence the improvement of COVID-19 patients.","container-title":"Clinical Microbiology and Infection","DOI":"10.1016/j.cmi.2020.04.012","ISSN":"1198743X","journalAbbreviation":"Clinical Microbiology and Infection","language":"en","page":"S1198743X20302172","source":"DOI.org (Crossref)","title":"Risk factors for disease severity, unimprovement, and mortality in COVID-19 patients in Wuhan, China","author":[{"family":"Zhang","given":"J."},{"family":"Wang","given":"X."},{"family":"Jia","given":"X."},{"family":"Li","given":"J."},{"family":"Hu","given":"K."},{"family":"Chen","given":"G."},{"family":"Wei","given":"J."},{"family":"Gong","given":"Z."},{"family":"Zhou","given":"C."},{"family":"Yu","given":"H."},{"family":"Yu","given":"M."},{"family":"Lei","given":"H."},{"family":"Cheng","given":"F."},{"family":"Zhang","given":"B."},{"family":"Xu","given":"Y."},{"family":"Wang","given":"G."},{"family":"Dong","given":"W."}],"issued":{"date-parts":[["2020",4]]}}}],"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43</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cohort study</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11, 2020 to February 6,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3</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315</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Zhang, L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{"citationID":"GEsKJtz1","properties":{"formattedCitation":"\\super 44\\nosupersub{}","plainCitation":"44","noteIndex":0},"citationItems":[{"id":1088,"uris":["http://zotero.org/users/local/t39DgVW4/items/NWI28AR2"],"uri":["http://zotero.org/users/local/t39DgVW4/items/NWI28AR2"],"itemData":{"id":1088,"type":"article-journal","abstract":"Background: Cancer patients are regarded as a highly vulnerable group in the current Coronavirus Disease 2019 (COVID-19) pandemic. To date, the clinical characteristics of COVID-19-infected cancer patients remain largely unknown. Patients and methods: In this retrospective cohort study, we included cancer patients with laboratory-conﬁrmed COVID-19 from three designated hospitals in Wuhan, China. Clinical data were collected from medical records from 13 January 2020 to 26 February 2020. Univariate and multivariate analyses were carried out to assess the risk factors associated with severe events deﬁned as a condition requiring admission to an intensive care unit, the use of mechanical ventilation, or death.\nResults: A total of 28 COVID-19-infected cancer patients were included; 17 (60.7%) patients were male. Median (interquartile range) age was 65.0 (56.0e70.0) years. Lung cancer was the most frequent cancer type (n ¼ 7; 25.0%). Eight (28.6%) patients were suspected to have hospital-associated transmission. The following clinical features were shown in our cohort: fever (n ¼ 23, 82.1%), dry cough (n ¼ 22, 81%), and dyspnoea (n ¼ 14, 50.0%), along with lymphopaenia (n ¼ 23, 82.1%), high level of high-sensitivity C-reactive protein (n ¼ 23, 82.1%), anaemia (n ¼ 21, 75.0%), and hypoproteinaemia (n ¼ 25, 89.3%). The common chest computed tomography (CT) ﬁndings were ground-glass opacity (n ¼ 21, 75.0%) and patchy consolidation (n ¼ 13, 46.3%). A total of 15 (53.6%) patients had severe events and the mortality rate was 28.6%. If the last antitumour treatment was within 14 days, it signiﬁcantly increased the risk of developing severe events [hazard ratio (HR) ¼ 4.079, 95% conﬁdence interval (CI) 1.086e15.322, P ¼ 0.037]. Furthermore, patchy consolidation on CT on admission was associated with a higher risk of developing severe events (HR ¼ 5.438, 95% CI 1.498e19.748, P ¼ 0.010).\nConclusions: Cancer patients show deteriorating conditions and poor outcomes from the COVID-19 infection. It is recommended that cancer patients receiving antitumour treatments should have vigorous screening for COVID-19 infection and should avoid treatments causing immunosuppression or have their dosages decreased in case of COVID-19 coinfection.","container-title":"Annals of Oncology","DOI":"10.1016/j.annonc.2020.03.296","ISSN":"09237534","journalAbbreviation":"Annals of Oncology","language":"en","page":"S0923753420363833","source":"DOI.org (Crossref)","title":"Clinical characteristics of COVID-19-infected cancer patients: a retrospective case study in three hospitals within Wuhan, China","title-short":"Clinical characteristics of COVID-19-infected cancer patients","author":[{"family":"Zhang","given":"L."},{"family":"Zhu","given":"F."},{"family":"Xie","given":"L."},{"family":"Wang","given":"C."},{"family":"Wang","given":"J."},{"family":"Chen","given":"R."},{"family":"Jia","given":"P."},{"family":"Guan","given":"H.Q."},{"family":"Peng","given":"L."},{"family":"Chen","given":"Y."},{"family":"Peng","given":"P."},{"family":"Zhang","given":"P."},{"family":"Chu","given":"Q."},{"family":"Shen","given":"Q."},{"family":"Wang","given":"Y."},{"family":"Xu","given":"S.Y."},{"family":"Zhao","given":"J.P."},{"family":"Zhou","given":"M."}],"issued":{"date-parts":[["2020",3]]}}}],"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44</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Previously diagnosed cancer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cohort study</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13, 2020 to February 26,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bCs/>
                <w:color w:val="auto"/>
                <w:kern w:val="0"/>
                <w:lang w:val="en-IN" w:eastAsia="en-IN"/>
              </w:rPr>
              <w:t>..</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19</w:t>
            </w:r>
          </w:p>
        </w:tc>
        <w:tc>
          <w:tcPr>
            <w:tcW w:w="709"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13</w:t>
            </w:r>
          </w:p>
        </w:tc>
        <w:tc>
          <w:tcPr>
            <w:tcW w:w="1311" w:type="dxa"/>
            <w:vAlign w:val="bottom"/>
          </w:tcPr>
          <w:p w:rsidR="00CF00D9" w:rsidRPr="00B6257D" w:rsidRDefault="00CF00D9" w:rsidP="00CF00D9">
            <w:pPr>
              <w:jc w:val="center"/>
              <w:rPr>
                <w:rFonts w:ascii="Calibri" w:hAnsi="Calibri" w:cs="Calibri"/>
                <w:bCs/>
                <w:color w:val="auto"/>
                <w:kern w:val="0"/>
                <w:lang w:val="en-IN" w:eastAsia="en-IN"/>
              </w:rPr>
            </w:pPr>
            <w:r w:rsidRPr="00B6257D">
              <w:rPr>
                <w:rFonts w:ascii="Calibri" w:hAnsi="Calibri" w:cs="Calibri"/>
                <w:bCs/>
                <w:color w:val="auto"/>
                <w:kern w:val="0"/>
                <w:lang w:val="en-IN" w:eastAsia="en-IN"/>
              </w:rPr>
              <w:t>66 (65-71)</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Zhang, Y T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{"citationID":"brEKs93j","properties":{"formattedCitation":"\\super 45\\nosupersub{}","plainCitation":"45","noteIndex":0},"citationItems":[{"id":1186,"uris":["http://zotero.org/users/local/t39DgVW4/items/LHNV5P28"],"uri":["http://zotero.org/users/local/t39DgVW4/items/LHNV5P28"],"itemData":{"id":1186,"type":"article-journal","abstract":"Objective: To analyze the clinical courses and outcomes of COVID-19 cases and the influencing factors in Guangdong province and provide basis for the formulation or adjustment of medical care and epidemic control strategy for COVID-19. Methods: We collected demographic data, medical histories, clinical courses and outcomes of 1 350 COVID-19 patients reported in Guangdong as of 4 March 2020 via epidemiological investigation and process tracking. Disease severity and clinical course characteristics of the patients and influencing factors of severe illness were analyzed in our study. Results: Among 1 350 cases of COVID-19 cases in Guangdong, 72 (5.3%) and 1049 (77.7%) were mild and ordinary cases, 164 (12.1%) were severe cases, 58 (4.3%) were critical cases and 7 (0.5%) were fatal. The median duration of illness were 23 days (P(25)-P(75): 18-31 days) and the median length of hospitalization were 20 days (P(25)-P(75): 15-27 days). For severe cases, the median time of showing severe manifestations was on the 12th day after onset (P(25)-P(75): 9th to 15th days), and the median time of severe manifestation lasted for 8 days P(25)-P(75): 4-14 days). Among 1 066 discharged/fetal cases, 36.4% (36/99) and 1.0% (1/99) of the mild cases developed to ordinary cases and severe cases respectively after admission; and 5.2% (50/968) and 0.6% (6/968) of the ordinary cases developed to severe cases, and critical cases respectively after admission. In severe cases, 11.4% developed to critical cases (10/88). The influencing factors for severe illness or worse included male (aHR=1.87, 95%CI: 1.43-2.46), older age (aHR=1.67, 95%CI: 1.51-1.85), seeking medical care on day 2-3 after onset (aHR=1.73, 95%CI: 1.20-2.50) pre-existing diabetes (aHR=1.75, 95%CI: 1.12-2.73) and hypertension (aHR=1.49, 95%CI: 1.06-2.09). Conclusions: The course of illness and length of hospitalization of COVID-19 cases were generally long and associated with severity of disease clinical outcomes. The severe cases were mainly occurred in populations at high risk. In the epidemic period, classified management of COVID-19 cases should be promoted according to needs for control and prevention of isolation and treatment for the purpose of rational allocation of medical resources.","container-title":"Zhonghua Liu Xing Bing Xue Za Zhi = Zhonghua Liuxingbingxue Zazhi","DOI":"10.3760/cma.j.cn112338-20200318-00378","ISSN":"0254-6450","issue":"0","journalAbbreviation":"Zhonghua Liu Xing Bing Xue Za Zhi","language":"chi","note":"PMID: 32340095","page":"E057","source":"PubMed","title":"[Clinical outcomes of COVID-19 cases and influencing factors in Guangdong province]","volume":"41","author":[{"family":"Zhang","given":"Y. T."},{"family":"Deng","given":"A. P."},{"family":"Hu","given":"T."},{"family":"Chen","given":"X. G."},{"family":"Zhuang","given":"Y. L."},{"family":"Tan","given":"X. H."},{"family":"Zhen","given":"H. Z."},{"family":"Sun","given":"L. M."},{"family":"Li","given":"Y."},{"family":"Zhong","given":"H. J."},{"family":"He","given":"J. F."},{"family":"Song","given":"T."},{"family":"Kang","given":"M."}],"issued":{"date-parts":[["2020",4,27]]}}}],"schema":"https://github.com/citation-style-language/schema/raw/master/csl-citation.json"}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45</w:t>
            </w:r>
            <w:r>
              <w:rPr>
                <w:rFonts w:ascii="Calibri" w:hAnsi="Calibri" w:cs="Calibri"/>
                <w:color w:val="auto"/>
                <w:kern w:val="0"/>
                <w:lang w:val="en-IN" w:eastAsia="en-IN"/>
              </w:rPr>
              <w:fldChar w:fldCharType="end"/>
            </w:r>
            <w:r>
              <w:rPr>
                <w:rFonts w:ascii="Calibri" w:hAnsi="Calibri" w:cs="Calibri"/>
                <w:color w:val="auto"/>
                <w:kern w:val="0"/>
                <w:lang w:val="en-IN" w:eastAsia="en-IN"/>
              </w:rPr>
              <w:t xml:space="preserve"> </w:t>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15, 2020 to march 4,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20</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312</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Medium</w:t>
            </w:r>
          </w:p>
        </w:tc>
      </w:tr>
      <w:tr w:rsidR="00CF00D9" w:rsidRPr="004548EB" w:rsidTr="00CF00D9">
        <w:tc>
          <w:tcPr>
            <w:tcW w:w="1323" w:type="dxa"/>
            <w:shd w:val="clear" w:color="auto" w:fill="auto"/>
            <w:vAlign w:val="bottom"/>
          </w:tcPr>
          <w:p w:rsidR="00CF00D9" w:rsidRPr="004548EB" w:rsidRDefault="00CF00D9" w:rsidP="00AF6D0E">
            <w:pPr>
              <w:rPr>
                <w:rFonts w:ascii="Calibri" w:hAnsi="Calibri" w:cs="Calibri"/>
                <w:color w:val="auto"/>
                <w:kern w:val="0"/>
                <w:lang w:val="en-IN" w:eastAsia="en-IN"/>
              </w:rPr>
            </w:pPr>
            <w:r w:rsidRPr="004548EB">
              <w:rPr>
                <w:rFonts w:ascii="Calibri" w:hAnsi="Calibri" w:cs="Calibri"/>
                <w:color w:val="auto"/>
                <w:kern w:val="0"/>
                <w:lang w:val="en-IN" w:eastAsia="en-IN"/>
              </w:rPr>
              <w:t>Zhao, X-Y et al.</w:t>
            </w:r>
            <w:r>
              <w:rPr>
                <w:rFonts w:ascii="Calibri" w:hAnsi="Calibri" w:cs="Calibri"/>
                <w:color w:val="auto"/>
                <w:kern w:val="0"/>
                <w:lang w:val="en-IN" w:eastAsia="en-IN"/>
              </w:rPr>
              <w:fldChar w:fldCharType="begin"/>
            </w:r>
            <w:r w:rsidR="00AF6D0E">
              <w:rPr>
                <w:rFonts w:ascii="Calibri" w:hAnsi="Calibri" w:cs="Calibri"/>
                <w:color w:val="auto"/>
                <w:kern w:val="0"/>
                <w:lang w:val="en-IN" w:eastAsia="en-IN"/>
              </w:rPr>
              <w:instrText xml:space="preserve"> ADDIN ZOTERO_ITEM CSL_CITATION {"citationID":"HvljsBKW","properties":{"formattedCitation":"\\super 46\\nosupersub{}","plainCitation":"46","noteIndex":0},"citationItems":[{"id":1090,"uris":["http://zotero.org/users/local/t39DgVW4/items/KIMF47W2"],"uri":["http://zotero.org/users/local/t39DgVW4/items/KIMF47W2"],"itemData":{"id":1090,"type":"article-journal","abstract":"Background: Since December 2019, the 2019 coronavirus disease (COVID-19) has expanded to cause a worldwide outbreak that more than 600,000 people infected and tens of thousands died. To date, the clinical characteristics of COVID-19 patients in the non-Wuhan areas of Hubei Province in China have not been described.\nMethods: We retrospectively analyzed the clinical characteristics and treatment progress of 91 patients diagnosed with COVID-19 in Jingzhou Central Hospital.\nResults: Of the 91 patients diagnosed with COVID-19, 30 cases (33.0%) were severe and two patients (2.2%) died. The severe disease group tended to be older (50.5 vs. 42.0 years; p = 0.049) and have more chronic disease (40% vs. 14.8%; p = 0.009) relative to mild disease group. Only 73.6% of the patients were quantitative polymerase chain reaction (qPCR)-positive on their first tests, while typical chest computed tomography images were obtained for each patient. The most common complaints were cough (n = 75; 82.4%), fever (n = 59; 64.8%), fatigue (n = 35; 38.5%), and diarrhea (n = 14; 15.4%). Non-respiratory injury was identified by elevated levels of aspartate aminotransferase (n = 18; 19.8%), creatinine (n = 5; 5.5%), and creatine kinase (n = 14; 15.4%) in laboratory tests. Twenty-eight cases (30.8%) suffered non-respiratory injury, including 50% of the critically ill patients and 21.3% of the mild patients.\nConclusions: Overall, the mortality rate of patients in Jingzhou was lower than that of Wuhan. Importantly, we found liver, kidney, digestive tract, and heart injuries in COVID-19 cases besides respiratory problems. Combining chest computed tomography images with the qPCR analysis of throat swab samples can improve the accuracy of COVID-19 diagnosis.","container-title":"BMC Infectious Diseases","DOI":"10.1186/s12879-020-05010-w","ISSN":"1471-2334","issue":"1","journalAbbreviation":"BMC Infect Dis","language":"en","page":"311","source":"DOI.org (Crossref)","title":"Clinical characteristics of patients with 2019 coronavirus disease in a non-Wuhan area of Hubei Province, China: a retrospective study","title-short":"Clinical characteristics of patients with 2019 coronavirus disease in a non-Wuhan area of Hubei Province, China","volume":"20","author":[{"family":"Zhao","given":"Xin-Ying"},{"family":"Xu","given":"Xuan-Xuan"},{"family":"Yin","given":"Hai-Sen"},{"family":"Hu","given":"Qin-Ming"},{"family":"Xiong","given":"Tao"},{"family":"Tang","given":"Yuan-Yan"},{"family":"Yang","given":"Ai-Ying"},{"family":"Yu","given":"Bao-Ping"},{"family":"Huang","given":"Zhi-Ping"}],"issued":{"date-parts":[["2020",12]]}}}],"schema":"https://github.com/citation-style-language/schema/raw/master/csl-citation.json"} </w:instrText>
            </w:r>
            <w:r>
              <w:rPr>
                <w:rFonts w:ascii="Calibri" w:hAnsi="Calibri" w:cs="Calibri"/>
                <w:color w:val="auto"/>
                <w:kern w:val="0"/>
                <w:lang w:val="en-IN" w:eastAsia="en-IN"/>
              </w:rPr>
              <w:fldChar w:fldCharType="separate"/>
            </w:r>
            <w:r w:rsidR="00AF6D0E" w:rsidRPr="00AF6D0E">
              <w:rPr>
                <w:rFonts w:ascii="Calibri" w:hAnsi="Calibri" w:cs="Calibri"/>
                <w:szCs w:val="24"/>
                <w:vertAlign w:val="superscript"/>
              </w:rPr>
              <w:t>46</w:t>
            </w:r>
            <w:r>
              <w:rPr>
                <w:rFonts w:ascii="Calibri" w:hAnsi="Calibri" w:cs="Calibri"/>
                <w:color w:val="auto"/>
                <w:kern w:val="0"/>
                <w:lang w:val="en-IN" w:eastAsia="en-IN"/>
              </w:rPr>
              <w:fldChar w:fldCharType="end"/>
            </w:r>
          </w:p>
        </w:tc>
        <w:tc>
          <w:tcPr>
            <w:tcW w:w="861" w:type="dxa"/>
            <w:shd w:val="clear" w:color="auto" w:fill="auto"/>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China</w:t>
            </w:r>
          </w:p>
        </w:tc>
        <w:tc>
          <w:tcPr>
            <w:tcW w:w="2131" w:type="dxa"/>
            <w:shd w:val="clear" w:color="auto" w:fill="auto"/>
            <w:vAlign w:val="bottom"/>
          </w:tcPr>
          <w:p w:rsidR="00CF00D9" w:rsidRPr="004548EB" w:rsidRDefault="00CF00D9" w:rsidP="00CF00D9">
            <w:pPr>
              <w:rPr>
                <w:rFonts w:ascii="Calibri" w:hAnsi="Calibri"/>
              </w:rPr>
            </w:pPr>
            <w:r w:rsidRPr="004548EB">
              <w:rPr>
                <w:rFonts w:ascii="Calibri" w:hAnsi="Calibri"/>
              </w:rPr>
              <w:t>All admitted patients</w:t>
            </w:r>
            <w:r>
              <w:rPr>
                <w:rFonts w:ascii="Calibri" w:hAnsi="Calibri"/>
              </w:rPr>
              <w:t xml:space="preserve"> with COVID-19</w:t>
            </w:r>
          </w:p>
        </w:tc>
        <w:tc>
          <w:tcPr>
            <w:tcW w:w="1871" w:type="dxa"/>
            <w:shd w:val="clear" w:color="auto" w:fill="auto"/>
            <w:vAlign w:val="bottom"/>
          </w:tcPr>
          <w:p w:rsidR="00CF00D9" w:rsidRPr="004548EB" w:rsidRDefault="00CF00D9" w:rsidP="00CF00D9">
            <w:pPr>
              <w:rPr>
                <w:rFonts w:ascii="Calibri" w:hAnsi="Calibri"/>
              </w:rPr>
            </w:pPr>
            <w:r w:rsidRPr="004548EB">
              <w:rPr>
                <w:rFonts w:ascii="Calibri" w:hAnsi="Calibri"/>
              </w:rPr>
              <w:t>Retrospective case series</w:t>
            </w:r>
          </w:p>
        </w:tc>
        <w:tc>
          <w:tcPr>
            <w:tcW w:w="1914" w:type="dxa"/>
            <w:shd w:val="clear" w:color="auto" w:fill="auto"/>
            <w:vAlign w:val="bottom"/>
          </w:tcPr>
          <w:p w:rsidR="00CF00D9" w:rsidRPr="004548EB" w:rsidRDefault="00CF00D9" w:rsidP="00CF00D9">
            <w:pPr>
              <w:rPr>
                <w:rFonts w:ascii="Calibri" w:hAnsi="Calibri"/>
              </w:rPr>
            </w:pPr>
            <w:r w:rsidRPr="004548EB">
              <w:rPr>
                <w:rFonts w:ascii="Calibri" w:hAnsi="Calibri"/>
              </w:rPr>
              <w:t>January 16, 2020 to February 10, 2020</w:t>
            </w:r>
          </w:p>
        </w:tc>
        <w:tc>
          <w:tcPr>
            <w:tcW w:w="1165" w:type="dxa"/>
            <w:vAlign w:val="bottom"/>
          </w:tcPr>
          <w:p w:rsidR="00CF00D9" w:rsidRPr="005E23D9" w:rsidRDefault="00CF00D9" w:rsidP="00CF00D9">
            <w:pPr>
              <w:jc w:val="right"/>
              <w:rPr>
                <w:rFonts w:ascii="Calibri" w:hAnsi="Calibri" w:cs="Calibri"/>
                <w:color w:val="auto"/>
                <w:kern w:val="0"/>
                <w:lang w:val="en-IN" w:eastAsia="en-IN"/>
              </w:rPr>
            </w:pPr>
            <w:r>
              <w:rPr>
                <w:rFonts w:ascii="Calibri" w:hAnsi="Calibri" w:cs="Calibri"/>
              </w:rPr>
              <w:t>None</w:t>
            </w:r>
          </w:p>
        </w:tc>
        <w:tc>
          <w:tcPr>
            <w:tcW w:w="1418" w:type="dxa"/>
            <w:shd w:val="clear" w:color="auto" w:fill="auto"/>
            <w:vAlign w:val="bottom"/>
          </w:tcPr>
          <w:p w:rsidR="00CF00D9" w:rsidRPr="004548EB" w:rsidRDefault="00CF00D9" w:rsidP="00CF00D9">
            <w:pPr>
              <w:jc w:val="right"/>
              <w:rPr>
                <w:rFonts w:ascii="Calibri" w:hAnsi="Calibri" w:cs="Calibri"/>
                <w:color w:val="auto"/>
                <w:kern w:val="0"/>
                <w:lang w:val="en-IN" w:eastAsia="en-IN"/>
              </w:rPr>
            </w:pPr>
            <w:r w:rsidRPr="004548EB">
              <w:rPr>
                <w:rFonts w:ascii="Calibri" w:hAnsi="Calibri" w:cs="Calibri"/>
                <w:color w:val="auto"/>
                <w:kern w:val="0"/>
                <w:lang w:val="en-IN" w:eastAsia="en-IN"/>
              </w:rPr>
              <w:t>60</w:t>
            </w:r>
          </w:p>
        </w:tc>
        <w:tc>
          <w:tcPr>
            <w:tcW w:w="992" w:type="dxa"/>
            <w:vAlign w:val="bottom"/>
          </w:tcPr>
          <w:p w:rsidR="00CF00D9" w:rsidRPr="004548EB" w:rsidRDefault="00CF00D9" w:rsidP="00CF00D9">
            <w:pPr>
              <w:rPr>
                <w:rFonts w:ascii="Calibri" w:hAnsi="Calibri" w:cs="Calibri"/>
                <w:color w:val="auto"/>
                <w:kern w:val="0"/>
                <w:lang w:val="en-IN" w:eastAsia="en-IN"/>
              </w:rPr>
            </w:pPr>
            <w:r w:rsidRPr="004548EB">
              <w:rPr>
                <w:rFonts w:ascii="Calibri" w:hAnsi="Calibri" w:cs="Calibri"/>
                <w:color w:val="auto"/>
                <w:kern w:val="0"/>
                <w:lang w:val="en-IN" w:eastAsia="en-IN"/>
              </w:rPr>
              <w:t>16</w:t>
            </w:r>
          </w:p>
        </w:tc>
        <w:tc>
          <w:tcPr>
            <w:tcW w:w="709"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311" w:type="dxa"/>
          </w:tcPr>
          <w:p w:rsidR="00CF00D9" w:rsidRPr="00B6257D" w:rsidRDefault="00CF00D9" w:rsidP="00CF00D9">
            <w:pPr>
              <w:jc w:val="center"/>
              <w:rPr>
                <w:rFonts w:ascii="Calibri" w:hAnsi="Calibri" w:cs="Calibri"/>
                <w:bCs/>
                <w:color w:val="auto"/>
                <w:kern w:val="0"/>
                <w:lang w:val="en-IN" w:eastAsia="en-IN"/>
              </w:rPr>
            </w:pPr>
            <w:r>
              <w:rPr>
                <w:rFonts w:ascii="Calibri" w:hAnsi="Calibri" w:cs="Calibri"/>
                <w:bCs/>
                <w:color w:val="auto"/>
                <w:kern w:val="0"/>
                <w:lang w:val="en-IN" w:eastAsia="en-IN"/>
              </w:rPr>
              <w:t>..</w:t>
            </w:r>
          </w:p>
        </w:tc>
        <w:tc>
          <w:tcPr>
            <w:tcW w:w="1047" w:type="dxa"/>
            <w:shd w:val="clear" w:color="auto" w:fill="auto"/>
            <w:vAlign w:val="bottom"/>
          </w:tcPr>
          <w:p w:rsidR="00CF00D9" w:rsidRPr="005E23D9" w:rsidRDefault="00CF00D9" w:rsidP="00CF00D9">
            <w:pPr>
              <w:rPr>
                <w:rFonts w:ascii="Calibri" w:hAnsi="Calibri" w:cs="Calibri"/>
                <w:color w:val="auto"/>
                <w:kern w:val="0"/>
                <w:lang w:val="en-IN" w:eastAsia="en-IN"/>
              </w:rPr>
            </w:pPr>
            <w:r>
              <w:rPr>
                <w:rFonts w:ascii="Calibri" w:hAnsi="Calibri" w:cs="Calibri"/>
              </w:rPr>
              <w:t>Low</w:t>
            </w:r>
          </w:p>
        </w:tc>
      </w:tr>
    </w:tbl>
    <w:p w:rsidR="00CF00D9" w:rsidRPr="00CF00D9" w:rsidRDefault="00CF00D9" w:rsidP="00CF00D9">
      <w:pPr>
        <w:tabs>
          <w:tab w:val="left" w:pos="2292"/>
        </w:tabs>
        <w:rPr>
          <w:rFonts w:ascii="Calibri" w:hAnsi="Calibri" w:cs="Calibri"/>
          <w:sz w:val="24"/>
          <w:szCs w:val="22"/>
        </w:rPr>
      </w:pPr>
      <w:r w:rsidRPr="00CF00D9">
        <w:rPr>
          <w:rFonts w:ascii="Calibri" w:hAnsi="Calibri" w:cs="Calibri"/>
          <w:sz w:val="24"/>
          <w:szCs w:val="22"/>
        </w:rPr>
        <w:t xml:space="preserve">*Median (interquartile range); **Mean ±SD; </w:t>
      </w:r>
    </w:p>
    <w:p w:rsidR="00CF00D9" w:rsidRPr="00CF00D9" w:rsidRDefault="00CF00D9" w:rsidP="00CF00D9">
      <w:pPr>
        <w:tabs>
          <w:tab w:val="left" w:pos="2292"/>
        </w:tabs>
        <w:rPr>
          <w:rFonts w:ascii="Calibri" w:hAnsi="Calibri" w:cs="Calibri"/>
          <w:sz w:val="24"/>
          <w:szCs w:val="22"/>
        </w:rPr>
      </w:pPr>
      <w:r w:rsidRPr="00CF00D9">
        <w:rPr>
          <w:rFonts w:ascii="Calibri" w:hAnsi="Calibri" w:cs="Calibri"/>
          <w:sz w:val="24"/>
          <w:szCs w:val="22"/>
        </w:rPr>
        <w:t>#Data for number of males were available for limited patients.(</w:t>
      </w:r>
      <w:r w:rsidRPr="00CF00D9">
        <w:rPr>
          <w:sz w:val="24"/>
          <w:szCs w:val="22"/>
        </w:rPr>
        <w:t xml:space="preserve"> </w:t>
      </w:r>
      <w:r w:rsidRPr="00CF00D9">
        <w:rPr>
          <w:rFonts w:ascii="Calibri" w:hAnsi="Calibri" w:cs="Calibri"/>
          <w:sz w:val="24"/>
          <w:szCs w:val="22"/>
        </w:rPr>
        <w:t xml:space="preserve">Du, R-H et al – 20; </w:t>
      </w:r>
      <w:proofErr w:type="spellStart"/>
      <w:r w:rsidRPr="00CF00D9">
        <w:rPr>
          <w:rFonts w:ascii="Calibri" w:hAnsi="Calibri" w:cs="Calibri"/>
          <w:sz w:val="24"/>
          <w:szCs w:val="22"/>
        </w:rPr>
        <w:t>Grein</w:t>
      </w:r>
      <w:proofErr w:type="spellEnd"/>
      <w:r w:rsidRPr="00CF00D9">
        <w:rPr>
          <w:rFonts w:ascii="Calibri" w:hAnsi="Calibri" w:cs="Calibri"/>
          <w:sz w:val="24"/>
          <w:szCs w:val="22"/>
        </w:rPr>
        <w:t xml:space="preserve">, J et al. – 7; </w:t>
      </w:r>
      <w:r w:rsidRPr="00CF00D9">
        <w:rPr>
          <w:rFonts w:ascii="Calibri" w:hAnsi="Calibri" w:cs="Calibri"/>
          <w:color w:val="auto"/>
          <w:kern w:val="0"/>
          <w:sz w:val="24"/>
          <w:szCs w:val="22"/>
          <w:lang w:val="en-IN" w:eastAsia="en-IN"/>
        </w:rPr>
        <w:t xml:space="preserve">Mehta, V et al. – 51; </w:t>
      </w:r>
      <w:r w:rsidRPr="00CF00D9">
        <w:rPr>
          <w:rFonts w:ascii="Calibri" w:hAnsi="Calibri" w:cs="Calibri"/>
          <w:sz w:val="24"/>
          <w:szCs w:val="22"/>
        </w:rPr>
        <w:t>Richardson, S et al. – 1425)</w:t>
      </w:r>
    </w:p>
    <w:p w:rsidR="00CF00D9" w:rsidRPr="00CF00D9" w:rsidRDefault="00CF00D9" w:rsidP="00CF00D9">
      <w:pPr>
        <w:tabs>
          <w:tab w:val="left" w:pos="2292"/>
        </w:tabs>
        <w:rPr>
          <w:rFonts w:ascii="Calibri" w:hAnsi="Calibri" w:cs="Calibri"/>
          <w:sz w:val="24"/>
          <w:szCs w:val="22"/>
        </w:rPr>
        <w:sectPr w:rsidR="00CF00D9" w:rsidRPr="00CF00D9" w:rsidSect="00CF00D9">
          <w:footerReference w:type="default" r:id="rId6"/>
          <w:pgSz w:w="15840" w:h="12240" w:orient="landscape" w:code="1"/>
          <w:pgMar w:top="1797" w:right="1440" w:bottom="1797" w:left="1440" w:header="709" w:footer="709" w:gutter="0"/>
          <w:cols w:space="708"/>
          <w:docGrid w:linePitch="360"/>
        </w:sectPr>
      </w:pPr>
      <w:r w:rsidRPr="00CF00D9">
        <w:rPr>
          <w:rFonts w:ascii="Calibri" w:hAnsi="Calibri" w:cs="Calibri"/>
          <w:sz w:val="24"/>
          <w:szCs w:val="22"/>
        </w:rPr>
        <w:t>KSID/KCDC - Korean Society of Infectious Diseases and Korea Centers for Disease Control and Prevention; KCDC - Korea Centers for Disease Control and Prevention</w:t>
      </w:r>
    </w:p>
    <w:p w:rsidR="00697330" w:rsidRPr="00CF00D9" w:rsidRDefault="00CF00D9" w:rsidP="00CF00D9">
      <w:pPr>
        <w:spacing w:after="160" w:line="480" w:lineRule="auto"/>
        <w:jc w:val="both"/>
        <w:rPr>
          <w:rFonts w:asciiTheme="minorHAnsi" w:hAnsiTheme="minorHAnsi" w:cstheme="minorHAnsi"/>
        </w:rPr>
      </w:pPr>
      <w:r>
        <w:rPr>
          <w:rFonts w:ascii="Calibri" w:hAnsi="Calibri" w:cs="Calibri"/>
          <w:sz w:val="24"/>
          <w:szCs w:val="24"/>
        </w:rPr>
        <w:lastRenderedPageBreak/>
        <w:t>Supplementary Table S2.</w:t>
      </w:r>
      <w:r w:rsidRPr="00E149D6">
        <w:rPr>
          <w:rFonts w:ascii="Calibri" w:hAnsi="Calibri" w:cs="Calibri"/>
          <w:sz w:val="24"/>
          <w:szCs w:val="24"/>
        </w:rPr>
        <w:t xml:space="preserve"> Characteristics of studies with comorbidities</w:t>
      </w:r>
    </w:p>
    <w:tbl>
      <w:tblPr>
        <w:tblpPr w:leftFromText="180" w:rightFromText="180" w:vertAnchor="page" w:horzAnchor="margin" w:tblpY="1748"/>
        <w:tblW w:w="53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8"/>
        <w:gridCol w:w="702"/>
        <w:gridCol w:w="1031"/>
        <w:gridCol w:w="843"/>
        <w:gridCol w:w="796"/>
        <w:gridCol w:w="1017"/>
        <w:gridCol w:w="655"/>
        <w:gridCol w:w="1117"/>
        <w:gridCol w:w="970"/>
        <w:gridCol w:w="970"/>
        <w:gridCol w:w="970"/>
        <w:gridCol w:w="837"/>
        <w:gridCol w:w="970"/>
        <w:gridCol w:w="984"/>
      </w:tblGrid>
      <w:tr w:rsidR="00D967ED" w:rsidRPr="001A2C1B" w:rsidTr="00D967ED">
        <w:trPr>
          <w:trHeight w:val="288"/>
        </w:trPr>
        <w:tc>
          <w:tcPr>
            <w:tcW w:w="708" w:type="pct"/>
            <w:shd w:val="clear" w:color="000000" w:fill="FFFFFF"/>
            <w:vAlign w:val="bottom"/>
          </w:tcPr>
          <w:p w:rsidR="00D967ED" w:rsidRPr="001A2C1B" w:rsidRDefault="00D967ED" w:rsidP="007A269C">
            <w:pPr>
              <w:jc w:val="center"/>
              <w:rPr>
                <w:rFonts w:asciiTheme="minorHAnsi" w:hAnsiTheme="minorHAnsi" w:cstheme="minorHAnsi"/>
                <w:b/>
                <w:bCs/>
                <w:color w:val="auto"/>
                <w:kern w:val="0"/>
                <w:sz w:val="22"/>
                <w:szCs w:val="22"/>
                <w:lang w:val="en-IN" w:eastAsia="en-IN"/>
              </w:rPr>
            </w:pPr>
            <w:r w:rsidRPr="001A2C1B">
              <w:rPr>
                <w:rFonts w:asciiTheme="minorHAnsi" w:hAnsiTheme="minorHAnsi" w:cstheme="minorHAnsi"/>
                <w:b/>
                <w:bCs/>
                <w:color w:val="auto"/>
                <w:kern w:val="0"/>
                <w:sz w:val="22"/>
                <w:szCs w:val="22"/>
                <w:lang w:val="en-IN" w:eastAsia="en-IN"/>
              </w:rPr>
              <w:t>Author name</w:t>
            </w:r>
          </w:p>
        </w:tc>
        <w:tc>
          <w:tcPr>
            <w:tcW w:w="254" w:type="pct"/>
            <w:shd w:val="clear" w:color="000000" w:fill="FFFFFF"/>
            <w:vAlign w:val="bottom"/>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n</w:t>
            </w:r>
          </w:p>
        </w:tc>
        <w:tc>
          <w:tcPr>
            <w:tcW w:w="373" w:type="pct"/>
            <w:shd w:val="clear" w:color="000000" w:fill="FFFFFF"/>
            <w:noWrap/>
            <w:vAlign w:val="bottom"/>
            <w:hideMark/>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≥1 comorbidity</w:t>
            </w:r>
          </w:p>
        </w:tc>
        <w:tc>
          <w:tcPr>
            <w:tcW w:w="305" w:type="pct"/>
            <w:shd w:val="clear" w:color="000000" w:fill="FFFFFF"/>
            <w:vAlign w:val="bottom"/>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DM</w:t>
            </w:r>
          </w:p>
        </w:tc>
        <w:tc>
          <w:tcPr>
            <w:tcW w:w="288" w:type="pct"/>
            <w:shd w:val="clear" w:color="000000" w:fill="FFFFFF"/>
            <w:noWrap/>
            <w:vAlign w:val="bottom"/>
            <w:hideMark/>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HTN</w:t>
            </w:r>
          </w:p>
        </w:tc>
        <w:tc>
          <w:tcPr>
            <w:tcW w:w="368" w:type="pct"/>
            <w:shd w:val="clear" w:color="000000" w:fill="FFFFFF"/>
            <w:vAlign w:val="bottom"/>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CVS disease*</w:t>
            </w:r>
          </w:p>
        </w:tc>
        <w:tc>
          <w:tcPr>
            <w:tcW w:w="237" w:type="pct"/>
            <w:shd w:val="clear" w:color="000000" w:fill="FFFFFF"/>
            <w:vAlign w:val="bottom"/>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CVA</w:t>
            </w:r>
          </w:p>
        </w:tc>
        <w:tc>
          <w:tcPr>
            <w:tcW w:w="404" w:type="pct"/>
            <w:shd w:val="clear" w:color="000000" w:fill="FFFFFF"/>
            <w:vAlign w:val="bottom"/>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Neurological disease**</w:t>
            </w:r>
          </w:p>
        </w:tc>
        <w:tc>
          <w:tcPr>
            <w:tcW w:w="351" w:type="pct"/>
            <w:shd w:val="clear" w:color="000000" w:fill="FFFFFF"/>
            <w:vAlign w:val="bottom"/>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Chronic lung disease</w:t>
            </w:r>
          </w:p>
        </w:tc>
        <w:tc>
          <w:tcPr>
            <w:tcW w:w="351" w:type="pct"/>
            <w:shd w:val="clear" w:color="000000" w:fill="FFFFFF"/>
            <w:vAlign w:val="bottom"/>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Kidney disease</w:t>
            </w:r>
          </w:p>
        </w:tc>
        <w:tc>
          <w:tcPr>
            <w:tcW w:w="351" w:type="pct"/>
            <w:shd w:val="clear" w:color="000000" w:fill="FFFFFF"/>
            <w:vAlign w:val="bottom"/>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Liver disease</w:t>
            </w:r>
          </w:p>
        </w:tc>
        <w:tc>
          <w:tcPr>
            <w:tcW w:w="303" w:type="pct"/>
            <w:shd w:val="clear" w:color="000000" w:fill="FFFFFF"/>
            <w:vAlign w:val="bottom"/>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Malignancy</w:t>
            </w:r>
          </w:p>
        </w:tc>
        <w:tc>
          <w:tcPr>
            <w:tcW w:w="351" w:type="pct"/>
            <w:shd w:val="clear" w:color="000000" w:fill="FFFFFF"/>
            <w:vAlign w:val="bottom"/>
          </w:tcPr>
          <w:p w:rsidR="00D967ED" w:rsidRPr="001A2C1B" w:rsidRDefault="00D967ED" w:rsidP="007A269C">
            <w:pPr>
              <w:jc w:val="center"/>
              <w:rPr>
                <w:rFonts w:asciiTheme="minorHAnsi" w:hAnsiTheme="minorHAnsi" w:cstheme="minorHAnsi"/>
                <w:b/>
                <w:bCs/>
                <w:kern w:val="0"/>
                <w:sz w:val="22"/>
                <w:szCs w:val="22"/>
                <w:lang w:val="en-IN" w:eastAsia="en-IN"/>
              </w:rPr>
            </w:pPr>
            <w:r w:rsidRPr="001A2C1B">
              <w:rPr>
                <w:rFonts w:asciiTheme="minorHAnsi" w:hAnsiTheme="minorHAnsi" w:cstheme="minorHAnsi"/>
                <w:b/>
                <w:bCs/>
                <w:kern w:val="0"/>
                <w:sz w:val="22"/>
                <w:szCs w:val="22"/>
                <w:lang w:val="en-IN" w:eastAsia="en-IN"/>
              </w:rPr>
              <w:t>Hypothyroid</w:t>
            </w:r>
          </w:p>
        </w:tc>
        <w:tc>
          <w:tcPr>
            <w:tcW w:w="356" w:type="pct"/>
            <w:shd w:val="clear" w:color="000000" w:fill="FFFFFF"/>
            <w:vAlign w:val="bottom"/>
          </w:tcPr>
          <w:p w:rsidR="00D967ED" w:rsidRPr="001A2C1B" w:rsidRDefault="00D967ED" w:rsidP="007A269C">
            <w:pPr>
              <w:jc w:val="center"/>
              <w:rPr>
                <w:rFonts w:asciiTheme="minorHAnsi" w:hAnsiTheme="minorHAnsi" w:cstheme="minorHAnsi"/>
                <w:b/>
                <w:bCs/>
                <w:kern w:val="0"/>
                <w:sz w:val="24"/>
                <w:szCs w:val="24"/>
                <w:lang w:val="en-IN" w:eastAsia="en-IN"/>
              </w:rPr>
            </w:pPr>
            <w:r w:rsidRPr="001A2C1B">
              <w:rPr>
                <w:rFonts w:asciiTheme="minorHAnsi" w:hAnsiTheme="minorHAnsi" w:cstheme="minorHAnsi"/>
                <w:b/>
                <w:bCs/>
                <w:kern w:val="0"/>
                <w:sz w:val="24"/>
                <w:szCs w:val="24"/>
                <w:lang w:val="en-IN" w:eastAsia="en-IN"/>
              </w:rPr>
              <w:t>Autoimmune disease</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proofErr w:type="spellStart"/>
            <w:r w:rsidRPr="001A2C1B">
              <w:rPr>
                <w:rFonts w:asciiTheme="minorHAnsi" w:hAnsiTheme="minorHAnsi" w:cstheme="minorHAnsi"/>
                <w:color w:val="auto"/>
                <w:kern w:val="0"/>
                <w:sz w:val="22"/>
                <w:szCs w:val="22"/>
                <w:lang w:val="en-IN" w:eastAsia="en-IN"/>
              </w:rPr>
              <w:t>Bhatraju</w:t>
            </w:r>
            <w:proofErr w:type="spellEnd"/>
            <w:r w:rsidRPr="001A2C1B">
              <w:rPr>
                <w:rFonts w:asciiTheme="minorHAnsi" w:hAnsiTheme="minorHAnsi" w:cstheme="minorHAnsi"/>
                <w:color w:val="auto"/>
                <w:kern w:val="0"/>
                <w:sz w:val="22"/>
                <w:szCs w:val="22"/>
                <w:lang w:val="en-IN" w:eastAsia="en-IN"/>
              </w:rPr>
              <w:t>, P K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18</w:t>
            </w:r>
          </w:p>
        </w:tc>
        <w:tc>
          <w:tcPr>
            <w:tcW w:w="373" w:type="pct"/>
            <w:shd w:val="clear" w:color="000000"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Calibri" w:hAnsi="Calibri" w:cs="Calibri"/>
                <w:bCs/>
                <w:color w:val="auto"/>
                <w:kern w:val="0"/>
                <w:sz w:val="22"/>
                <w:szCs w:val="22"/>
                <w:lang w:val="en-IN" w:eastAsia="en-IN"/>
              </w:rPr>
              <w:t>..</w:t>
            </w:r>
            <w:r w:rsidRPr="00FB0AE6">
              <w:rPr>
                <w:rFonts w:asciiTheme="minorHAnsi" w:hAnsiTheme="minorHAnsi" w:cstheme="minorHAnsi"/>
                <w:kern w:val="0"/>
                <w:sz w:val="22"/>
                <w:szCs w:val="22"/>
                <w:lang w:val="en-IN" w:eastAsia="en-IN"/>
              </w:rPr>
              <w:t> </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16</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237"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03"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proofErr w:type="spellStart"/>
            <w:r w:rsidRPr="001A2C1B">
              <w:rPr>
                <w:rFonts w:asciiTheme="minorHAnsi" w:hAnsiTheme="minorHAnsi" w:cstheme="minorHAnsi"/>
                <w:color w:val="auto"/>
                <w:kern w:val="0"/>
                <w:sz w:val="22"/>
                <w:szCs w:val="22"/>
                <w:lang w:val="en-IN" w:eastAsia="en-IN"/>
              </w:rPr>
              <w:t>Catellani</w:t>
            </w:r>
            <w:proofErr w:type="spellEnd"/>
            <w:r w:rsidRPr="001A2C1B">
              <w:rPr>
                <w:rFonts w:asciiTheme="minorHAnsi" w:hAnsiTheme="minorHAnsi" w:cstheme="minorHAnsi"/>
                <w:color w:val="auto"/>
                <w:kern w:val="0"/>
                <w:sz w:val="22"/>
                <w:szCs w:val="22"/>
                <w:lang w:val="en-IN" w:eastAsia="en-IN"/>
              </w:rPr>
              <w:t>, F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16</w:t>
            </w:r>
          </w:p>
        </w:tc>
        <w:tc>
          <w:tcPr>
            <w:tcW w:w="373" w:type="pct"/>
            <w:shd w:val="clear" w:color="000000"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16</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10</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237"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404"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Chen, T et al. (a)</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55</w:t>
            </w:r>
          </w:p>
        </w:tc>
        <w:tc>
          <w:tcPr>
            <w:tcW w:w="373" w:type="pct"/>
            <w:shd w:val="clear" w:color="000000"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37</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12</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21</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11</w:t>
            </w:r>
          </w:p>
        </w:tc>
        <w:tc>
          <w:tcPr>
            <w:tcW w:w="237"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8</w:t>
            </w:r>
          </w:p>
        </w:tc>
        <w:tc>
          <w:tcPr>
            <w:tcW w:w="404"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8</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7</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Chow, N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715</w:t>
            </w:r>
          </w:p>
        </w:tc>
        <w:tc>
          <w:tcPr>
            <w:tcW w:w="373" w:type="pct"/>
            <w:shd w:val="clear" w:color="000000"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637</w:t>
            </w:r>
          </w:p>
        </w:tc>
        <w:tc>
          <w:tcPr>
            <w:tcW w:w="305"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288" w:type="pct"/>
            <w:shd w:val="clear" w:color="000000" w:fill="FFFFFF"/>
            <w:noWrap/>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68"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237"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03"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FFFF" w:fill="FFFFFF"/>
            <w:vAlign w:val="bottom"/>
          </w:tcPr>
          <w:p w:rsidR="00FB0AE6" w:rsidRPr="00884110" w:rsidRDefault="00FB0AE6" w:rsidP="00FB0AE6">
            <w:pPr>
              <w:rPr>
                <w:rFonts w:asciiTheme="minorHAnsi" w:hAnsiTheme="minorHAnsi" w:cstheme="minorHAnsi"/>
                <w:color w:val="auto"/>
                <w:kern w:val="0"/>
                <w:sz w:val="22"/>
                <w:szCs w:val="22"/>
                <w:vertAlign w:val="superscript"/>
                <w:lang w:val="en-IN" w:eastAsia="en-IN"/>
              </w:rPr>
            </w:pPr>
            <w:r w:rsidRPr="001A2C1B">
              <w:rPr>
                <w:rFonts w:asciiTheme="minorHAnsi" w:hAnsiTheme="minorHAnsi" w:cstheme="minorHAnsi"/>
                <w:color w:val="auto"/>
                <w:kern w:val="0"/>
                <w:sz w:val="22"/>
                <w:szCs w:val="22"/>
                <w:lang w:val="en-IN" w:eastAsia="en-IN"/>
              </w:rPr>
              <w:t>Du, R-H et al.</w:t>
            </w:r>
            <w:r>
              <w:rPr>
                <w:rFonts w:asciiTheme="minorHAnsi" w:hAnsiTheme="minorHAnsi" w:cstheme="minorHAnsi"/>
                <w:color w:val="auto"/>
                <w:kern w:val="0"/>
                <w:sz w:val="22"/>
                <w:szCs w:val="22"/>
                <w:vertAlign w:val="superscript"/>
                <w:lang w:val="en-IN" w:eastAsia="en-IN"/>
              </w:rPr>
              <w:t>#</w:t>
            </w:r>
          </w:p>
        </w:tc>
        <w:tc>
          <w:tcPr>
            <w:tcW w:w="254" w:type="pct"/>
            <w:shd w:val="clear" w:color="00FFFF" w:fill="FFFFFF"/>
            <w:vAlign w:val="bottom"/>
          </w:tcPr>
          <w:p w:rsidR="00FB0AE6" w:rsidRPr="001A2C1B" w:rsidRDefault="00FB0AE6" w:rsidP="00FB0AE6">
            <w:pPr>
              <w:jc w:val="right"/>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20</w:t>
            </w:r>
          </w:p>
        </w:tc>
        <w:tc>
          <w:tcPr>
            <w:tcW w:w="373" w:type="pct"/>
            <w:shd w:val="clear" w:color="00FFFF" w:fill="FFFFFF"/>
            <w:noWrap/>
            <w:vAlign w:val="bottom"/>
            <w:hideMark/>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16</w:t>
            </w:r>
          </w:p>
        </w:tc>
        <w:tc>
          <w:tcPr>
            <w:tcW w:w="305"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20</w:t>
            </w:r>
          </w:p>
        </w:tc>
        <w:tc>
          <w:tcPr>
            <w:tcW w:w="288" w:type="pct"/>
            <w:shd w:val="clear" w:color="00FFFF"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13</w:t>
            </w:r>
          </w:p>
        </w:tc>
        <w:tc>
          <w:tcPr>
            <w:tcW w:w="368"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237"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03"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w:t>
            </w:r>
          </w:p>
        </w:tc>
        <w:tc>
          <w:tcPr>
            <w:tcW w:w="351"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FFFFFF"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Feng, Y et al.</w:t>
            </w:r>
          </w:p>
        </w:tc>
        <w:tc>
          <w:tcPr>
            <w:tcW w:w="254" w:type="pct"/>
            <w:shd w:val="clear" w:color="FFFFFF"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118</w:t>
            </w:r>
          </w:p>
        </w:tc>
        <w:tc>
          <w:tcPr>
            <w:tcW w:w="373" w:type="pct"/>
            <w:shd w:val="clear" w:color="FFFFFF"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89</w:t>
            </w:r>
          </w:p>
        </w:tc>
        <w:tc>
          <w:tcPr>
            <w:tcW w:w="305" w:type="pct"/>
            <w:shd w:val="clear" w:color="FF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28</w:t>
            </w:r>
          </w:p>
        </w:tc>
        <w:tc>
          <w:tcPr>
            <w:tcW w:w="288" w:type="pct"/>
            <w:shd w:val="clear" w:color="FFFFFF"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54</w:t>
            </w:r>
          </w:p>
        </w:tc>
        <w:tc>
          <w:tcPr>
            <w:tcW w:w="368" w:type="pct"/>
            <w:shd w:val="clear" w:color="FF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26</w:t>
            </w:r>
          </w:p>
        </w:tc>
        <w:tc>
          <w:tcPr>
            <w:tcW w:w="237" w:type="pct"/>
            <w:shd w:val="clear" w:color="FF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11</w:t>
            </w:r>
          </w:p>
        </w:tc>
        <w:tc>
          <w:tcPr>
            <w:tcW w:w="404" w:type="pct"/>
            <w:shd w:val="clear" w:color="FF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11</w:t>
            </w:r>
          </w:p>
        </w:tc>
        <w:tc>
          <w:tcPr>
            <w:tcW w:w="351" w:type="pct"/>
            <w:shd w:val="clear" w:color="FF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15</w:t>
            </w:r>
          </w:p>
        </w:tc>
        <w:tc>
          <w:tcPr>
            <w:tcW w:w="351" w:type="pct"/>
            <w:shd w:val="clear" w:color="FF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FF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03" w:type="pct"/>
            <w:shd w:val="clear" w:color="FF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8</w:t>
            </w:r>
          </w:p>
        </w:tc>
        <w:tc>
          <w:tcPr>
            <w:tcW w:w="351" w:type="pct"/>
            <w:shd w:val="clear" w:color="FF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FF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proofErr w:type="spellStart"/>
            <w:r w:rsidRPr="001A2C1B">
              <w:rPr>
                <w:rFonts w:asciiTheme="minorHAnsi" w:hAnsiTheme="minorHAnsi" w:cstheme="minorHAnsi"/>
                <w:color w:val="auto"/>
                <w:kern w:val="0"/>
                <w:sz w:val="22"/>
                <w:szCs w:val="22"/>
                <w:lang w:val="en-IN" w:eastAsia="en-IN"/>
              </w:rPr>
              <w:t>Garg</w:t>
            </w:r>
            <w:proofErr w:type="spellEnd"/>
            <w:r w:rsidRPr="001A2C1B">
              <w:rPr>
                <w:rFonts w:asciiTheme="minorHAnsi" w:hAnsiTheme="minorHAnsi" w:cstheme="minorHAnsi"/>
                <w:color w:val="auto"/>
                <w:kern w:val="0"/>
                <w:sz w:val="22"/>
                <w:szCs w:val="22"/>
                <w:lang w:val="en-IN" w:eastAsia="en-IN"/>
              </w:rPr>
              <w:t>, S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w:t>
            </w:r>
            <w:r>
              <w:rPr>
                <w:rFonts w:asciiTheme="minorHAnsi" w:hAnsiTheme="minorHAnsi" w:cstheme="minorHAnsi"/>
                <w:kern w:val="0"/>
                <w:sz w:val="22"/>
                <w:szCs w:val="22"/>
                <w:lang w:val="en-IN" w:eastAsia="en-IN"/>
              </w:rPr>
              <w:t>#</w:t>
            </w:r>
          </w:p>
        </w:tc>
        <w:tc>
          <w:tcPr>
            <w:tcW w:w="373" w:type="pct"/>
            <w:shd w:val="clear" w:color="000000"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67</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20</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45</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32</w:t>
            </w:r>
          </w:p>
        </w:tc>
        <w:tc>
          <w:tcPr>
            <w:tcW w:w="237"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404"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14</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24</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15</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r>
      <w:tr w:rsidR="00FB0AE6" w:rsidRPr="001A2C1B" w:rsidTr="00CF00D9">
        <w:trPr>
          <w:trHeight w:val="288"/>
        </w:trPr>
        <w:tc>
          <w:tcPr>
            <w:tcW w:w="708" w:type="pct"/>
            <w:shd w:val="clear" w:color="00FFFF"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proofErr w:type="spellStart"/>
            <w:r w:rsidRPr="001A2C1B">
              <w:rPr>
                <w:rFonts w:asciiTheme="minorHAnsi" w:hAnsiTheme="minorHAnsi" w:cstheme="minorHAnsi"/>
                <w:color w:val="auto"/>
                <w:kern w:val="0"/>
                <w:sz w:val="22"/>
                <w:szCs w:val="22"/>
                <w:lang w:val="en-IN" w:eastAsia="en-IN"/>
              </w:rPr>
              <w:t>Grasselli</w:t>
            </w:r>
            <w:proofErr w:type="spellEnd"/>
            <w:r w:rsidRPr="001A2C1B">
              <w:rPr>
                <w:rFonts w:asciiTheme="minorHAnsi" w:hAnsiTheme="minorHAnsi" w:cstheme="minorHAnsi"/>
                <w:color w:val="auto"/>
                <w:kern w:val="0"/>
                <w:sz w:val="22"/>
                <w:szCs w:val="22"/>
                <w:lang w:val="en-IN" w:eastAsia="en-IN"/>
              </w:rPr>
              <w:t>, G et al.</w:t>
            </w:r>
          </w:p>
        </w:tc>
        <w:tc>
          <w:tcPr>
            <w:tcW w:w="254" w:type="pct"/>
            <w:shd w:val="clear" w:color="00FFFF"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635</w:t>
            </w:r>
          </w:p>
        </w:tc>
        <w:tc>
          <w:tcPr>
            <w:tcW w:w="373" w:type="pct"/>
            <w:shd w:val="clear" w:color="00FFFF"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481</w:t>
            </w:r>
          </w:p>
        </w:tc>
        <w:tc>
          <w:tcPr>
            <w:tcW w:w="305"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135</w:t>
            </w:r>
          </w:p>
        </w:tc>
        <w:tc>
          <w:tcPr>
            <w:tcW w:w="288" w:type="pct"/>
            <w:shd w:val="clear" w:color="00FFFF"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363</w:t>
            </w:r>
          </w:p>
        </w:tc>
        <w:tc>
          <w:tcPr>
            <w:tcW w:w="368"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175</w:t>
            </w:r>
          </w:p>
        </w:tc>
        <w:tc>
          <w:tcPr>
            <w:tcW w:w="237"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33</w:t>
            </w:r>
          </w:p>
        </w:tc>
        <w:tc>
          <w:tcPr>
            <w:tcW w:w="351"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24</w:t>
            </w:r>
          </w:p>
        </w:tc>
        <w:tc>
          <w:tcPr>
            <w:tcW w:w="351"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18</w:t>
            </w:r>
          </w:p>
        </w:tc>
        <w:tc>
          <w:tcPr>
            <w:tcW w:w="303"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69</w:t>
            </w:r>
          </w:p>
        </w:tc>
        <w:tc>
          <w:tcPr>
            <w:tcW w:w="351"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FFFF" w:fill="FFFFFF"/>
            <w:vAlign w:val="bottom"/>
          </w:tcPr>
          <w:p w:rsidR="00FB0AE6" w:rsidRPr="00884110" w:rsidRDefault="00FB0AE6" w:rsidP="00FB0AE6">
            <w:pPr>
              <w:rPr>
                <w:rFonts w:asciiTheme="minorHAnsi" w:hAnsiTheme="minorHAnsi" w:cstheme="minorHAnsi"/>
                <w:color w:val="auto"/>
                <w:kern w:val="0"/>
                <w:sz w:val="22"/>
                <w:szCs w:val="22"/>
                <w:vertAlign w:val="superscript"/>
                <w:lang w:val="en-IN" w:eastAsia="en-IN"/>
              </w:rPr>
            </w:pPr>
            <w:proofErr w:type="spellStart"/>
            <w:r w:rsidRPr="001A2C1B">
              <w:rPr>
                <w:rFonts w:asciiTheme="minorHAnsi" w:hAnsiTheme="minorHAnsi" w:cstheme="minorHAnsi"/>
                <w:color w:val="auto"/>
                <w:kern w:val="0"/>
                <w:sz w:val="22"/>
                <w:szCs w:val="22"/>
                <w:lang w:val="en-IN" w:eastAsia="en-IN"/>
              </w:rPr>
              <w:t>Grein</w:t>
            </w:r>
            <w:proofErr w:type="spellEnd"/>
            <w:r w:rsidRPr="001A2C1B">
              <w:rPr>
                <w:rFonts w:asciiTheme="minorHAnsi" w:hAnsiTheme="minorHAnsi" w:cstheme="minorHAnsi"/>
                <w:color w:val="auto"/>
                <w:kern w:val="0"/>
                <w:sz w:val="22"/>
                <w:szCs w:val="22"/>
                <w:lang w:val="en-IN" w:eastAsia="en-IN"/>
              </w:rPr>
              <w:t>, J et al.</w:t>
            </w:r>
            <w:r>
              <w:rPr>
                <w:rFonts w:asciiTheme="minorHAnsi" w:hAnsiTheme="minorHAnsi" w:cstheme="minorHAnsi"/>
                <w:color w:val="auto"/>
                <w:kern w:val="0"/>
                <w:sz w:val="22"/>
                <w:szCs w:val="22"/>
                <w:vertAlign w:val="superscript"/>
                <w:lang w:val="en-IN" w:eastAsia="en-IN"/>
              </w:rPr>
              <w:t>#</w:t>
            </w:r>
          </w:p>
        </w:tc>
        <w:tc>
          <w:tcPr>
            <w:tcW w:w="254" w:type="pct"/>
            <w:shd w:val="clear" w:color="00FFFF"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7</w:t>
            </w:r>
          </w:p>
        </w:tc>
        <w:tc>
          <w:tcPr>
            <w:tcW w:w="373" w:type="pct"/>
            <w:shd w:val="clear" w:color="00FFFF"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5</w:t>
            </w:r>
          </w:p>
        </w:tc>
        <w:tc>
          <w:tcPr>
            <w:tcW w:w="305"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288" w:type="pct"/>
            <w:shd w:val="clear" w:color="00FFFF" w:fill="FFFFFF"/>
            <w:noWrap/>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68"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237"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w:t>
            </w:r>
          </w:p>
        </w:tc>
        <w:tc>
          <w:tcPr>
            <w:tcW w:w="351"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1"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03"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w:t>
            </w:r>
          </w:p>
        </w:tc>
        <w:tc>
          <w:tcPr>
            <w:tcW w:w="351"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6"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KSID/KCDC</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34</w:t>
            </w:r>
          </w:p>
        </w:tc>
        <w:tc>
          <w:tcPr>
            <w:tcW w:w="373" w:type="pct"/>
            <w:shd w:val="clear" w:color="000000"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31</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11</w:t>
            </w:r>
          </w:p>
        </w:tc>
        <w:tc>
          <w:tcPr>
            <w:tcW w:w="288" w:type="pct"/>
            <w:shd w:val="clear" w:color="000000" w:fill="FFFFFF"/>
            <w:noWrap/>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68"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237"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4</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proofErr w:type="spellStart"/>
            <w:r w:rsidRPr="001A2C1B">
              <w:rPr>
                <w:rFonts w:asciiTheme="minorHAnsi" w:hAnsiTheme="minorHAnsi" w:cstheme="minorHAnsi"/>
                <w:color w:val="auto"/>
                <w:kern w:val="0"/>
                <w:sz w:val="22"/>
                <w:szCs w:val="22"/>
                <w:lang w:val="en-IN" w:eastAsia="en-IN"/>
              </w:rPr>
              <w:t>Lechien</w:t>
            </w:r>
            <w:proofErr w:type="spellEnd"/>
            <w:r w:rsidRPr="001A2C1B">
              <w:rPr>
                <w:rFonts w:asciiTheme="minorHAnsi" w:hAnsiTheme="minorHAnsi" w:cstheme="minorHAnsi"/>
                <w:color w:val="auto"/>
                <w:kern w:val="0"/>
                <w:sz w:val="22"/>
                <w:szCs w:val="22"/>
                <w:lang w:val="en-IN" w:eastAsia="en-IN"/>
              </w:rPr>
              <w:t>, J R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76</w:t>
            </w:r>
          </w:p>
        </w:tc>
        <w:tc>
          <w:tcPr>
            <w:tcW w:w="373" w:type="pct"/>
            <w:shd w:val="clear" w:color="000000" w:fill="FFFFFF"/>
            <w:noWrap/>
            <w:hideMark/>
          </w:tcPr>
          <w:p w:rsidR="00FB0AE6" w:rsidRPr="00FB0AE6" w:rsidRDefault="00FB0AE6" w:rsidP="00FB0AE6">
            <w:pPr>
              <w:rPr>
                <w:sz w:val="22"/>
                <w:szCs w:val="22"/>
              </w:rPr>
            </w:pPr>
            <w:r w:rsidRPr="00FB0AE6">
              <w:rPr>
                <w:rFonts w:ascii="Calibri" w:hAnsi="Calibri" w:cs="Calibri"/>
                <w:bCs/>
                <w:color w:val="auto"/>
                <w:kern w:val="0"/>
                <w:sz w:val="22"/>
                <w:szCs w:val="22"/>
                <w:lang w:val="en-IN" w:eastAsia="en-IN"/>
              </w:rPr>
              <w:t>..</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7</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32</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8</w:t>
            </w:r>
          </w:p>
        </w:tc>
        <w:tc>
          <w:tcPr>
            <w:tcW w:w="237"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404"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4</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4</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22</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356"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w:t>
            </w:r>
          </w:p>
        </w:tc>
      </w:tr>
      <w:tr w:rsidR="00FB0AE6" w:rsidRPr="001A2C1B" w:rsidTr="00CF00D9">
        <w:trPr>
          <w:trHeight w:val="288"/>
        </w:trPr>
        <w:tc>
          <w:tcPr>
            <w:tcW w:w="708" w:type="pct"/>
            <w:shd w:val="clear" w:color="00FFFF"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Li, J et al.</w:t>
            </w:r>
          </w:p>
        </w:tc>
        <w:tc>
          <w:tcPr>
            <w:tcW w:w="254" w:type="pct"/>
            <w:shd w:val="clear" w:color="00FFFF"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466</w:t>
            </w:r>
          </w:p>
        </w:tc>
        <w:tc>
          <w:tcPr>
            <w:tcW w:w="373" w:type="pct"/>
            <w:shd w:val="clear" w:color="00FFFF" w:fill="FFFFFF"/>
            <w:noWrap/>
            <w:hideMark/>
          </w:tcPr>
          <w:p w:rsidR="00FB0AE6" w:rsidRPr="00FB0AE6" w:rsidRDefault="00FB0AE6" w:rsidP="00FB0AE6">
            <w:pPr>
              <w:rPr>
                <w:sz w:val="22"/>
                <w:szCs w:val="22"/>
              </w:rPr>
            </w:pPr>
            <w:r w:rsidRPr="00FB0AE6">
              <w:rPr>
                <w:rFonts w:ascii="Calibri" w:hAnsi="Calibri" w:cs="Calibri"/>
                <w:bCs/>
                <w:color w:val="auto"/>
                <w:kern w:val="0"/>
                <w:sz w:val="22"/>
                <w:szCs w:val="22"/>
                <w:lang w:val="en-IN" w:eastAsia="en-IN"/>
              </w:rPr>
              <w:t>..</w:t>
            </w:r>
          </w:p>
        </w:tc>
        <w:tc>
          <w:tcPr>
            <w:tcW w:w="305"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288" w:type="pct"/>
            <w:shd w:val="clear" w:color="00FFFF"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259</w:t>
            </w:r>
          </w:p>
        </w:tc>
        <w:tc>
          <w:tcPr>
            <w:tcW w:w="368"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237"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03"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Li, T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182</w:t>
            </w:r>
          </w:p>
        </w:tc>
        <w:tc>
          <w:tcPr>
            <w:tcW w:w="373" w:type="pct"/>
            <w:shd w:val="clear" w:color="000000" w:fill="FFFFFF"/>
            <w:noWrap/>
            <w:hideMark/>
          </w:tcPr>
          <w:p w:rsidR="00FB0AE6" w:rsidRPr="00FB0AE6" w:rsidRDefault="00FB0AE6" w:rsidP="00FB0AE6">
            <w:pPr>
              <w:rPr>
                <w:sz w:val="22"/>
                <w:szCs w:val="22"/>
              </w:rPr>
            </w:pPr>
            <w:r w:rsidRPr="00FB0AE6">
              <w:rPr>
                <w:rFonts w:ascii="Calibri" w:hAnsi="Calibri" w:cs="Calibri"/>
                <w:bCs/>
                <w:color w:val="auto"/>
                <w:kern w:val="0"/>
                <w:sz w:val="22"/>
                <w:szCs w:val="22"/>
                <w:lang w:val="en-IN" w:eastAsia="en-IN"/>
              </w:rPr>
              <w:t>..</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51</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29</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19</w:t>
            </w:r>
          </w:p>
        </w:tc>
        <w:tc>
          <w:tcPr>
            <w:tcW w:w="237"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17</w:t>
            </w:r>
          </w:p>
        </w:tc>
        <w:tc>
          <w:tcPr>
            <w:tcW w:w="404"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17</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15</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03"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Li, X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19</w:t>
            </w:r>
          </w:p>
        </w:tc>
        <w:tc>
          <w:tcPr>
            <w:tcW w:w="373" w:type="pct"/>
            <w:shd w:val="clear" w:color="000000"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19</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14</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237"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404"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proofErr w:type="spellStart"/>
            <w:r w:rsidRPr="001A2C1B">
              <w:rPr>
                <w:rFonts w:asciiTheme="minorHAnsi" w:hAnsiTheme="minorHAnsi" w:cstheme="minorHAnsi"/>
                <w:color w:val="auto"/>
                <w:kern w:val="0"/>
                <w:sz w:val="22"/>
                <w:szCs w:val="22"/>
                <w:lang w:val="en-IN" w:eastAsia="en-IN"/>
              </w:rPr>
              <w:t>Lian</w:t>
            </w:r>
            <w:proofErr w:type="spellEnd"/>
            <w:r w:rsidRPr="001A2C1B">
              <w:rPr>
                <w:rFonts w:asciiTheme="minorHAnsi" w:hAnsiTheme="minorHAnsi" w:cstheme="minorHAnsi"/>
                <w:color w:val="auto"/>
                <w:kern w:val="0"/>
                <w:sz w:val="22"/>
                <w:szCs w:val="22"/>
                <w:lang w:val="en-IN" w:eastAsia="en-IN"/>
              </w:rPr>
              <w:t>, J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136</w:t>
            </w:r>
          </w:p>
        </w:tc>
        <w:tc>
          <w:tcPr>
            <w:tcW w:w="373" w:type="pct"/>
            <w:shd w:val="clear" w:color="000000"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75</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24</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53</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237"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Liu, K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18</w:t>
            </w:r>
          </w:p>
        </w:tc>
        <w:tc>
          <w:tcPr>
            <w:tcW w:w="373" w:type="pct"/>
            <w:shd w:val="clear" w:color="000000" w:fill="FFFFFF"/>
            <w:noWrap/>
            <w:hideMark/>
          </w:tcPr>
          <w:p w:rsidR="00FB0AE6" w:rsidRPr="00FB0AE6" w:rsidRDefault="00FB0AE6" w:rsidP="00FB0AE6">
            <w:pPr>
              <w:rPr>
                <w:sz w:val="22"/>
                <w:szCs w:val="22"/>
              </w:rPr>
            </w:pPr>
            <w:r w:rsidRPr="00FB0AE6">
              <w:rPr>
                <w:rFonts w:ascii="Calibri" w:hAnsi="Calibri" w:cs="Calibri"/>
                <w:bCs/>
                <w:color w:val="auto"/>
                <w:kern w:val="0"/>
                <w:sz w:val="22"/>
                <w:szCs w:val="22"/>
                <w:lang w:val="en-IN" w:eastAsia="en-IN"/>
              </w:rPr>
              <w:t>..</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w:t>
            </w:r>
          </w:p>
        </w:tc>
        <w:tc>
          <w:tcPr>
            <w:tcW w:w="237"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0</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proofErr w:type="spellStart"/>
            <w:r w:rsidRPr="001A2C1B">
              <w:rPr>
                <w:rFonts w:asciiTheme="minorHAnsi" w:hAnsiTheme="minorHAnsi" w:cstheme="minorHAnsi"/>
                <w:color w:val="auto"/>
                <w:kern w:val="0"/>
                <w:sz w:val="22"/>
                <w:szCs w:val="22"/>
                <w:lang w:val="en-IN" w:eastAsia="en-IN"/>
              </w:rPr>
              <w:t>Lodigiani</w:t>
            </w:r>
            <w:proofErr w:type="spellEnd"/>
            <w:r w:rsidRPr="001A2C1B">
              <w:rPr>
                <w:rFonts w:asciiTheme="minorHAnsi" w:hAnsiTheme="minorHAnsi" w:cstheme="minorHAnsi"/>
                <w:color w:val="auto"/>
                <w:kern w:val="0"/>
                <w:sz w:val="22"/>
                <w:szCs w:val="22"/>
                <w:lang w:val="en-IN" w:eastAsia="en-IN"/>
              </w:rPr>
              <w:t>, C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22</w:t>
            </w:r>
          </w:p>
        </w:tc>
        <w:tc>
          <w:tcPr>
            <w:tcW w:w="373" w:type="pct"/>
            <w:shd w:val="clear" w:color="000000" w:fill="FFFFFF"/>
            <w:noWrap/>
            <w:hideMark/>
          </w:tcPr>
          <w:p w:rsidR="00FB0AE6" w:rsidRPr="00FB0AE6" w:rsidRDefault="00FB0AE6" w:rsidP="00FB0AE6">
            <w:pPr>
              <w:rPr>
                <w:sz w:val="22"/>
                <w:szCs w:val="22"/>
              </w:rPr>
            </w:pPr>
            <w:r w:rsidRPr="00FB0AE6">
              <w:rPr>
                <w:rFonts w:ascii="Calibri" w:hAnsi="Calibri" w:cs="Calibri"/>
                <w:bCs/>
                <w:color w:val="auto"/>
                <w:kern w:val="0"/>
                <w:sz w:val="22"/>
                <w:szCs w:val="22"/>
                <w:lang w:val="en-IN" w:eastAsia="en-IN"/>
              </w:rPr>
              <w:t>..</w:t>
            </w:r>
          </w:p>
        </w:tc>
        <w:tc>
          <w:tcPr>
            <w:tcW w:w="305"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288" w:type="pct"/>
            <w:shd w:val="clear" w:color="000000" w:fill="FFFFFF"/>
            <w:noWrap/>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68"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237"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FFFF" w:fill="FFFFFF"/>
            <w:vAlign w:val="bottom"/>
          </w:tcPr>
          <w:p w:rsidR="00FB0AE6" w:rsidRPr="00884110" w:rsidRDefault="00FB0AE6" w:rsidP="00FB0AE6">
            <w:pPr>
              <w:rPr>
                <w:rFonts w:asciiTheme="minorHAnsi" w:hAnsiTheme="minorHAnsi" w:cstheme="minorHAnsi"/>
                <w:color w:val="auto"/>
                <w:kern w:val="0"/>
                <w:sz w:val="22"/>
                <w:szCs w:val="22"/>
                <w:vertAlign w:val="superscript"/>
                <w:lang w:val="en-IN" w:eastAsia="en-IN"/>
              </w:rPr>
            </w:pPr>
            <w:r w:rsidRPr="001A2C1B">
              <w:rPr>
                <w:rFonts w:asciiTheme="minorHAnsi" w:hAnsiTheme="minorHAnsi" w:cstheme="minorHAnsi"/>
                <w:color w:val="auto"/>
                <w:kern w:val="0"/>
                <w:sz w:val="22"/>
                <w:szCs w:val="22"/>
                <w:lang w:val="en-IN" w:eastAsia="en-IN"/>
              </w:rPr>
              <w:t>Mehta, V et al.</w:t>
            </w:r>
            <w:r>
              <w:rPr>
                <w:rFonts w:asciiTheme="minorHAnsi" w:hAnsiTheme="minorHAnsi" w:cstheme="minorHAnsi"/>
                <w:color w:val="auto"/>
                <w:kern w:val="0"/>
                <w:sz w:val="22"/>
                <w:szCs w:val="22"/>
                <w:vertAlign w:val="superscript"/>
                <w:lang w:val="en-IN" w:eastAsia="en-IN"/>
              </w:rPr>
              <w:t>#</w:t>
            </w:r>
          </w:p>
        </w:tc>
        <w:tc>
          <w:tcPr>
            <w:tcW w:w="254" w:type="pct"/>
            <w:shd w:val="clear" w:color="00FFFF" w:fill="FFFFFF"/>
            <w:vAlign w:val="bottom"/>
          </w:tcPr>
          <w:p w:rsidR="00FB0AE6" w:rsidRPr="001A2C1B" w:rsidRDefault="00FB0AE6" w:rsidP="00FB0AE6">
            <w:pPr>
              <w:jc w:val="right"/>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51</w:t>
            </w:r>
          </w:p>
        </w:tc>
        <w:tc>
          <w:tcPr>
            <w:tcW w:w="373" w:type="pct"/>
            <w:shd w:val="clear" w:color="00FFFF" w:fill="FFFFFF"/>
            <w:noWrap/>
            <w:hideMark/>
          </w:tcPr>
          <w:p w:rsidR="00FB0AE6" w:rsidRPr="00FB0AE6" w:rsidRDefault="00FB0AE6" w:rsidP="00FB0AE6">
            <w:pPr>
              <w:rPr>
                <w:sz w:val="22"/>
                <w:szCs w:val="22"/>
              </w:rPr>
            </w:pPr>
            <w:r w:rsidRPr="00FB0AE6">
              <w:rPr>
                <w:rFonts w:ascii="Calibri" w:hAnsi="Calibri" w:cs="Calibri"/>
                <w:bCs/>
                <w:color w:val="auto"/>
                <w:kern w:val="0"/>
                <w:sz w:val="22"/>
                <w:szCs w:val="22"/>
                <w:lang w:val="en-IN" w:eastAsia="en-IN"/>
              </w:rPr>
              <w:t>..</w:t>
            </w:r>
          </w:p>
        </w:tc>
        <w:tc>
          <w:tcPr>
            <w:tcW w:w="305"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15</w:t>
            </w:r>
          </w:p>
        </w:tc>
        <w:tc>
          <w:tcPr>
            <w:tcW w:w="288" w:type="pct"/>
            <w:shd w:val="clear" w:color="00FFFF"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22</w:t>
            </w:r>
          </w:p>
        </w:tc>
        <w:tc>
          <w:tcPr>
            <w:tcW w:w="368"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16</w:t>
            </w:r>
          </w:p>
        </w:tc>
        <w:tc>
          <w:tcPr>
            <w:tcW w:w="237"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404"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13</w:t>
            </w:r>
          </w:p>
        </w:tc>
        <w:tc>
          <w:tcPr>
            <w:tcW w:w="351"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10</w:t>
            </w:r>
          </w:p>
        </w:tc>
        <w:tc>
          <w:tcPr>
            <w:tcW w:w="351"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10</w:t>
            </w:r>
          </w:p>
        </w:tc>
        <w:tc>
          <w:tcPr>
            <w:tcW w:w="351"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w:t>
            </w:r>
          </w:p>
        </w:tc>
        <w:tc>
          <w:tcPr>
            <w:tcW w:w="303" w:type="pct"/>
            <w:shd w:val="clear" w:color="00FFFF"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1"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FFFF"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Wang, L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339</w:t>
            </w:r>
          </w:p>
        </w:tc>
        <w:tc>
          <w:tcPr>
            <w:tcW w:w="373" w:type="pct"/>
            <w:shd w:val="clear" w:color="000000" w:fill="FFFFFF"/>
            <w:noWrap/>
            <w:hideMark/>
          </w:tcPr>
          <w:p w:rsidR="00FB0AE6" w:rsidRPr="00FB0AE6" w:rsidRDefault="00FB0AE6" w:rsidP="00FB0AE6">
            <w:pPr>
              <w:rPr>
                <w:sz w:val="22"/>
                <w:szCs w:val="22"/>
              </w:rPr>
            </w:pPr>
            <w:r w:rsidRPr="00FB0AE6">
              <w:rPr>
                <w:rFonts w:ascii="Calibri" w:hAnsi="Calibri" w:cs="Calibri"/>
                <w:bCs/>
                <w:color w:val="auto"/>
                <w:kern w:val="0"/>
                <w:sz w:val="22"/>
                <w:szCs w:val="22"/>
                <w:lang w:val="en-IN" w:eastAsia="en-IN"/>
              </w:rPr>
              <w:t>..</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54</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138</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53</w:t>
            </w:r>
          </w:p>
        </w:tc>
        <w:tc>
          <w:tcPr>
            <w:tcW w:w="237"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21</w:t>
            </w:r>
          </w:p>
        </w:tc>
        <w:tc>
          <w:tcPr>
            <w:tcW w:w="404"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21</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21</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13</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15</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5</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Wang, W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15</w:t>
            </w:r>
          </w:p>
        </w:tc>
        <w:tc>
          <w:tcPr>
            <w:tcW w:w="373" w:type="pct"/>
            <w:shd w:val="clear" w:color="000000" w:fill="FFFFFF"/>
            <w:noWrap/>
            <w:hideMark/>
          </w:tcPr>
          <w:p w:rsidR="00FB0AE6" w:rsidRPr="00FB0AE6" w:rsidRDefault="00FB0AE6" w:rsidP="00FB0AE6">
            <w:pPr>
              <w:rPr>
                <w:sz w:val="22"/>
                <w:szCs w:val="22"/>
              </w:rPr>
            </w:pPr>
            <w:r w:rsidRPr="00FB0AE6">
              <w:rPr>
                <w:rFonts w:ascii="Calibri" w:hAnsi="Calibri" w:cs="Calibri"/>
                <w:bCs/>
                <w:color w:val="auto"/>
                <w:kern w:val="0"/>
                <w:sz w:val="22"/>
                <w:szCs w:val="22"/>
                <w:lang w:val="en-IN" w:eastAsia="en-IN"/>
              </w:rPr>
              <w:t>..</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4</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6</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237"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404"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2</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Yang, R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62</w:t>
            </w:r>
          </w:p>
        </w:tc>
        <w:tc>
          <w:tcPr>
            <w:tcW w:w="373" w:type="pct"/>
            <w:shd w:val="clear" w:color="000000"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39</w:t>
            </w:r>
          </w:p>
        </w:tc>
        <w:tc>
          <w:tcPr>
            <w:tcW w:w="305"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288" w:type="pct"/>
            <w:shd w:val="clear" w:color="000000" w:fill="FFFFFF"/>
            <w:noWrap/>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68"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237"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r w:rsidR="00FB0AE6" w:rsidRPr="001A2C1B" w:rsidTr="00CF00D9">
        <w:trPr>
          <w:trHeight w:val="288"/>
        </w:trPr>
        <w:tc>
          <w:tcPr>
            <w:tcW w:w="708" w:type="pct"/>
            <w:shd w:val="clear" w:color="000000" w:fill="FFFFFF"/>
            <w:vAlign w:val="bottom"/>
          </w:tcPr>
          <w:p w:rsidR="00FB0AE6" w:rsidRPr="001A2C1B" w:rsidRDefault="00FB0AE6" w:rsidP="00FB0AE6">
            <w:pPr>
              <w:rPr>
                <w:rFonts w:asciiTheme="minorHAnsi" w:hAnsiTheme="minorHAnsi" w:cstheme="minorHAnsi"/>
                <w:color w:val="auto"/>
                <w:kern w:val="0"/>
                <w:sz w:val="22"/>
                <w:szCs w:val="22"/>
                <w:lang w:val="en-IN" w:eastAsia="en-IN"/>
              </w:rPr>
            </w:pPr>
            <w:r w:rsidRPr="001A2C1B">
              <w:rPr>
                <w:rFonts w:asciiTheme="minorHAnsi" w:hAnsiTheme="minorHAnsi" w:cstheme="minorHAnsi"/>
                <w:color w:val="auto"/>
                <w:kern w:val="0"/>
                <w:sz w:val="22"/>
                <w:szCs w:val="22"/>
                <w:lang w:val="en-IN" w:eastAsia="en-IN"/>
              </w:rPr>
              <w:t>Zhang, L et al.</w:t>
            </w:r>
          </w:p>
        </w:tc>
        <w:tc>
          <w:tcPr>
            <w:tcW w:w="254" w:type="pct"/>
            <w:shd w:val="clear" w:color="000000" w:fill="FFFFFF"/>
            <w:vAlign w:val="bottom"/>
          </w:tcPr>
          <w:p w:rsidR="00FB0AE6" w:rsidRPr="001A2C1B" w:rsidRDefault="00FB0AE6" w:rsidP="00FB0AE6">
            <w:pPr>
              <w:jc w:val="right"/>
              <w:rPr>
                <w:rFonts w:asciiTheme="minorHAnsi" w:hAnsiTheme="minorHAnsi" w:cstheme="minorHAnsi"/>
                <w:kern w:val="0"/>
                <w:sz w:val="22"/>
                <w:szCs w:val="22"/>
                <w:lang w:val="en-IN" w:eastAsia="en-IN"/>
              </w:rPr>
            </w:pPr>
            <w:r w:rsidRPr="001A2C1B">
              <w:rPr>
                <w:rFonts w:asciiTheme="minorHAnsi" w:hAnsiTheme="minorHAnsi" w:cstheme="minorHAnsi"/>
                <w:kern w:val="0"/>
                <w:sz w:val="22"/>
                <w:szCs w:val="22"/>
                <w:lang w:val="en-IN" w:eastAsia="en-IN"/>
              </w:rPr>
              <w:t>19</w:t>
            </w:r>
          </w:p>
        </w:tc>
        <w:tc>
          <w:tcPr>
            <w:tcW w:w="373" w:type="pct"/>
            <w:shd w:val="clear" w:color="000000"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Calibri" w:hAnsi="Calibri" w:cs="Calibri"/>
                <w:bCs/>
                <w:color w:val="auto"/>
                <w:kern w:val="0"/>
                <w:sz w:val="22"/>
                <w:szCs w:val="22"/>
                <w:lang w:val="en-IN" w:eastAsia="en-IN"/>
              </w:rPr>
              <w:t>..</w:t>
            </w:r>
            <w:r w:rsidRPr="00FB0AE6">
              <w:rPr>
                <w:rFonts w:asciiTheme="minorHAnsi" w:hAnsiTheme="minorHAnsi" w:cstheme="minorHAnsi"/>
                <w:kern w:val="0"/>
                <w:sz w:val="22"/>
                <w:szCs w:val="22"/>
                <w:lang w:val="en-IN" w:eastAsia="en-IN"/>
              </w:rPr>
              <w:t> </w:t>
            </w:r>
          </w:p>
        </w:tc>
        <w:tc>
          <w:tcPr>
            <w:tcW w:w="305"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w:t>
            </w:r>
          </w:p>
        </w:tc>
        <w:tc>
          <w:tcPr>
            <w:tcW w:w="288" w:type="pct"/>
            <w:shd w:val="clear" w:color="000000" w:fill="FFFFFF"/>
            <w:noWrap/>
            <w:vAlign w:val="bottom"/>
            <w:hideMark/>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w:t>
            </w:r>
          </w:p>
        </w:tc>
        <w:tc>
          <w:tcPr>
            <w:tcW w:w="368"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3</w:t>
            </w:r>
          </w:p>
        </w:tc>
        <w:tc>
          <w:tcPr>
            <w:tcW w:w="237"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404"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1</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1"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03" w:type="pct"/>
            <w:shd w:val="clear" w:color="000000" w:fill="FFFFFF"/>
            <w:vAlign w:val="bottom"/>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 </w:t>
            </w:r>
          </w:p>
        </w:tc>
        <w:tc>
          <w:tcPr>
            <w:tcW w:w="351"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56" w:type="pct"/>
            <w:shd w:val="clear" w:color="000000" w:fill="FFFFFF"/>
          </w:tcPr>
          <w:p w:rsidR="00FB0AE6" w:rsidRPr="00FB0AE6" w:rsidRDefault="00FB0AE6" w:rsidP="00FB0AE6">
            <w:pPr>
              <w:jc w:val="right"/>
              <w:rPr>
                <w:rFonts w:ascii="Calibri" w:hAnsi="Calibri" w:cs="Calibri"/>
                <w:bCs/>
                <w:color w:val="auto"/>
                <w:kern w:val="0"/>
                <w:sz w:val="22"/>
                <w:szCs w:val="22"/>
                <w:lang w:val="en-IN" w:eastAsia="en-IN"/>
              </w:rPr>
            </w:pPr>
            <w:r w:rsidRPr="00FB0AE6">
              <w:rPr>
                <w:rFonts w:ascii="Calibri" w:hAnsi="Calibri" w:cs="Calibri"/>
                <w:bCs/>
                <w:color w:val="auto"/>
                <w:kern w:val="0"/>
                <w:sz w:val="22"/>
                <w:szCs w:val="22"/>
                <w:lang w:val="en-IN" w:eastAsia="en-IN"/>
              </w:rPr>
              <w:t>..</w:t>
            </w:r>
          </w:p>
        </w:tc>
      </w:tr>
    </w:tbl>
    <w:p w:rsidR="00884110" w:rsidRPr="00CF00D9" w:rsidRDefault="00D967ED" w:rsidP="00D967ED">
      <w:pPr>
        <w:tabs>
          <w:tab w:val="left" w:pos="2292"/>
        </w:tabs>
        <w:rPr>
          <w:rFonts w:ascii="Calibri" w:hAnsi="Calibri" w:cs="Calibri"/>
          <w:sz w:val="24"/>
        </w:rPr>
      </w:pPr>
      <w:r w:rsidRPr="00CF00D9">
        <w:rPr>
          <w:rFonts w:ascii="Calibri" w:hAnsi="Calibri" w:cs="Calibri"/>
          <w:sz w:val="24"/>
        </w:rPr>
        <w:t>*Excluding Hypertension</w:t>
      </w:r>
      <w:r w:rsidR="00884110" w:rsidRPr="00CF00D9">
        <w:rPr>
          <w:rFonts w:ascii="Calibri" w:hAnsi="Calibri" w:cs="Calibri"/>
          <w:sz w:val="24"/>
        </w:rPr>
        <w:t>;</w:t>
      </w:r>
      <w:r w:rsidRPr="00CF00D9">
        <w:rPr>
          <w:rFonts w:ascii="Calibri" w:hAnsi="Calibri" w:cs="Calibri"/>
          <w:sz w:val="24"/>
        </w:rPr>
        <w:t xml:space="preserve"> **</w:t>
      </w:r>
      <w:proofErr w:type="gramStart"/>
      <w:r w:rsidRPr="00CF00D9">
        <w:rPr>
          <w:rFonts w:ascii="Calibri" w:hAnsi="Calibri" w:cs="Calibri"/>
          <w:sz w:val="24"/>
        </w:rPr>
        <w:t>Including</w:t>
      </w:r>
      <w:proofErr w:type="gramEnd"/>
      <w:r w:rsidR="00884110" w:rsidRPr="00CF00D9">
        <w:rPr>
          <w:rFonts w:ascii="Calibri" w:hAnsi="Calibri" w:cs="Calibri"/>
          <w:sz w:val="24"/>
        </w:rPr>
        <w:t xml:space="preserve"> Cerebrovascular disease</w:t>
      </w:r>
    </w:p>
    <w:p w:rsidR="00D967ED" w:rsidRPr="00CF00D9" w:rsidRDefault="00884110" w:rsidP="00D967ED">
      <w:pPr>
        <w:tabs>
          <w:tab w:val="left" w:pos="2292"/>
        </w:tabs>
        <w:rPr>
          <w:rFonts w:ascii="Calibri" w:hAnsi="Calibri" w:cs="Calibri"/>
          <w:sz w:val="24"/>
        </w:rPr>
      </w:pPr>
      <w:r w:rsidRPr="00CF00D9">
        <w:rPr>
          <w:rFonts w:ascii="Calibri" w:hAnsi="Calibri" w:cs="Calibri"/>
          <w:sz w:val="24"/>
        </w:rPr>
        <w:t xml:space="preserve"># </w:t>
      </w:r>
      <w:proofErr w:type="gramStart"/>
      <w:r w:rsidRPr="00CF00D9">
        <w:rPr>
          <w:rFonts w:ascii="Calibri" w:hAnsi="Calibri" w:cs="Calibri"/>
          <w:sz w:val="24"/>
        </w:rPr>
        <w:t>Though</w:t>
      </w:r>
      <w:proofErr w:type="gramEnd"/>
      <w:r w:rsidRPr="00CF00D9">
        <w:rPr>
          <w:rFonts w:ascii="Calibri" w:hAnsi="Calibri" w:cs="Calibri"/>
          <w:sz w:val="24"/>
        </w:rPr>
        <w:t xml:space="preserve"> these studies included alive patients, however detailed clinical data for older patients was available only for dead patients; </w:t>
      </w:r>
      <w:r w:rsidR="00D967ED" w:rsidRPr="00CF00D9">
        <w:rPr>
          <w:rFonts w:ascii="Calibri" w:hAnsi="Calibri" w:cs="Calibri"/>
          <w:sz w:val="24"/>
        </w:rPr>
        <w:t xml:space="preserve"> </w:t>
      </w:r>
    </w:p>
    <w:p w:rsidR="00D967ED" w:rsidRPr="00CF00D9" w:rsidRDefault="00D967ED" w:rsidP="00D967ED">
      <w:pPr>
        <w:tabs>
          <w:tab w:val="left" w:pos="2292"/>
        </w:tabs>
        <w:rPr>
          <w:rFonts w:ascii="Calibri" w:hAnsi="Calibri" w:cs="Calibri"/>
          <w:sz w:val="24"/>
        </w:rPr>
      </w:pPr>
      <w:r w:rsidRPr="00CF00D9">
        <w:rPr>
          <w:rFonts w:ascii="Calibri" w:hAnsi="Calibri" w:cs="Calibri"/>
          <w:sz w:val="24"/>
        </w:rPr>
        <w:t>#</w:t>
      </w:r>
      <w:r w:rsidR="00884110" w:rsidRPr="00CF00D9">
        <w:rPr>
          <w:rFonts w:ascii="Calibri" w:hAnsi="Calibri" w:cs="Calibri"/>
          <w:sz w:val="24"/>
        </w:rPr>
        <w:t>#</w:t>
      </w:r>
      <w:r w:rsidRPr="00CF00D9">
        <w:rPr>
          <w:rFonts w:ascii="Calibri" w:hAnsi="Calibri" w:cs="Calibri"/>
          <w:sz w:val="24"/>
        </w:rPr>
        <w:t xml:space="preserve"> As data was not available for all variables, n varied for different variables (≥1 comorbidity - 71, HTN and Chronic lung disease - 62, DM - 64, CVS disease - 63, Neurological disease - 60, Kidney disease- 59, Liver disease – 56, Autoimmune disease - 58)</w:t>
      </w:r>
    </w:p>
    <w:p w:rsidR="00CF00D9" w:rsidRPr="00CF00D9" w:rsidRDefault="00D967ED" w:rsidP="00D967ED">
      <w:pPr>
        <w:tabs>
          <w:tab w:val="left" w:pos="2292"/>
        </w:tabs>
        <w:rPr>
          <w:rFonts w:ascii="Calibri" w:hAnsi="Calibri" w:cs="Calibri"/>
          <w:sz w:val="24"/>
        </w:rPr>
      </w:pPr>
      <w:r w:rsidRPr="00CF00D9">
        <w:rPr>
          <w:rFonts w:ascii="Calibri" w:hAnsi="Calibri" w:cs="Calibri"/>
          <w:sz w:val="24"/>
        </w:rPr>
        <w:t>(DM- Diabetes Mellitus; HTN- Hypertension; CVS disease – Cardiovascular disease; CVA – Cerebrovascular diseases)</w:t>
      </w:r>
    </w:p>
    <w:p w:rsidR="00D967ED" w:rsidRDefault="00CF00D9" w:rsidP="00D967ED">
      <w:pPr>
        <w:tabs>
          <w:tab w:val="left" w:pos="2292"/>
        </w:tabs>
        <w:rPr>
          <w:rFonts w:ascii="Calibri" w:hAnsi="Calibri" w:cs="Calibri"/>
          <w:sz w:val="22"/>
          <w:szCs w:val="22"/>
        </w:rPr>
      </w:pPr>
      <w:r>
        <w:rPr>
          <w:rFonts w:ascii="Calibri" w:hAnsi="Calibri" w:cs="Calibri"/>
          <w:sz w:val="24"/>
          <w:szCs w:val="24"/>
        </w:rPr>
        <w:lastRenderedPageBreak/>
        <w:t>Supplementary Table S3.</w:t>
      </w:r>
      <w:r w:rsidR="001A2C1B">
        <w:rPr>
          <w:rFonts w:ascii="Calibri" w:hAnsi="Calibri" w:cs="Calibri"/>
          <w:sz w:val="24"/>
          <w:szCs w:val="24"/>
        </w:rPr>
        <w:t xml:space="preserve"> Clinical features in included studies</w:t>
      </w:r>
    </w:p>
    <w:tbl>
      <w:tblPr>
        <w:tblW w:w="533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5"/>
        <w:gridCol w:w="559"/>
        <w:gridCol w:w="789"/>
        <w:gridCol w:w="861"/>
        <w:gridCol w:w="962"/>
        <w:gridCol w:w="694"/>
        <w:gridCol w:w="837"/>
        <w:gridCol w:w="837"/>
        <w:gridCol w:w="694"/>
        <w:gridCol w:w="837"/>
        <w:gridCol w:w="694"/>
        <w:gridCol w:w="694"/>
        <w:gridCol w:w="699"/>
        <w:gridCol w:w="884"/>
        <w:gridCol w:w="766"/>
        <w:gridCol w:w="699"/>
        <w:gridCol w:w="779"/>
      </w:tblGrid>
      <w:tr w:rsidR="001A2C1B" w:rsidRPr="00526770" w:rsidTr="00526770">
        <w:trPr>
          <w:trHeight w:val="288"/>
        </w:trPr>
        <w:tc>
          <w:tcPr>
            <w:tcW w:w="555" w:type="pct"/>
            <w:shd w:val="clear" w:color="FFFFFF" w:fill="FFFFFF"/>
            <w:noWrap/>
            <w:vAlign w:val="bottom"/>
            <w:hideMark/>
          </w:tcPr>
          <w:p w:rsidR="001A2C1B" w:rsidRPr="00526770" w:rsidRDefault="001A2C1B" w:rsidP="007A269C">
            <w:pPr>
              <w:jc w:val="center"/>
              <w:rPr>
                <w:rFonts w:asciiTheme="minorHAnsi" w:hAnsiTheme="minorHAnsi" w:cstheme="minorHAnsi"/>
                <w:b/>
                <w:bCs/>
                <w:color w:val="auto"/>
                <w:kern w:val="0"/>
                <w:sz w:val="22"/>
                <w:szCs w:val="22"/>
                <w:lang w:val="en-IN" w:eastAsia="en-IN"/>
              </w:rPr>
            </w:pPr>
            <w:r w:rsidRPr="00526770">
              <w:rPr>
                <w:rFonts w:asciiTheme="minorHAnsi" w:hAnsiTheme="minorHAnsi" w:cstheme="minorHAnsi"/>
                <w:b/>
                <w:bCs/>
                <w:color w:val="auto"/>
                <w:kern w:val="0"/>
                <w:sz w:val="22"/>
                <w:szCs w:val="22"/>
                <w:lang w:val="en-IN" w:eastAsia="en-IN"/>
              </w:rPr>
              <w:t>Author name</w:t>
            </w:r>
          </w:p>
        </w:tc>
        <w:tc>
          <w:tcPr>
            <w:tcW w:w="202" w:type="pct"/>
            <w:shd w:val="clear" w:color="auto" w:fill="auto"/>
            <w:noWrap/>
            <w:vAlign w:val="bottom"/>
            <w:hideMark/>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n</w:t>
            </w:r>
          </w:p>
        </w:tc>
        <w:tc>
          <w:tcPr>
            <w:tcW w:w="285" w:type="pct"/>
            <w:shd w:val="clear" w:color="auto" w:fill="auto"/>
            <w:noWrap/>
            <w:vAlign w:val="bottom"/>
            <w:hideMark/>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Cough</w:t>
            </w:r>
          </w:p>
        </w:tc>
        <w:tc>
          <w:tcPr>
            <w:tcW w:w="311" w:type="pct"/>
            <w:shd w:val="clear" w:color="auto" w:fill="auto"/>
            <w:noWrap/>
            <w:vAlign w:val="bottom"/>
            <w:hideMark/>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Dry cough</w:t>
            </w:r>
          </w:p>
        </w:tc>
        <w:tc>
          <w:tcPr>
            <w:tcW w:w="348" w:type="pct"/>
            <w:shd w:val="clear" w:color="auto" w:fill="auto"/>
            <w:noWrap/>
            <w:vAlign w:val="bottom"/>
            <w:hideMark/>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Sputum</w:t>
            </w:r>
          </w:p>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production</w:t>
            </w:r>
          </w:p>
        </w:tc>
        <w:tc>
          <w:tcPr>
            <w:tcW w:w="251" w:type="pct"/>
            <w:shd w:val="clear" w:color="auto" w:fill="auto"/>
            <w:noWrap/>
            <w:vAlign w:val="bottom"/>
            <w:hideMark/>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Dyspnoea</w:t>
            </w:r>
          </w:p>
        </w:tc>
        <w:tc>
          <w:tcPr>
            <w:tcW w:w="303" w:type="pct"/>
            <w:shd w:val="clear" w:color="auto" w:fill="auto"/>
            <w:noWrap/>
            <w:vAlign w:val="bottom"/>
            <w:hideMark/>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Fever*</w:t>
            </w:r>
          </w:p>
        </w:tc>
        <w:tc>
          <w:tcPr>
            <w:tcW w:w="303" w:type="pct"/>
            <w:shd w:val="clear" w:color="auto" w:fill="auto"/>
            <w:noWrap/>
            <w:vAlign w:val="bottom"/>
            <w:hideMark/>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Sore throat</w:t>
            </w:r>
          </w:p>
        </w:tc>
        <w:tc>
          <w:tcPr>
            <w:tcW w:w="251" w:type="pct"/>
            <w:shd w:val="clear" w:color="auto" w:fill="auto"/>
            <w:noWrap/>
            <w:vAlign w:val="bottom"/>
            <w:hideMark/>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Diarrhoea</w:t>
            </w:r>
          </w:p>
        </w:tc>
        <w:tc>
          <w:tcPr>
            <w:tcW w:w="303" w:type="pct"/>
            <w:vAlign w:val="bottom"/>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Abdominal pain</w:t>
            </w:r>
          </w:p>
        </w:tc>
        <w:tc>
          <w:tcPr>
            <w:tcW w:w="251" w:type="pct"/>
            <w:vAlign w:val="bottom"/>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Fatigue</w:t>
            </w:r>
          </w:p>
        </w:tc>
        <w:tc>
          <w:tcPr>
            <w:tcW w:w="251" w:type="pct"/>
            <w:vAlign w:val="bottom"/>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Myalgia</w:t>
            </w:r>
          </w:p>
        </w:tc>
        <w:tc>
          <w:tcPr>
            <w:tcW w:w="253" w:type="pct"/>
            <w:vAlign w:val="bottom"/>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Headache</w:t>
            </w:r>
          </w:p>
        </w:tc>
        <w:tc>
          <w:tcPr>
            <w:tcW w:w="320" w:type="pct"/>
            <w:vAlign w:val="bottom"/>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GI symptoms</w:t>
            </w:r>
          </w:p>
        </w:tc>
        <w:tc>
          <w:tcPr>
            <w:tcW w:w="277" w:type="pct"/>
            <w:vAlign w:val="bottom"/>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Nausea/ Vomiting</w:t>
            </w:r>
          </w:p>
        </w:tc>
        <w:tc>
          <w:tcPr>
            <w:tcW w:w="253" w:type="pct"/>
            <w:vAlign w:val="bottom"/>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Anorexia</w:t>
            </w:r>
          </w:p>
        </w:tc>
        <w:tc>
          <w:tcPr>
            <w:tcW w:w="282" w:type="pct"/>
            <w:vAlign w:val="bottom"/>
          </w:tcPr>
          <w:p w:rsidR="001A2C1B" w:rsidRPr="00526770" w:rsidRDefault="001A2C1B" w:rsidP="007A269C">
            <w:pPr>
              <w:jc w:val="center"/>
              <w:rPr>
                <w:rFonts w:asciiTheme="minorHAnsi" w:hAnsiTheme="minorHAnsi" w:cstheme="minorHAnsi"/>
                <w:b/>
                <w:bCs/>
                <w:kern w:val="0"/>
                <w:sz w:val="22"/>
                <w:szCs w:val="22"/>
                <w:lang w:val="en-IN" w:eastAsia="en-IN"/>
              </w:rPr>
            </w:pPr>
            <w:r w:rsidRPr="00526770">
              <w:rPr>
                <w:rFonts w:asciiTheme="minorHAnsi" w:hAnsiTheme="minorHAnsi" w:cstheme="minorHAnsi"/>
                <w:b/>
                <w:bCs/>
                <w:kern w:val="0"/>
                <w:sz w:val="22"/>
                <w:szCs w:val="22"/>
                <w:lang w:val="en-IN" w:eastAsia="en-IN"/>
              </w:rPr>
              <w:t>Chest discomfort</w:t>
            </w:r>
          </w:p>
        </w:tc>
      </w:tr>
      <w:tr w:rsidR="00FB0AE6" w:rsidRPr="00526770" w:rsidTr="00CF00D9">
        <w:trPr>
          <w:trHeight w:val="288"/>
        </w:trPr>
        <w:tc>
          <w:tcPr>
            <w:tcW w:w="555" w:type="pct"/>
            <w:shd w:val="clear" w:color="FFFFFF" w:fill="FFFFFF"/>
            <w:noWrap/>
            <w:vAlign w:val="bottom"/>
            <w:hideMark/>
          </w:tcPr>
          <w:p w:rsidR="00FB0AE6" w:rsidRPr="00526770" w:rsidRDefault="00FB0AE6" w:rsidP="00FB0AE6">
            <w:pPr>
              <w:rPr>
                <w:rFonts w:asciiTheme="minorHAnsi" w:hAnsiTheme="minorHAnsi" w:cstheme="minorHAnsi"/>
                <w:color w:val="auto"/>
                <w:kern w:val="0"/>
                <w:sz w:val="22"/>
                <w:szCs w:val="22"/>
                <w:lang w:val="en-IN" w:eastAsia="en-IN"/>
              </w:rPr>
            </w:pPr>
            <w:proofErr w:type="spellStart"/>
            <w:r w:rsidRPr="00526770">
              <w:rPr>
                <w:rFonts w:asciiTheme="minorHAnsi" w:hAnsiTheme="minorHAnsi" w:cstheme="minorHAnsi"/>
                <w:color w:val="auto"/>
                <w:kern w:val="0"/>
                <w:sz w:val="22"/>
                <w:szCs w:val="22"/>
                <w:lang w:val="en-IN" w:eastAsia="en-IN"/>
              </w:rPr>
              <w:t>Bhatraju</w:t>
            </w:r>
            <w:proofErr w:type="spellEnd"/>
            <w:r w:rsidRPr="00526770">
              <w:rPr>
                <w:rFonts w:asciiTheme="minorHAnsi" w:hAnsiTheme="minorHAnsi" w:cstheme="minorHAnsi"/>
                <w:color w:val="auto"/>
                <w:kern w:val="0"/>
                <w:sz w:val="22"/>
                <w:szCs w:val="22"/>
                <w:lang w:val="en-IN" w:eastAsia="en-IN"/>
              </w:rPr>
              <w:t>, P K et al.</w:t>
            </w:r>
          </w:p>
        </w:tc>
        <w:tc>
          <w:tcPr>
            <w:tcW w:w="202" w:type="pct"/>
            <w:shd w:val="clear" w:color="auto" w:fill="auto"/>
            <w:noWrap/>
            <w:vAlign w:val="bottom"/>
            <w:hideMark/>
          </w:tcPr>
          <w:p w:rsidR="00FB0AE6" w:rsidRPr="00526770" w:rsidRDefault="00FB0AE6" w:rsidP="00FB0AE6">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18</w:t>
            </w:r>
          </w:p>
        </w:tc>
        <w:tc>
          <w:tcPr>
            <w:tcW w:w="285"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15</w:t>
            </w:r>
          </w:p>
        </w:tc>
        <w:tc>
          <w:tcPr>
            <w:tcW w:w="31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10</w:t>
            </w:r>
          </w:p>
        </w:tc>
        <w:tc>
          <w:tcPr>
            <w:tcW w:w="348"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6</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15</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13</w:t>
            </w:r>
          </w:p>
        </w:tc>
        <w:tc>
          <w:tcPr>
            <w:tcW w:w="303"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0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20"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77"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82"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r>
      <w:tr w:rsidR="001A2C1B" w:rsidRPr="00526770" w:rsidTr="00526770">
        <w:trPr>
          <w:trHeight w:val="288"/>
        </w:trPr>
        <w:tc>
          <w:tcPr>
            <w:tcW w:w="555" w:type="pct"/>
            <w:shd w:val="clear" w:color="FFFFFF" w:fill="FFFFFF"/>
            <w:noWrap/>
            <w:vAlign w:val="bottom"/>
            <w:hideMark/>
          </w:tcPr>
          <w:p w:rsidR="001A2C1B" w:rsidRPr="00526770" w:rsidRDefault="001A2C1B" w:rsidP="00884110">
            <w:pPr>
              <w:rPr>
                <w:rFonts w:asciiTheme="minorHAnsi" w:hAnsiTheme="minorHAnsi" w:cstheme="minorHAnsi"/>
                <w:color w:val="auto"/>
                <w:kern w:val="0"/>
                <w:sz w:val="22"/>
                <w:szCs w:val="22"/>
                <w:lang w:val="en-IN" w:eastAsia="en-IN"/>
              </w:rPr>
            </w:pPr>
            <w:r w:rsidRPr="00526770">
              <w:rPr>
                <w:rFonts w:asciiTheme="minorHAnsi" w:hAnsiTheme="minorHAnsi" w:cstheme="minorHAnsi"/>
                <w:color w:val="auto"/>
                <w:kern w:val="0"/>
                <w:sz w:val="22"/>
                <w:szCs w:val="22"/>
                <w:lang w:val="en-IN" w:eastAsia="en-IN"/>
              </w:rPr>
              <w:t>Chen, T et al. (a)</w:t>
            </w:r>
          </w:p>
        </w:tc>
        <w:tc>
          <w:tcPr>
            <w:tcW w:w="202" w:type="pct"/>
            <w:shd w:val="clear" w:color="auto" w:fill="auto"/>
            <w:noWrap/>
            <w:vAlign w:val="bottom"/>
            <w:hideMark/>
          </w:tcPr>
          <w:p w:rsidR="001A2C1B" w:rsidRPr="00526770" w:rsidRDefault="001A2C1B" w:rsidP="00884110">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55</w:t>
            </w:r>
          </w:p>
        </w:tc>
        <w:tc>
          <w:tcPr>
            <w:tcW w:w="285" w:type="pct"/>
            <w:shd w:val="clear" w:color="auto" w:fill="auto"/>
            <w:noWrap/>
            <w:vAlign w:val="bottom"/>
            <w:hideMark/>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00FB0AE6" w:rsidRPr="00FB0AE6">
              <w:rPr>
                <w:rFonts w:ascii="Calibri" w:hAnsi="Calibri" w:cs="Calibri"/>
                <w:bCs/>
                <w:color w:val="auto"/>
                <w:kern w:val="0"/>
                <w:sz w:val="22"/>
                <w:szCs w:val="22"/>
                <w:lang w:val="en-IN" w:eastAsia="en-IN"/>
              </w:rPr>
              <w:t>..</w:t>
            </w:r>
          </w:p>
        </w:tc>
        <w:tc>
          <w:tcPr>
            <w:tcW w:w="311" w:type="pct"/>
            <w:shd w:val="clear" w:color="auto" w:fill="auto"/>
            <w:noWrap/>
            <w:vAlign w:val="bottom"/>
            <w:hideMark/>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38</w:t>
            </w:r>
          </w:p>
        </w:tc>
        <w:tc>
          <w:tcPr>
            <w:tcW w:w="348" w:type="pct"/>
            <w:shd w:val="clear" w:color="auto" w:fill="auto"/>
            <w:noWrap/>
            <w:vAlign w:val="bottom"/>
            <w:hideMark/>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00FB0AE6" w:rsidRPr="00FB0AE6">
              <w:rPr>
                <w:rFonts w:ascii="Calibri" w:hAnsi="Calibri" w:cs="Calibri"/>
                <w:bCs/>
                <w:color w:val="auto"/>
                <w:kern w:val="0"/>
                <w:sz w:val="22"/>
                <w:szCs w:val="22"/>
                <w:lang w:val="en-IN" w:eastAsia="en-IN"/>
              </w:rPr>
              <w:t>..</w:t>
            </w:r>
          </w:p>
        </w:tc>
        <w:tc>
          <w:tcPr>
            <w:tcW w:w="251" w:type="pct"/>
            <w:shd w:val="clear" w:color="auto" w:fill="auto"/>
            <w:noWrap/>
            <w:vAlign w:val="bottom"/>
            <w:hideMark/>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33</w:t>
            </w:r>
          </w:p>
        </w:tc>
        <w:tc>
          <w:tcPr>
            <w:tcW w:w="303" w:type="pct"/>
            <w:shd w:val="clear" w:color="auto" w:fill="auto"/>
            <w:noWrap/>
            <w:vAlign w:val="bottom"/>
            <w:hideMark/>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52</w:t>
            </w:r>
          </w:p>
        </w:tc>
        <w:tc>
          <w:tcPr>
            <w:tcW w:w="303" w:type="pct"/>
            <w:shd w:val="clear" w:color="auto" w:fill="auto"/>
            <w:noWrap/>
            <w:vAlign w:val="bottom"/>
            <w:hideMark/>
          </w:tcPr>
          <w:p w:rsidR="001A2C1B" w:rsidRPr="00FB0AE6" w:rsidRDefault="00FB0AE6" w:rsidP="00FB0AE6">
            <w:pPr>
              <w:jc w:val="right"/>
              <w:rPr>
                <w:rFonts w:asciiTheme="minorHAnsi" w:hAnsiTheme="minorHAnsi" w:cstheme="minorHAnsi"/>
                <w:kern w:val="0"/>
                <w:sz w:val="22"/>
                <w:szCs w:val="22"/>
                <w:lang w:val="en-IN" w:eastAsia="en-IN"/>
              </w:rPr>
            </w:pPr>
            <w:r w:rsidRPr="00FB0AE6">
              <w:rPr>
                <w:rFonts w:ascii="Calibri" w:hAnsi="Calibri" w:cs="Calibri"/>
                <w:bCs/>
                <w:color w:val="auto"/>
                <w:kern w:val="0"/>
                <w:sz w:val="22"/>
                <w:szCs w:val="22"/>
                <w:lang w:val="en-IN" w:eastAsia="en-IN"/>
              </w:rPr>
              <w:t>..</w:t>
            </w:r>
            <w:r w:rsidR="001A2C1B" w:rsidRPr="00FB0AE6">
              <w:rPr>
                <w:rFonts w:asciiTheme="minorHAnsi" w:hAnsiTheme="minorHAnsi" w:cstheme="minorHAnsi"/>
                <w:kern w:val="0"/>
                <w:sz w:val="22"/>
                <w:szCs w:val="22"/>
                <w:lang w:val="en-IN" w:eastAsia="en-IN"/>
              </w:rPr>
              <w:t> </w:t>
            </w:r>
          </w:p>
        </w:tc>
        <w:tc>
          <w:tcPr>
            <w:tcW w:w="251" w:type="pct"/>
            <w:shd w:val="clear" w:color="auto" w:fill="auto"/>
            <w:noWrap/>
            <w:vAlign w:val="bottom"/>
            <w:hideMark/>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w:t>
            </w:r>
          </w:p>
        </w:tc>
        <w:tc>
          <w:tcPr>
            <w:tcW w:w="303" w:type="pct"/>
            <w:vAlign w:val="bottom"/>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w:t>
            </w:r>
          </w:p>
        </w:tc>
        <w:tc>
          <w:tcPr>
            <w:tcW w:w="251" w:type="pct"/>
            <w:vAlign w:val="bottom"/>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5</w:t>
            </w:r>
          </w:p>
        </w:tc>
        <w:tc>
          <w:tcPr>
            <w:tcW w:w="251" w:type="pct"/>
            <w:vAlign w:val="bottom"/>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11</w:t>
            </w:r>
          </w:p>
        </w:tc>
        <w:tc>
          <w:tcPr>
            <w:tcW w:w="253" w:type="pct"/>
            <w:vAlign w:val="bottom"/>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w:t>
            </w:r>
          </w:p>
        </w:tc>
        <w:tc>
          <w:tcPr>
            <w:tcW w:w="320" w:type="pct"/>
            <w:vAlign w:val="bottom"/>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00FB0AE6" w:rsidRPr="00FB0AE6">
              <w:rPr>
                <w:rFonts w:ascii="Calibri" w:hAnsi="Calibri" w:cs="Calibri"/>
                <w:bCs/>
                <w:color w:val="auto"/>
                <w:kern w:val="0"/>
                <w:sz w:val="22"/>
                <w:szCs w:val="22"/>
                <w:lang w:val="en-IN" w:eastAsia="en-IN"/>
              </w:rPr>
              <w:t>..</w:t>
            </w:r>
          </w:p>
        </w:tc>
        <w:tc>
          <w:tcPr>
            <w:tcW w:w="277" w:type="pct"/>
            <w:vAlign w:val="bottom"/>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2</w:t>
            </w:r>
          </w:p>
        </w:tc>
        <w:tc>
          <w:tcPr>
            <w:tcW w:w="253" w:type="pct"/>
            <w:vAlign w:val="bottom"/>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5</w:t>
            </w:r>
          </w:p>
        </w:tc>
        <w:tc>
          <w:tcPr>
            <w:tcW w:w="282" w:type="pct"/>
            <w:vAlign w:val="bottom"/>
          </w:tcPr>
          <w:p w:rsidR="001A2C1B" w:rsidRPr="00FB0AE6" w:rsidRDefault="001A2C1B"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36</w:t>
            </w:r>
          </w:p>
        </w:tc>
      </w:tr>
      <w:tr w:rsidR="00FB0AE6" w:rsidRPr="00526770" w:rsidTr="00CF00D9">
        <w:trPr>
          <w:trHeight w:val="288"/>
        </w:trPr>
        <w:tc>
          <w:tcPr>
            <w:tcW w:w="555" w:type="pct"/>
            <w:shd w:val="clear" w:color="00FFFF" w:fill="FFFFFF"/>
            <w:noWrap/>
            <w:vAlign w:val="bottom"/>
            <w:hideMark/>
          </w:tcPr>
          <w:p w:rsidR="00FB0AE6" w:rsidRPr="00884110" w:rsidRDefault="00FB0AE6" w:rsidP="00FB0AE6">
            <w:pPr>
              <w:rPr>
                <w:rFonts w:asciiTheme="minorHAnsi" w:hAnsiTheme="minorHAnsi" w:cstheme="minorHAnsi"/>
                <w:color w:val="auto"/>
                <w:kern w:val="0"/>
                <w:sz w:val="22"/>
                <w:szCs w:val="22"/>
                <w:vertAlign w:val="superscript"/>
                <w:lang w:val="en-IN" w:eastAsia="en-IN"/>
              </w:rPr>
            </w:pPr>
            <w:r w:rsidRPr="00526770">
              <w:rPr>
                <w:rFonts w:asciiTheme="minorHAnsi" w:hAnsiTheme="minorHAnsi" w:cstheme="minorHAnsi"/>
                <w:color w:val="auto"/>
                <w:kern w:val="0"/>
                <w:sz w:val="22"/>
                <w:szCs w:val="22"/>
                <w:lang w:val="en-IN" w:eastAsia="en-IN"/>
              </w:rPr>
              <w:t>Du, R-H et al.</w:t>
            </w:r>
            <w:r>
              <w:rPr>
                <w:rFonts w:asciiTheme="minorHAnsi" w:hAnsiTheme="minorHAnsi" w:cstheme="minorHAnsi"/>
                <w:color w:val="auto"/>
                <w:kern w:val="0"/>
                <w:sz w:val="22"/>
                <w:szCs w:val="22"/>
                <w:vertAlign w:val="superscript"/>
                <w:lang w:val="en-IN" w:eastAsia="en-IN"/>
              </w:rPr>
              <w:t>#</w:t>
            </w:r>
          </w:p>
        </w:tc>
        <w:tc>
          <w:tcPr>
            <w:tcW w:w="202" w:type="pct"/>
            <w:shd w:val="clear" w:color="00FFFF" w:fill="FFFFFF"/>
            <w:noWrap/>
            <w:vAlign w:val="bottom"/>
            <w:hideMark/>
          </w:tcPr>
          <w:p w:rsidR="00FB0AE6" w:rsidRPr="00526770" w:rsidRDefault="00FB0AE6" w:rsidP="00FB0AE6">
            <w:pPr>
              <w:jc w:val="right"/>
              <w:rPr>
                <w:rFonts w:asciiTheme="minorHAnsi" w:hAnsiTheme="minorHAnsi" w:cstheme="minorHAnsi"/>
                <w:color w:val="auto"/>
                <w:kern w:val="0"/>
                <w:sz w:val="22"/>
                <w:szCs w:val="22"/>
                <w:lang w:val="en-IN" w:eastAsia="en-IN"/>
              </w:rPr>
            </w:pPr>
            <w:r w:rsidRPr="00526770">
              <w:rPr>
                <w:rFonts w:asciiTheme="minorHAnsi" w:hAnsiTheme="minorHAnsi" w:cstheme="minorHAnsi"/>
                <w:color w:val="auto"/>
                <w:kern w:val="0"/>
                <w:sz w:val="22"/>
                <w:szCs w:val="22"/>
                <w:lang w:val="en-IN" w:eastAsia="en-IN"/>
              </w:rPr>
              <w:t>20</w:t>
            </w:r>
          </w:p>
        </w:tc>
        <w:tc>
          <w:tcPr>
            <w:tcW w:w="285" w:type="pct"/>
            <w:shd w:val="clear" w:color="00FFFF" w:fill="FFFFFF"/>
            <w:noWrap/>
            <w:vAlign w:val="bottom"/>
            <w:hideMark/>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 </w:t>
            </w:r>
            <w:r w:rsidRPr="00FB0AE6">
              <w:rPr>
                <w:rFonts w:ascii="Calibri" w:hAnsi="Calibri" w:cs="Calibri"/>
                <w:bCs/>
                <w:color w:val="auto"/>
                <w:kern w:val="0"/>
                <w:sz w:val="22"/>
                <w:szCs w:val="22"/>
                <w:lang w:val="en-IN" w:eastAsia="en-IN"/>
              </w:rPr>
              <w:t>..</w:t>
            </w:r>
          </w:p>
        </w:tc>
        <w:tc>
          <w:tcPr>
            <w:tcW w:w="311" w:type="pct"/>
            <w:shd w:val="clear" w:color="00FFFF" w:fill="FFFFFF"/>
            <w:noWrap/>
            <w:vAlign w:val="bottom"/>
            <w:hideMark/>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14</w:t>
            </w:r>
          </w:p>
        </w:tc>
        <w:tc>
          <w:tcPr>
            <w:tcW w:w="348" w:type="pct"/>
            <w:shd w:val="clear" w:color="00FFFF" w:fill="FFFFFF"/>
            <w:noWrap/>
            <w:vAlign w:val="bottom"/>
            <w:hideMark/>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12</w:t>
            </w:r>
          </w:p>
        </w:tc>
        <w:tc>
          <w:tcPr>
            <w:tcW w:w="251" w:type="pct"/>
            <w:shd w:val="clear" w:color="00FFFF" w:fill="FFFFFF"/>
            <w:noWrap/>
            <w:vAlign w:val="bottom"/>
            <w:hideMark/>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18</w:t>
            </w:r>
          </w:p>
        </w:tc>
        <w:tc>
          <w:tcPr>
            <w:tcW w:w="303" w:type="pct"/>
            <w:shd w:val="clear" w:color="00FFFF" w:fill="FFFFFF"/>
            <w:noWrap/>
            <w:vAlign w:val="bottom"/>
            <w:hideMark/>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20</w:t>
            </w:r>
          </w:p>
        </w:tc>
        <w:tc>
          <w:tcPr>
            <w:tcW w:w="303" w:type="pct"/>
            <w:shd w:val="clear" w:color="00FFFF"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Pr="00FB0AE6">
              <w:rPr>
                <w:rFonts w:ascii="Calibri" w:hAnsi="Calibri" w:cs="Calibri"/>
                <w:bCs/>
                <w:color w:val="auto"/>
                <w:kern w:val="0"/>
                <w:sz w:val="22"/>
                <w:szCs w:val="22"/>
                <w:lang w:val="en-IN" w:eastAsia="en-IN"/>
              </w:rPr>
              <w:t>..</w:t>
            </w:r>
          </w:p>
        </w:tc>
        <w:tc>
          <w:tcPr>
            <w:tcW w:w="251" w:type="pct"/>
            <w:shd w:val="clear" w:color="00FFFF" w:fill="FFFFFF"/>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Pr="00FB0AE6">
              <w:rPr>
                <w:rFonts w:ascii="Calibri" w:hAnsi="Calibri" w:cs="Calibri"/>
                <w:bCs/>
                <w:color w:val="auto"/>
                <w:kern w:val="0"/>
                <w:sz w:val="22"/>
                <w:szCs w:val="22"/>
                <w:lang w:val="en-IN" w:eastAsia="en-IN"/>
              </w:rPr>
              <w:t>..</w:t>
            </w:r>
          </w:p>
        </w:tc>
        <w:tc>
          <w:tcPr>
            <w:tcW w:w="303" w:type="pct"/>
            <w:shd w:val="clear" w:color="00FFFF" w:fill="FFFFFF"/>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Calibri" w:hAnsi="Calibri" w:cs="Calibri"/>
                <w:bCs/>
                <w:color w:val="auto"/>
                <w:kern w:val="0"/>
                <w:sz w:val="22"/>
                <w:szCs w:val="22"/>
                <w:lang w:val="en-IN" w:eastAsia="en-IN"/>
              </w:rPr>
              <w:t>..</w:t>
            </w:r>
            <w:r w:rsidRPr="00FB0AE6">
              <w:rPr>
                <w:rFonts w:asciiTheme="minorHAnsi" w:hAnsiTheme="minorHAnsi" w:cstheme="minorHAnsi"/>
                <w:kern w:val="0"/>
                <w:sz w:val="22"/>
                <w:szCs w:val="22"/>
                <w:lang w:val="en-IN" w:eastAsia="en-IN"/>
              </w:rPr>
              <w:t> </w:t>
            </w:r>
          </w:p>
        </w:tc>
        <w:tc>
          <w:tcPr>
            <w:tcW w:w="251" w:type="pct"/>
            <w:shd w:val="clear" w:color="00FFFF" w:fill="FFFFFF"/>
            <w:vAlign w:val="bottom"/>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13</w:t>
            </w:r>
          </w:p>
        </w:tc>
        <w:tc>
          <w:tcPr>
            <w:tcW w:w="251" w:type="pct"/>
            <w:shd w:val="clear" w:color="00FFFF" w:fill="FFFFFF"/>
            <w:vAlign w:val="bottom"/>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7</w:t>
            </w:r>
          </w:p>
        </w:tc>
        <w:tc>
          <w:tcPr>
            <w:tcW w:w="253" w:type="pct"/>
            <w:shd w:val="clear" w:color="00FFFF" w:fill="FFFFFF"/>
            <w:vAlign w:val="bottom"/>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5</w:t>
            </w:r>
          </w:p>
        </w:tc>
        <w:tc>
          <w:tcPr>
            <w:tcW w:w="320" w:type="pct"/>
            <w:vAlign w:val="bottom"/>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8</w:t>
            </w:r>
          </w:p>
        </w:tc>
        <w:tc>
          <w:tcPr>
            <w:tcW w:w="277"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82" w:type="pct"/>
            <w:vAlign w:val="bottom"/>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Theme="minorHAnsi" w:hAnsiTheme="minorHAnsi" w:cstheme="minorHAnsi"/>
                <w:color w:val="auto"/>
                <w:kern w:val="0"/>
                <w:sz w:val="22"/>
                <w:szCs w:val="22"/>
                <w:lang w:val="en-IN" w:eastAsia="en-IN"/>
              </w:rPr>
              <w:t> </w:t>
            </w:r>
            <w:r w:rsidRPr="00FB0AE6">
              <w:rPr>
                <w:rFonts w:ascii="Calibri" w:hAnsi="Calibri" w:cs="Calibri"/>
                <w:bCs/>
                <w:color w:val="auto"/>
                <w:kern w:val="0"/>
                <w:sz w:val="22"/>
                <w:szCs w:val="22"/>
                <w:lang w:val="en-IN" w:eastAsia="en-IN"/>
              </w:rPr>
              <w:t>..</w:t>
            </w:r>
          </w:p>
        </w:tc>
      </w:tr>
      <w:tr w:rsidR="00FB0AE6" w:rsidRPr="00526770" w:rsidTr="00CF00D9">
        <w:trPr>
          <w:trHeight w:val="288"/>
        </w:trPr>
        <w:tc>
          <w:tcPr>
            <w:tcW w:w="555" w:type="pct"/>
            <w:shd w:val="clear" w:color="FFFFFF" w:fill="FFFFFF"/>
            <w:noWrap/>
            <w:vAlign w:val="bottom"/>
            <w:hideMark/>
          </w:tcPr>
          <w:p w:rsidR="00FB0AE6" w:rsidRPr="00526770" w:rsidRDefault="00FB0AE6" w:rsidP="00FB0AE6">
            <w:pPr>
              <w:rPr>
                <w:rFonts w:asciiTheme="minorHAnsi" w:hAnsiTheme="minorHAnsi" w:cstheme="minorHAnsi"/>
                <w:color w:val="auto"/>
                <w:kern w:val="0"/>
                <w:sz w:val="22"/>
                <w:szCs w:val="22"/>
                <w:lang w:val="en-IN" w:eastAsia="en-IN"/>
              </w:rPr>
            </w:pPr>
            <w:proofErr w:type="spellStart"/>
            <w:r w:rsidRPr="00526770">
              <w:rPr>
                <w:rFonts w:asciiTheme="minorHAnsi" w:hAnsiTheme="minorHAnsi" w:cstheme="minorHAnsi"/>
                <w:color w:val="auto"/>
                <w:kern w:val="0"/>
                <w:sz w:val="22"/>
                <w:szCs w:val="22"/>
                <w:lang w:val="en-IN" w:eastAsia="en-IN"/>
              </w:rPr>
              <w:t>Fernández</w:t>
            </w:r>
            <w:proofErr w:type="spellEnd"/>
            <w:r w:rsidRPr="00526770">
              <w:rPr>
                <w:rFonts w:asciiTheme="minorHAnsi" w:hAnsiTheme="minorHAnsi" w:cstheme="minorHAnsi"/>
                <w:color w:val="auto"/>
                <w:kern w:val="0"/>
                <w:sz w:val="22"/>
                <w:szCs w:val="22"/>
                <w:lang w:val="en-IN" w:eastAsia="en-IN"/>
              </w:rPr>
              <w:t>-Ruiz, M et al.</w:t>
            </w:r>
          </w:p>
        </w:tc>
        <w:tc>
          <w:tcPr>
            <w:tcW w:w="202" w:type="pct"/>
            <w:shd w:val="clear" w:color="auto" w:fill="auto"/>
            <w:noWrap/>
            <w:vAlign w:val="bottom"/>
            <w:hideMark/>
          </w:tcPr>
          <w:p w:rsidR="00FB0AE6" w:rsidRPr="00526770" w:rsidRDefault="00FB0AE6" w:rsidP="00FB0AE6">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15</w:t>
            </w:r>
          </w:p>
        </w:tc>
        <w:tc>
          <w:tcPr>
            <w:tcW w:w="285"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11</w:t>
            </w:r>
          </w:p>
        </w:tc>
        <w:tc>
          <w:tcPr>
            <w:tcW w:w="31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48"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11</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14</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w:t>
            </w:r>
          </w:p>
        </w:tc>
        <w:tc>
          <w:tcPr>
            <w:tcW w:w="30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20"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77"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82"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w:t>
            </w:r>
          </w:p>
        </w:tc>
      </w:tr>
      <w:tr w:rsidR="00FB0AE6" w:rsidRPr="00526770" w:rsidTr="00CF00D9">
        <w:trPr>
          <w:trHeight w:val="288"/>
        </w:trPr>
        <w:tc>
          <w:tcPr>
            <w:tcW w:w="555" w:type="pct"/>
            <w:shd w:val="clear" w:color="FFFFFF" w:fill="FFFFFF"/>
            <w:noWrap/>
            <w:vAlign w:val="bottom"/>
            <w:hideMark/>
          </w:tcPr>
          <w:p w:rsidR="00FB0AE6" w:rsidRPr="00526770" w:rsidRDefault="00FB0AE6" w:rsidP="00FB0AE6">
            <w:pPr>
              <w:rPr>
                <w:rFonts w:asciiTheme="minorHAnsi" w:hAnsiTheme="minorHAnsi" w:cstheme="minorHAnsi"/>
                <w:color w:val="auto"/>
                <w:kern w:val="0"/>
                <w:sz w:val="22"/>
                <w:szCs w:val="22"/>
                <w:lang w:val="en-IN" w:eastAsia="en-IN"/>
              </w:rPr>
            </w:pPr>
            <w:proofErr w:type="spellStart"/>
            <w:r w:rsidRPr="00526770">
              <w:rPr>
                <w:rFonts w:asciiTheme="minorHAnsi" w:hAnsiTheme="minorHAnsi" w:cstheme="minorHAnsi"/>
                <w:color w:val="auto"/>
                <w:kern w:val="0"/>
                <w:sz w:val="22"/>
                <w:szCs w:val="22"/>
                <w:lang w:val="en-IN" w:eastAsia="en-IN"/>
              </w:rPr>
              <w:t>Garg</w:t>
            </w:r>
            <w:proofErr w:type="spellEnd"/>
            <w:r w:rsidRPr="00526770">
              <w:rPr>
                <w:rFonts w:asciiTheme="minorHAnsi" w:hAnsiTheme="minorHAnsi" w:cstheme="minorHAnsi"/>
                <w:color w:val="auto"/>
                <w:kern w:val="0"/>
                <w:sz w:val="22"/>
                <w:szCs w:val="22"/>
                <w:lang w:val="en-IN" w:eastAsia="en-IN"/>
              </w:rPr>
              <w:t>, S et al.</w:t>
            </w:r>
          </w:p>
        </w:tc>
        <w:tc>
          <w:tcPr>
            <w:tcW w:w="202" w:type="pct"/>
            <w:shd w:val="clear" w:color="auto" w:fill="auto"/>
            <w:noWrap/>
            <w:vAlign w:val="bottom"/>
            <w:hideMark/>
          </w:tcPr>
          <w:p w:rsidR="00FB0AE6" w:rsidRPr="00526770" w:rsidRDefault="00FB0AE6" w:rsidP="00FB0AE6">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73</w:t>
            </w:r>
          </w:p>
        </w:tc>
        <w:tc>
          <w:tcPr>
            <w:tcW w:w="285"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58</w:t>
            </w:r>
          </w:p>
        </w:tc>
        <w:tc>
          <w:tcPr>
            <w:tcW w:w="31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48"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54</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62</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11</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21</w:t>
            </w:r>
          </w:p>
        </w:tc>
        <w:tc>
          <w:tcPr>
            <w:tcW w:w="30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19</w:t>
            </w:r>
          </w:p>
        </w:tc>
        <w:tc>
          <w:tcPr>
            <w:tcW w:w="25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7</w:t>
            </w:r>
          </w:p>
        </w:tc>
        <w:tc>
          <w:tcPr>
            <w:tcW w:w="320"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Pr="00FB0AE6">
              <w:rPr>
                <w:rFonts w:ascii="Calibri" w:hAnsi="Calibri" w:cs="Calibri"/>
                <w:bCs/>
                <w:color w:val="auto"/>
                <w:kern w:val="0"/>
                <w:sz w:val="22"/>
                <w:szCs w:val="22"/>
                <w:lang w:val="en-IN" w:eastAsia="en-IN"/>
              </w:rPr>
              <w:t>..</w:t>
            </w:r>
          </w:p>
        </w:tc>
        <w:tc>
          <w:tcPr>
            <w:tcW w:w="277"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15</w:t>
            </w:r>
          </w:p>
        </w:tc>
        <w:tc>
          <w:tcPr>
            <w:tcW w:w="25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p>
        </w:tc>
        <w:tc>
          <w:tcPr>
            <w:tcW w:w="282"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Pr="00FB0AE6">
              <w:rPr>
                <w:rFonts w:ascii="Calibri" w:hAnsi="Calibri" w:cs="Calibri"/>
                <w:bCs/>
                <w:color w:val="auto"/>
                <w:kern w:val="0"/>
                <w:sz w:val="22"/>
                <w:szCs w:val="22"/>
                <w:lang w:val="en-IN" w:eastAsia="en-IN"/>
              </w:rPr>
              <w:t>..</w:t>
            </w:r>
          </w:p>
        </w:tc>
      </w:tr>
      <w:tr w:rsidR="00FB0AE6" w:rsidRPr="00526770" w:rsidTr="00CF00D9">
        <w:trPr>
          <w:trHeight w:val="288"/>
        </w:trPr>
        <w:tc>
          <w:tcPr>
            <w:tcW w:w="555" w:type="pct"/>
            <w:shd w:val="clear" w:color="FFFFFF" w:fill="FFFFFF"/>
            <w:noWrap/>
            <w:vAlign w:val="bottom"/>
            <w:hideMark/>
          </w:tcPr>
          <w:p w:rsidR="00FB0AE6" w:rsidRPr="00526770" w:rsidRDefault="00FB0AE6" w:rsidP="00FB0AE6">
            <w:pPr>
              <w:rPr>
                <w:rFonts w:asciiTheme="minorHAnsi" w:hAnsiTheme="minorHAnsi" w:cstheme="minorHAnsi"/>
                <w:color w:val="auto"/>
                <w:kern w:val="0"/>
                <w:sz w:val="22"/>
                <w:szCs w:val="22"/>
                <w:lang w:val="en-IN" w:eastAsia="en-IN"/>
              </w:rPr>
            </w:pPr>
            <w:proofErr w:type="spellStart"/>
            <w:r w:rsidRPr="00526770">
              <w:rPr>
                <w:rFonts w:asciiTheme="minorHAnsi" w:hAnsiTheme="minorHAnsi" w:cstheme="minorHAnsi"/>
                <w:color w:val="auto"/>
                <w:kern w:val="0"/>
                <w:sz w:val="22"/>
                <w:szCs w:val="22"/>
                <w:lang w:val="en-IN" w:eastAsia="en-IN"/>
              </w:rPr>
              <w:t>Godaert</w:t>
            </w:r>
            <w:proofErr w:type="spellEnd"/>
            <w:r w:rsidRPr="00526770">
              <w:rPr>
                <w:rFonts w:asciiTheme="minorHAnsi" w:hAnsiTheme="minorHAnsi" w:cstheme="minorHAnsi"/>
                <w:color w:val="auto"/>
                <w:kern w:val="0"/>
                <w:sz w:val="22"/>
                <w:szCs w:val="22"/>
                <w:lang w:val="en-IN" w:eastAsia="en-IN"/>
              </w:rPr>
              <w:t>, L et al.</w:t>
            </w:r>
          </w:p>
        </w:tc>
        <w:tc>
          <w:tcPr>
            <w:tcW w:w="202" w:type="pct"/>
            <w:shd w:val="clear" w:color="auto" w:fill="auto"/>
            <w:noWrap/>
            <w:vAlign w:val="bottom"/>
            <w:hideMark/>
          </w:tcPr>
          <w:p w:rsidR="00FB0AE6" w:rsidRPr="00526770" w:rsidRDefault="00FB0AE6" w:rsidP="00FB0AE6">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17</w:t>
            </w:r>
          </w:p>
        </w:tc>
        <w:tc>
          <w:tcPr>
            <w:tcW w:w="285"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12</w:t>
            </w:r>
          </w:p>
        </w:tc>
        <w:tc>
          <w:tcPr>
            <w:tcW w:w="31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48"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11</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13</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Pr="00FB0AE6">
              <w:rPr>
                <w:rFonts w:ascii="Calibri" w:hAnsi="Calibri" w:cs="Calibri"/>
                <w:bCs/>
                <w:color w:val="auto"/>
                <w:kern w:val="0"/>
                <w:sz w:val="22"/>
                <w:szCs w:val="22"/>
                <w:lang w:val="en-IN" w:eastAsia="en-IN"/>
              </w:rPr>
              <w:t>..</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6</w:t>
            </w:r>
          </w:p>
        </w:tc>
        <w:tc>
          <w:tcPr>
            <w:tcW w:w="30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Pr="00FB0AE6">
              <w:rPr>
                <w:rFonts w:ascii="Calibri" w:hAnsi="Calibri" w:cs="Calibri"/>
                <w:bCs/>
                <w:color w:val="auto"/>
                <w:kern w:val="0"/>
                <w:sz w:val="22"/>
                <w:szCs w:val="22"/>
                <w:lang w:val="en-IN" w:eastAsia="en-IN"/>
              </w:rPr>
              <w:t>..</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10</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10</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20"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77"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82"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Pr="00FB0AE6">
              <w:rPr>
                <w:rFonts w:ascii="Calibri" w:hAnsi="Calibri" w:cs="Calibri"/>
                <w:bCs/>
                <w:color w:val="auto"/>
                <w:kern w:val="0"/>
                <w:sz w:val="22"/>
                <w:szCs w:val="22"/>
                <w:lang w:val="en-IN" w:eastAsia="en-IN"/>
              </w:rPr>
              <w:t>..</w:t>
            </w:r>
          </w:p>
        </w:tc>
      </w:tr>
      <w:tr w:rsidR="00FB0AE6" w:rsidRPr="00526770" w:rsidTr="00CF00D9">
        <w:trPr>
          <w:trHeight w:val="288"/>
        </w:trPr>
        <w:tc>
          <w:tcPr>
            <w:tcW w:w="555" w:type="pct"/>
            <w:shd w:val="clear" w:color="FFFFFF" w:fill="FFFFFF"/>
            <w:noWrap/>
            <w:vAlign w:val="bottom"/>
            <w:hideMark/>
          </w:tcPr>
          <w:p w:rsidR="00FB0AE6" w:rsidRPr="00526770" w:rsidRDefault="00FB0AE6" w:rsidP="00FB0AE6">
            <w:pPr>
              <w:rPr>
                <w:rFonts w:asciiTheme="minorHAnsi" w:hAnsiTheme="minorHAnsi" w:cstheme="minorHAnsi"/>
                <w:color w:val="auto"/>
                <w:kern w:val="0"/>
                <w:sz w:val="22"/>
                <w:szCs w:val="22"/>
                <w:lang w:val="en-IN" w:eastAsia="en-IN"/>
              </w:rPr>
            </w:pPr>
            <w:proofErr w:type="spellStart"/>
            <w:r w:rsidRPr="00526770">
              <w:rPr>
                <w:rFonts w:asciiTheme="minorHAnsi" w:hAnsiTheme="minorHAnsi" w:cstheme="minorHAnsi"/>
                <w:color w:val="auto"/>
                <w:kern w:val="0"/>
                <w:sz w:val="22"/>
                <w:szCs w:val="22"/>
                <w:lang w:val="en-IN" w:eastAsia="en-IN"/>
              </w:rPr>
              <w:t>Lechien</w:t>
            </w:r>
            <w:proofErr w:type="spellEnd"/>
            <w:r w:rsidRPr="00526770">
              <w:rPr>
                <w:rFonts w:asciiTheme="minorHAnsi" w:hAnsiTheme="minorHAnsi" w:cstheme="minorHAnsi"/>
                <w:color w:val="auto"/>
                <w:kern w:val="0"/>
                <w:sz w:val="22"/>
                <w:szCs w:val="22"/>
                <w:lang w:val="en-IN" w:eastAsia="en-IN"/>
              </w:rPr>
              <w:t>, J R et al.</w:t>
            </w:r>
          </w:p>
        </w:tc>
        <w:tc>
          <w:tcPr>
            <w:tcW w:w="202" w:type="pct"/>
            <w:shd w:val="clear" w:color="auto" w:fill="auto"/>
            <w:noWrap/>
            <w:vAlign w:val="bottom"/>
            <w:hideMark/>
          </w:tcPr>
          <w:p w:rsidR="00FB0AE6" w:rsidRPr="00526770" w:rsidRDefault="00FB0AE6" w:rsidP="00FB0AE6">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76</w:t>
            </w:r>
          </w:p>
        </w:tc>
        <w:tc>
          <w:tcPr>
            <w:tcW w:w="285"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46</w:t>
            </w:r>
          </w:p>
        </w:tc>
        <w:tc>
          <w:tcPr>
            <w:tcW w:w="31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48"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13</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34</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52</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30</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36</w:t>
            </w:r>
          </w:p>
        </w:tc>
        <w:tc>
          <w:tcPr>
            <w:tcW w:w="30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18</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35</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37</w:t>
            </w:r>
          </w:p>
        </w:tc>
        <w:tc>
          <w:tcPr>
            <w:tcW w:w="25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39</w:t>
            </w:r>
          </w:p>
        </w:tc>
        <w:tc>
          <w:tcPr>
            <w:tcW w:w="320"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p>
        </w:tc>
        <w:tc>
          <w:tcPr>
            <w:tcW w:w="277"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20</w:t>
            </w:r>
          </w:p>
        </w:tc>
        <w:tc>
          <w:tcPr>
            <w:tcW w:w="25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48</w:t>
            </w:r>
          </w:p>
        </w:tc>
        <w:tc>
          <w:tcPr>
            <w:tcW w:w="282"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7</w:t>
            </w:r>
          </w:p>
        </w:tc>
      </w:tr>
      <w:tr w:rsidR="00FB0AE6" w:rsidRPr="00526770" w:rsidTr="00CF00D9">
        <w:trPr>
          <w:trHeight w:val="288"/>
        </w:trPr>
        <w:tc>
          <w:tcPr>
            <w:tcW w:w="555" w:type="pct"/>
            <w:shd w:val="clear" w:color="FFFFFF" w:fill="FFFFFF"/>
            <w:noWrap/>
            <w:vAlign w:val="bottom"/>
            <w:hideMark/>
          </w:tcPr>
          <w:p w:rsidR="00FB0AE6" w:rsidRPr="00526770" w:rsidRDefault="00FB0AE6" w:rsidP="00FB0AE6">
            <w:pPr>
              <w:rPr>
                <w:rFonts w:asciiTheme="minorHAnsi" w:hAnsiTheme="minorHAnsi" w:cstheme="minorHAnsi"/>
                <w:color w:val="auto"/>
                <w:kern w:val="0"/>
                <w:sz w:val="22"/>
                <w:szCs w:val="22"/>
                <w:lang w:val="en-IN" w:eastAsia="en-IN"/>
              </w:rPr>
            </w:pPr>
            <w:proofErr w:type="spellStart"/>
            <w:r w:rsidRPr="00526770">
              <w:rPr>
                <w:rFonts w:asciiTheme="minorHAnsi" w:hAnsiTheme="minorHAnsi" w:cstheme="minorHAnsi"/>
                <w:color w:val="auto"/>
                <w:kern w:val="0"/>
                <w:sz w:val="22"/>
                <w:szCs w:val="22"/>
                <w:lang w:val="en-IN" w:eastAsia="en-IN"/>
              </w:rPr>
              <w:t>Lian</w:t>
            </w:r>
            <w:proofErr w:type="spellEnd"/>
            <w:r w:rsidRPr="00526770">
              <w:rPr>
                <w:rFonts w:asciiTheme="minorHAnsi" w:hAnsiTheme="minorHAnsi" w:cstheme="minorHAnsi"/>
                <w:color w:val="auto"/>
                <w:kern w:val="0"/>
                <w:sz w:val="22"/>
                <w:szCs w:val="22"/>
                <w:lang w:val="en-IN" w:eastAsia="en-IN"/>
              </w:rPr>
              <w:t>, J et al.</w:t>
            </w:r>
          </w:p>
        </w:tc>
        <w:tc>
          <w:tcPr>
            <w:tcW w:w="202" w:type="pct"/>
            <w:shd w:val="clear" w:color="auto" w:fill="auto"/>
            <w:noWrap/>
            <w:vAlign w:val="bottom"/>
            <w:hideMark/>
          </w:tcPr>
          <w:p w:rsidR="00FB0AE6" w:rsidRPr="00526770" w:rsidRDefault="00FB0AE6" w:rsidP="00FB0AE6">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136</w:t>
            </w:r>
          </w:p>
        </w:tc>
        <w:tc>
          <w:tcPr>
            <w:tcW w:w="285"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85</w:t>
            </w:r>
          </w:p>
        </w:tc>
        <w:tc>
          <w:tcPr>
            <w:tcW w:w="31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48"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49</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17</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74</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17</w:t>
            </w:r>
          </w:p>
        </w:tc>
        <w:tc>
          <w:tcPr>
            <w:tcW w:w="25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0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24</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20</w:t>
            </w:r>
          </w:p>
        </w:tc>
        <w:tc>
          <w:tcPr>
            <w:tcW w:w="25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8</w:t>
            </w:r>
          </w:p>
        </w:tc>
        <w:tc>
          <w:tcPr>
            <w:tcW w:w="320"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11</w:t>
            </w:r>
          </w:p>
        </w:tc>
        <w:tc>
          <w:tcPr>
            <w:tcW w:w="277"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82"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r>
      <w:tr w:rsidR="00FB0AE6" w:rsidRPr="00526770" w:rsidTr="00CF00D9">
        <w:trPr>
          <w:trHeight w:val="288"/>
        </w:trPr>
        <w:tc>
          <w:tcPr>
            <w:tcW w:w="555" w:type="pct"/>
            <w:shd w:val="clear" w:color="FFFFFF" w:fill="FFFFFF"/>
            <w:noWrap/>
            <w:vAlign w:val="bottom"/>
            <w:hideMark/>
          </w:tcPr>
          <w:p w:rsidR="00FB0AE6" w:rsidRPr="00526770" w:rsidRDefault="00FB0AE6" w:rsidP="00FB0AE6">
            <w:pPr>
              <w:rPr>
                <w:rFonts w:asciiTheme="minorHAnsi" w:hAnsiTheme="minorHAnsi" w:cstheme="minorHAnsi"/>
                <w:color w:val="auto"/>
                <w:kern w:val="0"/>
                <w:sz w:val="22"/>
                <w:szCs w:val="22"/>
                <w:lang w:val="en-IN" w:eastAsia="en-IN"/>
              </w:rPr>
            </w:pPr>
            <w:r w:rsidRPr="00526770">
              <w:rPr>
                <w:rFonts w:asciiTheme="minorHAnsi" w:hAnsiTheme="minorHAnsi" w:cstheme="minorHAnsi"/>
                <w:color w:val="auto"/>
                <w:kern w:val="0"/>
                <w:sz w:val="22"/>
                <w:szCs w:val="22"/>
                <w:lang w:val="en-IN" w:eastAsia="en-IN"/>
              </w:rPr>
              <w:t>Lin, L et al.</w:t>
            </w:r>
          </w:p>
        </w:tc>
        <w:tc>
          <w:tcPr>
            <w:tcW w:w="202" w:type="pct"/>
            <w:shd w:val="clear" w:color="auto" w:fill="auto"/>
            <w:noWrap/>
            <w:vAlign w:val="bottom"/>
            <w:hideMark/>
          </w:tcPr>
          <w:p w:rsidR="00FB0AE6" w:rsidRPr="00526770" w:rsidRDefault="00FB0AE6" w:rsidP="00FB0AE6">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13</w:t>
            </w:r>
          </w:p>
        </w:tc>
        <w:tc>
          <w:tcPr>
            <w:tcW w:w="285"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1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48"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03"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03"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0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20"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10</w:t>
            </w:r>
          </w:p>
        </w:tc>
        <w:tc>
          <w:tcPr>
            <w:tcW w:w="277"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82"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r>
      <w:tr w:rsidR="00FB0AE6" w:rsidRPr="00526770" w:rsidTr="00CF00D9">
        <w:trPr>
          <w:trHeight w:val="288"/>
        </w:trPr>
        <w:tc>
          <w:tcPr>
            <w:tcW w:w="555" w:type="pct"/>
            <w:shd w:val="clear" w:color="FFFFFF" w:fill="FFFFFF"/>
            <w:noWrap/>
            <w:vAlign w:val="bottom"/>
            <w:hideMark/>
          </w:tcPr>
          <w:p w:rsidR="00FB0AE6" w:rsidRPr="00526770" w:rsidRDefault="00FB0AE6" w:rsidP="00FB0AE6">
            <w:pPr>
              <w:rPr>
                <w:rFonts w:asciiTheme="minorHAnsi" w:hAnsiTheme="minorHAnsi" w:cstheme="minorHAnsi"/>
                <w:color w:val="auto"/>
                <w:kern w:val="0"/>
                <w:sz w:val="22"/>
                <w:szCs w:val="22"/>
                <w:lang w:val="en-IN" w:eastAsia="en-IN"/>
              </w:rPr>
            </w:pPr>
            <w:r w:rsidRPr="00526770">
              <w:rPr>
                <w:rFonts w:asciiTheme="minorHAnsi" w:hAnsiTheme="minorHAnsi" w:cstheme="minorHAnsi"/>
                <w:color w:val="auto"/>
                <w:kern w:val="0"/>
                <w:sz w:val="22"/>
                <w:szCs w:val="22"/>
                <w:lang w:val="en-IN" w:eastAsia="en-IN"/>
              </w:rPr>
              <w:t>Liu, K et al.</w:t>
            </w:r>
          </w:p>
        </w:tc>
        <w:tc>
          <w:tcPr>
            <w:tcW w:w="202" w:type="pct"/>
            <w:shd w:val="clear" w:color="auto" w:fill="auto"/>
            <w:noWrap/>
            <w:vAlign w:val="bottom"/>
            <w:hideMark/>
          </w:tcPr>
          <w:p w:rsidR="00FB0AE6" w:rsidRPr="00526770" w:rsidRDefault="00FB0AE6" w:rsidP="00FB0AE6">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18</w:t>
            </w:r>
          </w:p>
        </w:tc>
        <w:tc>
          <w:tcPr>
            <w:tcW w:w="285"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6</w:t>
            </w:r>
          </w:p>
        </w:tc>
        <w:tc>
          <w:tcPr>
            <w:tcW w:w="31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48"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6</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2</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14</w:t>
            </w:r>
          </w:p>
        </w:tc>
        <w:tc>
          <w:tcPr>
            <w:tcW w:w="303"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0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2</w:t>
            </w:r>
          </w:p>
        </w:tc>
        <w:tc>
          <w:tcPr>
            <w:tcW w:w="251"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20"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77"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82"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r>
      <w:tr w:rsidR="00FB0AE6" w:rsidRPr="00526770" w:rsidTr="00CF00D9">
        <w:trPr>
          <w:trHeight w:val="288"/>
        </w:trPr>
        <w:tc>
          <w:tcPr>
            <w:tcW w:w="555" w:type="pct"/>
            <w:shd w:val="clear" w:color="FFFFFF" w:fill="FFFFFF"/>
            <w:noWrap/>
            <w:vAlign w:val="bottom"/>
            <w:hideMark/>
          </w:tcPr>
          <w:p w:rsidR="00FB0AE6" w:rsidRPr="00526770" w:rsidRDefault="00FB0AE6" w:rsidP="00FB0AE6">
            <w:pPr>
              <w:rPr>
                <w:rFonts w:asciiTheme="minorHAnsi" w:hAnsiTheme="minorHAnsi" w:cstheme="minorHAnsi"/>
                <w:color w:val="auto"/>
                <w:kern w:val="0"/>
                <w:sz w:val="22"/>
                <w:szCs w:val="22"/>
                <w:lang w:val="en-IN" w:eastAsia="en-IN"/>
              </w:rPr>
            </w:pPr>
            <w:r w:rsidRPr="00526770">
              <w:rPr>
                <w:rFonts w:asciiTheme="minorHAnsi" w:hAnsiTheme="minorHAnsi" w:cstheme="minorHAnsi"/>
                <w:color w:val="auto"/>
                <w:kern w:val="0"/>
                <w:sz w:val="22"/>
                <w:szCs w:val="22"/>
                <w:lang w:val="en-IN" w:eastAsia="en-IN"/>
              </w:rPr>
              <w:t>Wang, L et al.</w:t>
            </w:r>
          </w:p>
        </w:tc>
        <w:tc>
          <w:tcPr>
            <w:tcW w:w="202" w:type="pct"/>
            <w:shd w:val="clear" w:color="auto" w:fill="auto"/>
            <w:noWrap/>
            <w:vAlign w:val="bottom"/>
            <w:hideMark/>
          </w:tcPr>
          <w:p w:rsidR="00FB0AE6" w:rsidRPr="00526770" w:rsidRDefault="00FB0AE6" w:rsidP="00FB0AE6">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339</w:t>
            </w:r>
          </w:p>
        </w:tc>
        <w:tc>
          <w:tcPr>
            <w:tcW w:w="285"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Pr="00FB0AE6">
              <w:rPr>
                <w:rFonts w:ascii="Calibri" w:hAnsi="Calibri" w:cs="Calibri"/>
                <w:bCs/>
                <w:color w:val="auto"/>
                <w:kern w:val="0"/>
                <w:sz w:val="22"/>
                <w:szCs w:val="22"/>
                <w:lang w:val="en-IN" w:eastAsia="en-IN"/>
              </w:rPr>
              <w:t>..</w:t>
            </w:r>
          </w:p>
        </w:tc>
        <w:tc>
          <w:tcPr>
            <w:tcW w:w="31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179</w:t>
            </w:r>
          </w:p>
        </w:tc>
        <w:tc>
          <w:tcPr>
            <w:tcW w:w="348"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93</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138</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311</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13</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43</w:t>
            </w:r>
          </w:p>
        </w:tc>
        <w:tc>
          <w:tcPr>
            <w:tcW w:w="30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135</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16</w:t>
            </w:r>
          </w:p>
        </w:tc>
        <w:tc>
          <w:tcPr>
            <w:tcW w:w="25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12</w:t>
            </w:r>
          </w:p>
        </w:tc>
        <w:tc>
          <w:tcPr>
            <w:tcW w:w="320"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77"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13</w:t>
            </w:r>
          </w:p>
        </w:tc>
        <w:tc>
          <w:tcPr>
            <w:tcW w:w="25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94</w:t>
            </w:r>
          </w:p>
        </w:tc>
        <w:tc>
          <w:tcPr>
            <w:tcW w:w="282"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88</w:t>
            </w:r>
          </w:p>
        </w:tc>
      </w:tr>
      <w:tr w:rsidR="00FB0AE6" w:rsidRPr="00526770" w:rsidTr="00CF00D9">
        <w:trPr>
          <w:trHeight w:val="288"/>
        </w:trPr>
        <w:tc>
          <w:tcPr>
            <w:tcW w:w="555" w:type="pct"/>
            <w:shd w:val="clear" w:color="FFFFFF" w:fill="FFFFFF"/>
            <w:noWrap/>
            <w:vAlign w:val="bottom"/>
            <w:hideMark/>
          </w:tcPr>
          <w:p w:rsidR="00FB0AE6" w:rsidRPr="00526770" w:rsidRDefault="00FB0AE6" w:rsidP="00FB0AE6">
            <w:pPr>
              <w:rPr>
                <w:rFonts w:asciiTheme="minorHAnsi" w:hAnsiTheme="minorHAnsi" w:cstheme="minorHAnsi"/>
                <w:color w:val="auto"/>
                <w:kern w:val="0"/>
                <w:sz w:val="22"/>
                <w:szCs w:val="22"/>
                <w:lang w:val="en-IN" w:eastAsia="en-IN"/>
              </w:rPr>
            </w:pPr>
            <w:r w:rsidRPr="00526770">
              <w:rPr>
                <w:rFonts w:asciiTheme="minorHAnsi" w:hAnsiTheme="minorHAnsi" w:cstheme="minorHAnsi"/>
                <w:color w:val="auto"/>
                <w:kern w:val="0"/>
                <w:sz w:val="22"/>
                <w:szCs w:val="22"/>
                <w:lang w:val="en-IN" w:eastAsia="en-IN"/>
              </w:rPr>
              <w:t>Wang, W et al.</w:t>
            </w:r>
          </w:p>
        </w:tc>
        <w:tc>
          <w:tcPr>
            <w:tcW w:w="202" w:type="pct"/>
            <w:shd w:val="clear" w:color="auto" w:fill="auto"/>
            <w:noWrap/>
            <w:vAlign w:val="bottom"/>
            <w:hideMark/>
          </w:tcPr>
          <w:p w:rsidR="00FB0AE6" w:rsidRPr="00526770" w:rsidRDefault="00FB0AE6" w:rsidP="00FB0AE6">
            <w:pPr>
              <w:jc w:val="right"/>
              <w:rPr>
                <w:rFonts w:asciiTheme="minorHAnsi" w:hAnsiTheme="minorHAnsi" w:cstheme="minorHAnsi"/>
                <w:kern w:val="0"/>
                <w:sz w:val="22"/>
                <w:szCs w:val="22"/>
                <w:lang w:val="en-IN" w:eastAsia="en-IN"/>
              </w:rPr>
            </w:pPr>
            <w:r w:rsidRPr="00526770">
              <w:rPr>
                <w:rFonts w:asciiTheme="minorHAnsi" w:hAnsiTheme="minorHAnsi" w:cstheme="minorHAnsi"/>
                <w:kern w:val="0"/>
                <w:sz w:val="22"/>
                <w:szCs w:val="22"/>
                <w:lang w:val="en-IN" w:eastAsia="en-IN"/>
              </w:rPr>
              <w:t>15</w:t>
            </w:r>
          </w:p>
        </w:tc>
        <w:tc>
          <w:tcPr>
            <w:tcW w:w="285"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8</w:t>
            </w:r>
          </w:p>
        </w:tc>
        <w:tc>
          <w:tcPr>
            <w:tcW w:w="311" w:type="pct"/>
            <w:shd w:val="clear" w:color="auto" w:fill="auto"/>
            <w:noWrap/>
            <w:vAlign w:val="bottom"/>
            <w:hideMark/>
          </w:tcPr>
          <w:p w:rsidR="00FB0AE6" w:rsidRPr="00FB0AE6" w:rsidRDefault="00FB0AE6" w:rsidP="00FB0AE6">
            <w:pPr>
              <w:jc w:val="right"/>
              <w:rPr>
                <w:rFonts w:asciiTheme="minorHAnsi" w:hAnsiTheme="minorHAnsi" w:cstheme="minorHAnsi"/>
                <w:color w:val="auto"/>
                <w:kern w:val="0"/>
                <w:sz w:val="22"/>
                <w:szCs w:val="22"/>
                <w:lang w:val="en-IN" w:eastAsia="en-IN"/>
              </w:rPr>
            </w:pPr>
            <w:r w:rsidRPr="00FB0AE6">
              <w:rPr>
                <w:rFonts w:ascii="Calibri" w:hAnsi="Calibri" w:cs="Calibri"/>
                <w:bCs/>
                <w:color w:val="auto"/>
                <w:kern w:val="0"/>
                <w:sz w:val="22"/>
                <w:szCs w:val="22"/>
                <w:lang w:val="en-IN" w:eastAsia="en-IN"/>
              </w:rPr>
              <w:t>..</w:t>
            </w:r>
          </w:p>
        </w:tc>
        <w:tc>
          <w:tcPr>
            <w:tcW w:w="348"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w:t>
            </w:r>
          </w:p>
        </w:tc>
        <w:tc>
          <w:tcPr>
            <w:tcW w:w="251"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4</w:t>
            </w:r>
          </w:p>
        </w:tc>
        <w:tc>
          <w:tcPr>
            <w:tcW w:w="303" w:type="pct"/>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9</w:t>
            </w:r>
          </w:p>
        </w:tc>
        <w:tc>
          <w:tcPr>
            <w:tcW w:w="303"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303"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5</w:t>
            </w:r>
          </w:p>
        </w:tc>
        <w:tc>
          <w:tcPr>
            <w:tcW w:w="251"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w:t>
            </w:r>
          </w:p>
        </w:tc>
        <w:tc>
          <w:tcPr>
            <w:tcW w:w="25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w:t>
            </w:r>
          </w:p>
        </w:tc>
        <w:tc>
          <w:tcPr>
            <w:tcW w:w="320" w:type="pct"/>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277"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Pr="00FB0AE6">
              <w:rPr>
                <w:rFonts w:ascii="Calibri" w:hAnsi="Calibri" w:cs="Calibri"/>
                <w:bCs/>
                <w:color w:val="auto"/>
                <w:kern w:val="0"/>
                <w:sz w:val="22"/>
                <w:szCs w:val="22"/>
                <w:lang w:val="en-IN" w:eastAsia="en-IN"/>
              </w:rPr>
              <w:t>..</w:t>
            </w:r>
          </w:p>
        </w:tc>
        <w:tc>
          <w:tcPr>
            <w:tcW w:w="253"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 </w:t>
            </w:r>
            <w:r w:rsidRPr="00FB0AE6">
              <w:rPr>
                <w:rFonts w:ascii="Calibri" w:hAnsi="Calibri" w:cs="Calibri"/>
                <w:bCs/>
                <w:color w:val="auto"/>
                <w:kern w:val="0"/>
                <w:sz w:val="22"/>
                <w:szCs w:val="22"/>
                <w:lang w:val="en-IN" w:eastAsia="en-IN"/>
              </w:rPr>
              <w:t>..</w:t>
            </w:r>
          </w:p>
        </w:tc>
        <w:tc>
          <w:tcPr>
            <w:tcW w:w="282" w:type="pct"/>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w:t>
            </w:r>
          </w:p>
        </w:tc>
      </w:tr>
    </w:tbl>
    <w:p w:rsidR="00B863D3" w:rsidRDefault="00B863D3" w:rsidP="00B863D3">
      <w:pPr>
        <w:tabs>
          <w:tab w:val="left" w:pos="2292"/>
        </w:tabs>
        <w:rPr>
          <w:rFonts w:ascii="Calibri" w:hAnsi="Calibri" w:cs="Calibri"/>
          <w:sz w:val="22"/>
          <w:szCs w:val="22"/>
        </w:rPr>
      </w:pPr>
      <w:r>
        <w:rPr>
          <w:rFonts w:ascii="Calibri" w:hAnsi="Calibri" w:cs="Calibri"/>
          <w:sz w:val="24"/>
          <w:szCs w:val="24"/>
        </w:rPr>
        <w:t xml:space="preserve"># </w:t>
      </w:r>
      <w:proofErr w:type="gramStart"/>
      <w:r>
        <w:rPr>
          <w:rFonts w:ascii="Calibri" w:hAnsi="Calibri" w:cs="Calibri"/>
          <w:sz w:val="24"/>
          <w:szCs w:val="24"/>
        </w:rPr>
        <w:t>Though</w:t>
      </w:r>
      <w:proofErr w:type="gramEnd"/>
      <w:r>
        <w:rPr>
          <w:rFonts w:ascii="Calibri" w:hAnsi="Calibri" w:cs="Calibri"/>
          <w:sz w:val="24"/>
          <w:szCs w:val="24"/>
        </w:rPr>
        <w:t xml:space="preserve"> these studies included alive patients, however detailed clinical data for older patients was available only for dead patients; </w:t>
      </w:r>
      <w:r w:rsidRPr="002E606E">
        <w:rPr>
          <w:rFonts w:ascii="Calibri" w:hAnsi="Calibri" w:cs="Calibri"/>
          <w:sz w:val="22"/>
          <w:szCs w:val="22"/>
        </w:rPr>
        <w:t xml:space="preserve"> </w:t>
      </w:r>
    </w:p>
    <w:p w:rsidR="001A2C1B" w:rsidRDefault="001A2C1B" w:rsidP="001A2C1B">
      <w:pPr>
        <w:tabs>
          <w:tab w:val="left" w:pos="2292"/>
        </w:tabs>
        <w:rPr>
          <w:rFonts w:ascii="Calibri" w:hAnsi="Calibri" w:cs="Calibri"/>
          <w:sz w:val="24"/>
          <w:szCs w:val="24"/>
        </w:rPr>
      </w:pPr>
      <w:r>
        <w:rPr>
          <w:rFonts w:ascii="Calibri" w:hAnsi="Calibri" w:cs="Calibri"/>
          <w:sz w:val="24"/>
          <w:szCs w:val="24"/>
        </w:rPr>
        <w:t>*Body temperature &gt;38</w:t>
      </w:r>
      <w:r>
        <w:rPr>
          <w:rFonts w:ascii="Calibri" w:hAnsi="Calibri" w:cs="Calibri"/>
          <w:sz w:val="24"/>
          <w:szCs w:val="24"/>
          <w:vertAlign w:val="superscript"/>
        </w:rPr>
        <w:t>0</w:t>
      </w:r>
      <w:r>
        <w:rPr>
          <w:rFonts w:ascii="Calibri" w:hAnsi="Calibri" w:cs="Calibri"/>
          <w:sz w:val="24"/>
          <w:szCs w:val="24"/>
        </w:rPr>
        <w:t>C or 100.4</w:t>
      </w:r>
      <w:r>
        <w:rPr>
          <w:rFonts w:ascii="Calibri" w:hAnsi="Calibri" w:cs="Calibri"/>
          <w:sz w:val="24"/>
          <w:szCs w:val="24"/>
          <w:vertAlign w:val="superscript"/>
        </w:rPr>
        <w:t>0</w:t>
      </w:r>
      <w:r>
        <w:rPr>
          <w:rFonts w:ascii="Calibri" w:hAnsi="Calibri" w:cs="Calibri"/>
          <w:sz w:val="24"/>
          <w:szCs w:val="24"/>
        </w:rPr>
        <w:t xml:space="preserve">F </w:t>
      </w:r>
    </w:p>
    <w:p w:rsidR="001A2C1B" w:rsidRDefault="001A2C1B" w:rsidP="001A2C1B">
      <w:pPr>
        <w:tabs>
          <w:tab w:val="left" w:pos="2292"/>
        </w:tabs>
        <w:rPr>
          <w:rFonts w:ascii="Calibri" w:hAnsi="Calibri" w:cs="Calibri"/>
          <w:sz w:val="24"/>
          <w:szCs w:val="24"/>
        </w:rPr>
      </w:pPr>
      <w:r>
        <w:rPr>
          <w:rFonts w:ascii="Calibri" w:hAnsi="Calibri" w:cs="Calibri"/>
          <w:sz w:val="24"/>
          <w:szCs w:val="24"/>
        </w:rPr>
        <w:t>(GI symptoms – Gastrointestinal symptoms)</w:t>
      </w:r>
    </w:p>
    <w:p w:rsidR="007A269C" w:rsidRDefault="007A269C">
      <w:pPr>
        <w:spacing w:after="160" w:line="259" w:lineRule="auto"/>
        <w:rPr>
          <w:rFonts w:ascii="Calibri" w:hAnsi="Calibri" w:cs="Calibri"/>
          <w:sz w:val="22"/>
          <w:szCs w:val="22"/>
        </w:rPr>
      </w:pPr>
      <w:r>
        <w:rPr>
          <w:rFonts w:ascii="Calibri" w:hAnsi="Calibri" w:cs="Calibri"/>
          <w:sz w:val="22"/>
          <w:szCs w:val="22"/>
        </w:rPr>
        <w:br w:type="page"/>
      </w:r>
    </w:p>
    <w:p w:rsidR="00526770" w:rsidRPr="007A269C" w:rsidRDefault="00CF00D9" w:rsidP="007A269C">
      <w:pPr>
        <w:spacing w:after="160" w:line="259" w:lineRule="auto"/>
        <w:rPr>
          <w:rFonts w:ascii="Calibri" w:hAnsi="Calibri" w:cs="Calibri"/>
          <w:sz w:val="22"/>
          <w:szCs w:val="22"/>
        </w:rPr>
      </w:pPr>
      <w:r>
        <w:rPr>
          <w:rFonts w:ascii="Calibri" w:hAnsi="Calibri" w:cs="Calibri"/>
          <w:sz w:val="24"/>
          <w:szCs w:val="24"/>
        </w:rPr>
        <w:lastRenderedPageBreak/>
        <w:t>Supplementary Table S4.</w:t>
      </w:r>
      <w:r w:rsidR="00526770">
        <w:rPr>
          <w:rFonts w:ascii="Calibri" w:hAnsi="Calibri" w:cs="Calibri"/>
          <w:sz w:val="24"/>
          <w:szCs w:val="24"/>
        </w:rPr>
        <w:t xml:space="preserve"> Laboratory and radiological findings in included studies</w:t>
      </w:r>
    </w:p>
    <w:tbl>
      <w:tblPr>
        <w:tblW w:w="5327" w:type="pct"/>
        <w:tblInd w:w="-5" w:type="dxa"/>
        <w:tblLayout w:type="fixed"/>
        <w:tblLook w:val="04A0" w:firstRow="1" w:lastRow="0" w:firstColumn="1" w:lastColumn="0" w:noHBand="0" w:noVBand="1"/>
      </w:tblPr>
      <w:tblGrid>
        <w:gridCol w:w="2501"/>
        <w:gridCol w:w="1314"/>
        <w:gridCol w:w="1317"/>
        <w:gridCol w:w="1450"/>
        <w:gridCol w:w="1578"/>
        <w:gridCol w:w="1581"/>
        <w:gridCol w:w="1313"/>
        <w:gridCol w:w="1352"/>
        <w:gridCol w:w="1391"/>
      </w:tblGrid>
      <w:tr w:rsidR="007A269C" w:rsidRPr="00526770" w:rsidTr="007A269C">
        <w:trPr>
          <w:trHeight w:val="288"/>
        </w:trPr>
        <w:tc>
          <w:tcPr>
            <w:tcW w:w="906" w:type="pct"/>
            <w:tcBorders>
              <w:top w:val="single" w:sz="4" w:space="0" w:color="auto"/>
              <w:left w:val="single" w:sz="4" w:space="0" w:color="auto"/>
              <w:bottom w:val="single" w:sz="4" w:space="0" w:color="auto"/>
              <w:right w:val="single" w:sz="4" w:space="0" w:color="auto"/>
            </w:tcBorders>
            <w:vAlign w:val="bottom"/>
          </w:tcPr>
          <w:p w:rsidR="00526770" w:rsidRPr="00526770" w:rsidRDefault="00526770" w:rsidP="007A269C">
            <w:pPr>
              <w:jc w:val="center"/>
              <w:rPr>
                <w:rFonts w:asciiTheme="minorHAnsi" w:hAnsiTheme="minorHAnsi" w:cstheme="minorHAnsi"/>
                <w:b/>
                <w:bCs/>
                <w:color w:val="auto"/>
                <w:kern w:val="0"/>
                <w:sz w:val="24"/>
                <w:szCs w:val="24"/>
                <w:lang w:val="en-IN" w:eastAsia="en-IN"/>
              </w:rPr>
            </w:pPr>
            <w:r w:rsidRPr="00526770">
              <w:rPr>
                <w:rFonts w:asciiTheme="minorHAnsi" w:hAnsiTheme="minorHAnsi" w:cstheme="minorHAnsi"/>
                <w:b/>
                <w:bCs/>
                <w:sz w:val="24"/>
                <w:szCs w:val="24"/>
              </w:rPr>
              <w:t>Author name</w:t>
            </w:r>
          </w:p>
        </w:tc>
        <w:tc>
          <w:tcPr>
            <w:tcW w:w="476" w:type="pct"/>
            <w:tcBorders>
              <w:top w:val="single" w:sz="4" w:space="0" w:color="auto"/>
              <w:left w:val="single" w:sz="4" w:space="0" w:color="auto"/>
              <w:bottom w:val="single" w:sz="4" w:space="0" w:color="auto"/>
              <w:right w:val="single" w:sz="4" w:space="0" w:color="auto"/>
            </w:tcBorders>
            <w:vAlign w:val="bottom"/>
          </w:tcPr>
          <w:p w:rsidR="00526770" w:rsidRPr="00526770" w:rsidRDefault="00526770" w:rsidP="007A269C">
            <w:pPr>
              <w:jc w:val="center"/>
              <w:rPr>
                <w:rFonts w:asciiTheme="minorHAnsi" w:hAnsiTheme="minorHAnsi" w:cstheme="minorHAnsi"/>
                <w:b/>
                <w:bCs/>
                <w:kern w:val="0"/>
                <w:sz w:val="24"/>
                <w:szCs w:val="24"/>
                <w:lang w:val="en-IN" w:eastAsia="en-IN"/>
              </w:rPr>
            </w:pPr>
            <w:r w:rsidRPr="00526770">
              <w:rPr>
                <w:rFonts w:asciiTheme="minorHAnsi" w:hAnsiTheme="minorHAnsi" w:cstheme="minorHAnsi"/>
                <w:b/>
                <w:bCs/>
                <w:sz w:val="24"/>
                <w:szCs w:val="24"/>
              </w:rPr>
              <w:t>n</w:t>
            </w:r>
          </w:p>
        </w:tc>
        <w:tc>
          <w:tcPr>
            <w:tcW w:w="477" w:type="pct"/>
            <w:tcBorders>
              <w:top w:val="single" w:sz="4" w:space="0" w:color="auto"/>
              <w:left w:val="nil"/>
              <w:bottom w:val="single" w:sz="4" w:space="0" w:color="auto"/>
              <w:right w:val="single" w:sz="4" w:space="0" w:color="auto"/>
            </w:tcBorders>
            <w:shd w:val="clear" w:color="auto" w:fill="auto"/>
            <w:noWrap/>
            <w:vAlign w:val="bottom"/>
            <w:hideMark/>
          </w:tcPr>
          <w:p w:rsidR="00526770" w:rsidRPr="00526770" w:rsidRDefault="00526770" w:rsidP="007A269C">
            <w:pPr>
              <w:jc w:val="center"/>
              <w:rPr>
                <w:rFonts w:asciiTheme="minorHAnsi" w:hAnsiTheme="minorHAnsi" w:cstheme="minorHAnsi"/>
                <w:b/>
                <w:bCs/>
                <w:kern w:val="0"/>
                <w:sz w:val="24"/>
                <w:szCs w:val="24"/>
                <w:lang w:val="en-IN" w:eastAsia="en-IN"/>
              </w:rPr>
            </w:pPr>
            <w:r w:rsidRPr="00526770">
              <w:rPr>
                <w:rFonts w:asciiTheme="minorHAnsi" w:hAnsiTheme="minorHAnsi" w:cstheme="minorHAnsi"/>
                <w:b/>
                <w:bCs/>
                <w:kern w:val="0"/>
                <w:sz w:val="24"/>
                <w:szCs w:val="24"/>
                <w:lang w:val="en-IN" w:eastAsia="en-IN"/>
              </w:rPr>
              <w:t>Leukopenia (&lt;4000)</w:t>
            </w:r>
          </w:p>
        </w:tc>
        <w:tc>
          <w:tcPr>
            <w:tcW w:w="525" w:type="pct"/>
            <w:tcBorders>
              <w:top w:val="single" w:sz="4" w:space="0" w:color="auto"/>
              <w:left w:val="nil"/>
              <w:bottom w:val="single" w:sz="4" w:space="0" w:color="auto"/>
              <w:right w:val="single" w:sz="4" w:space="0" w:color="auto"/>
            </w:tcBorders>
            <w:shd w:val="clear" w:color="auto" w:fill="auto"/>
            <w:noWrap/>
            <w:vAlign w:val="bottom"/>
            <w:hideMark/>
          </w:tcPr>
          <w:p w:rsidR="00526770" w:rsidRPr="00526770" w:rsidRDefault="00526770" w:rsidP="007A269C">
            <w:pPr>
              <w:jc w:val="center"/>
              <w:rPr>
                <w:rFonts w:asciiTheme="minorHAnsi" w:hAnsiTheme="minorHAnsi" w:cstheme="minorHAnsi"/>
                <w:b/>
                <w:bCs/>
                <w:kern w:val="0"/>
                <w:sz w:val="24"/>
                <w:szCs w:val="24"/>
                <w:lang w:val="en-IN" w:eastAsia="en-IN"/>
              </w:rPr>
            </w:pPr>
            <w:proofErr w:type="spellStart"/>
            <w:r w:rsidRPr="00526770">
              <w:rPr>
                <w:rFonts w:asciiTheme="minorHAnsi" w:hAnsiTheme="minorHAnsi" w:cstheme="minorHAnsi"/>
                <w:b/>
                <w:bCs/>
                <w:kern w:val="0"/>
                <w:sz w:val="24"/>
                <w:szCs w:val="24"/>
                <w:lang w:val="en-IN" w:eastAsia="en-IN"/>
              </w:rPr>
              <w:t>Leukocytosis</w:t>
            </w:r>
            <w:proofErr w:type="spellEnd"/>
            <w:r w:rsidRPr="00526770">
              <w:rPr>
                <w:rFonts w:asciiTheme="minorHAnsi" w:hAnsiTheme="minorHAnsi" w:cstheme="minorHAnsi"/>
                <w:b/>
                <w:bCs/>
                <w:kern w:val="0"/>
                <w:sz w:val="24"/>
                <w:szCs w:val="24"/>
                <w:lang w:val="en-IN" w:eastAsia="en-IN"/>
              </w:rPr>
              <w:t xml:space="preserve"> (&gt;10,000)</w:t>
            </w:r>
          </w:p>
        </w:tc>
        <w:tc>
          <w:tcPr>
            <w:tcW w:w="572" w:type="pct"/>
            <w:tcBorders>
              <w:top w:val="single" w:sz="4" w:space="0" w:color="auto"/>
              <w:left w:val="nil"/>
              <w:bottom w:val="single" w:sz="4" w:space="0" w:color="auto"/>
              <w:right w:val="single" w:sz="4" w:space="0" w:color="auto"/>
            </w:tcBorders>
            <w:vAlign w:val="bottom"/>
          </w:tcPr>
          <w:p w:rsidR="00526770" w:rsidRPr="00526770" w:rsidRDefault="00526770" w:rsidP="007A269C">
            <w:pPr>
              <w:jc w:val="center"/>
              <w:rPr>
                <w:rFonts w:asciiTheme="minorHAnsi" w:hAnsiTheme="minorHAnsi" w:cstheme="minorHAnsi"/>
                <w:b/>
                <w:bCs/>
                <w:kern w:val="0"/>
                <w:sz w:val="24"/>
                <w:szCs w:val="24"/>
                <w:lang w:val="en-IN" w:eastAsia="en-IN"/>
              </w:rPr>
            </w:pPr>
            <w:r w:rsidRPr="00526770">
              <w:rPr>
                <w:rFonts w:asciiTheme="minorHAnsi" w:hAnsiTheme="minorHAnsi" w:cstheme="minorHAnsi"/>
                <w:b/>
                <w:bCs/>
                <w:kern w:val="0"/>
                <w:sz w:val="24"/>
                <w:szCs w:val="24"/>
                <w:lang w:val="en-IN" w:eastAsia="en-IN"/>
              </w:rPr>
              <w:t>Lymphopenia (&lt;1000)</w:t>
            </w:r>
          </w:p>
        </w:tc>
        <w:tc>
          <w:tcPr>
            <w:tcW w:w="57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6770" w:rsidRPr="00526770" w:rsidRDefault="00526770" w:rsidP="007A269C">
            <w:pPr>
              <w:jc w:val="center"/>
              <w:rPr>
                <w:rFonts w:asciiTheme="minorHAnsi" w:hAnsiTheme="minorHAnsi" w:cstheme="minorHAnsi"/>
                <w:b/>
                <w:bCs/>
                <w:kern w:val="0"/>
                <w:sz w:val="24"/>
                <w:szCs w:val="24"/>
                <w:lang w:val="en-IN" w:eastAsia="en-IN"/>
              </w:rPr>
            </w:pPr>
            <w:r w:rsidRPr="00526770">
              <w:rPr>
                <w:rFonts w:asciiTheme="minorHAnsi" w:hAnsiTheme="minorHAnsi" w:cstheme="minorHAnsi"/>
                <w:b/>
                <w:bCs/>
                <w:kern w:val="0"/>
                <w:sz w:val="24"/>
                <w:szCs w:val="24"/>
                <w:lang w:val="en-IN" w:eastAsia="en-IN"/>
              </w:rPr>
              <w:t>Thrombocytopenia ( &lt;1 lakh)</w:t>
            </w:r>
          </w:p>
        </w:tc>
        <w:tc>
          <w:tcPr>
            <w:tcW w:w="476" w:type="pct"/>
            <w:tcBorders>
              <w:top w:val="single" w:sz="4" w:space="0" w:color="auto"/>
              <w:left w:val="single" w:sz="4" w:space="0" w:color="auto"/>
              <w:bottom w:val="single" w:sz="4" w:space="0" w:color="auto"/>
              <w:right w:val="single" w:sz="4" w:space="0" w:color="auto"/>
            </w:tcBorders>
            <w:vAlign w:val="bottom"/>
          </w:tcPr>
          <w:p w:rsidR="00526770" w:rsidRPr="00526770" w:rsidRDefault="00526770" w:rsidP="007A269C">
            <w:pPr>
              <w:jc w:val="center"/>
              <w:rPr>
                <w:rFonts w:asciiTheme="minorHAnsi" w:hAnsiTheme="minorHAnsi" w:cstheme="minorHAnsi"/>
                <w:b/>
                <w:bCs/>
                <w:kern w:val="0"/>
                <w:sz w:val="24"/>
                <w:szCs w:val="24"/>
                <w:lang w:val="en-IN" w:eastAsia="en-IN"/>
              </w:rPr>
            </w:pPr>
            <w:r w:rsidRPr="00526770">
              <w:rPr>
                <w:rFonts w:asciiTheme="minorHAnsi" w:hAnsiTheme="minorHAnsi" w:cstheme="minorHAnsi"/>
                <w:b/>
                <w:bCs/>
                <w:sz w:val="24"/>
                <w:szCs w:val="24"/>
              </w:rPr>
              <w:t>Single lobe lesion</w:t>
            </w:r>
          </w:p>
        </w:tc>
        <w:tc>
          <w:tcPr>
            <w:tcW w:w="490" w:type="pct"/>
            <w:tcBorders>
              <w:top w:val="single" w:sz="4" w:space="0" w:color="auto"/>
              <w:left w:val="single" w:sz="4" w:space="0" w:color="auto"/>
              <w:bottom w:val="single" w:sz="4" w:space="0" w:color="auto"/>
              <w:right w:val="single" w:sz="4" w:space="0" w:color="auto"/>
            </w:tcBorders>
            <w:vAlign w:val="bottom"/>
          </w:tcPr>
          <w:p w:rsidR="00526770" w:rsidRPr="00526770" w:rsidRDefault="00526770" w:rsidP="007A269C">
            <w:pPr>
              <w:jc w:val="center"/>
              <w:rPr>
                <w:rFonts w:asciiTheme="minorHAnsi" w:hAnsiTheme="minorHAnsi" w:cstheme="minorHAnsi"/>
                <w:b/>
                <w:bCs/>
                <w:sz w:val="24"/>
                <w:szCs w:val="24"/>
              </w:rPr>
            </w:pPr>
            <w:r w:rsidRPr="00526770">
              <w:rPr>
                <w:rFonts w:asciiTheme="minorHAnsi" w:hAnsiTheme="minorHAnsi" w:cstheme="minorHAnsi"/>
                <w:b/>
                <w:bCs/>
                <w:sz w:val="24"/>
                <w:szCs w:val="24"/>
              </w:rPr>
              <w:t>Multiple lobe lesions</w:t>
            </w:r>
          </w:p>
        </w:tc>
        <w:tc>
          <w:tcPr>
            <w:tcW w:w="504" w:type="pct"/>
            <w:tcBorders>
              <w:top w:val="single" w:sz="4" w:space="0" w:color="auto"/>
              <w:left w:val="single" w:sz="4" w:space="0" w:color="auto"/>
              <w:bottom w:val="single" w:sz="4" w:space="0" w:color="auto"/>
              <w:right w:val="single" w:sz="4" w:space="0" w:color="auto"/>
            </w:tcBorders>
            <w:vAlign w:val="bottom"/>
          </w:tcPr>
          <w:p w:rsidR="00526770" w:rsidRPr="00526770" w:rsidRDefault="00526770" w:rsidP="007A269C">
            <w:pPr>
              <w:jc w:val="center"/>
              <w:rPr>
                <w:rFonts w:asciiTheme="minorHAnsi" w:hAnsiTheme="minorHAnsi" w:cstheme="minorHAnsi"/>
                <w:b/>
                <w:bCs/>
                <w:kern w:val="0"/>
                <w:sz w:val="24"/>
                <w:szCs w:val="24"/>
                <w:lang w:val="en-IN" w:eastAsia="en-IN"/>
              </w:rPr>
            </w:pPr>
            <w:r w:rsidRPr="00526770">
              <w:rPr>
                <w:rFonts w:asciiTheme="minorHAnsi" w:hAnsiTheme="minorHAnsi" w:cstheme="minorHAnsi"/>
                <w:b/>
                <w:bCs/>
                <w:sz w:val="24"/>
                <w:szCs w:val="24"/>
              </w:rPr>
              <w:t>Bilateral Infiltrates</w:t>
            </w:r>
          </w:p>
        </w:tc>
      </w:tr>
      <w:tr w:rsidR="00FB0AE6" w:rsidRPr="00526770" w:rsidTr="00CF00D9">
        <w:trPr>
          <w:trHeight w:val="288"/>
        </w:trPr>
        <w:tc>
          <w:tcPr>
            <w:tcW w:w="906" w:type="pct"/>
            <w:tcBorders>
              <w:top w:val="nil"/>
              <w:left w:val="single" w:sz="4" w:space="0" w:color="auto"/>
              <w:bottom w:val="single" w:sz="4" w:space="0" w:color="auto"/>
              <w:right w:val="single" w:sz="4" w:space="0" w:color="auto"/>
            </w:tcBorders>
            <w:vAlign w:val="bottom"/>
          </w:tcPr>
          <w:p w:rsidR="00FB0AE6" w:rsidRPr="00526770" w:rsidRDefault="00FB0AE6" w:rsidP="00FB0AE6">
            <w:pPr>
              <w:rPr>
                <w:rFonts w:asciiTheme="minorHAnsi" w:hAnsiTheme="minorHAnsi" w:cstheme="minorHAnsi"/>
                <w:sz w:val="24"/>
                <w:szCs w:val="24"/>
              </w:rPr>
            </w:pPr>
            <w:r w:rsidRPr="00526770">
              <w:rPr>
                <w:rFonts w:asciiTheme="minorHAnsi" w:hAnsiTheme="minorHAnsi" w:cstheme="minorHAnsi"/>
                <w:sz w:val="24"/>
                <w:szCs w:val="24"/>
              </w:rPr>
              <w:t>Chen, T et al. (a)</w:t>
            </w:r>
          </w:p>
        </w:tc>
        <w:tc>
          <w:tcPr>
            <w:tcW w:w="476" w:type="pct"/>
            <w:tcBorders>
              <w:top w:val="nil"/>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55</w:t>
            </w:r>
          </w:p>
        </w:tc>
        <w:tc>
          <w:tcPr>
            <w:tcW w:w="477" w:type="pct"/>
            <w:tcBorders>
              <w:top w:val="nil"/>
              <w:left w:val="nil"/>
              <w:bottom w:val="single" w:sz="4" w:space="0" w:color="auto"/>
              <w:right w:val="single" w:sz="4" w:space="0" w:color="auto"/>
            </w:tcBorders>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20</w:t>
            </w:r>
          </w:p>
        </w:tc>
        <w:tc>
          <w:tcPr>
            <w:tcW w:w="525" w:type="pct"/>
            <w:tcBorders>
              <w:top w:val="nil"/>
              <w:left w:val="nil"/>
              <w:bottom w:val="single" w:sz="4" w:space="0" w:color="auto"/>
              <w:right w:val="single" w:sz="4" w:space="0" w:color="auto"/>
            </w:tcBorders>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10</w:t>
            </w:r>
          </w:p>
        </w:tc>
        <w:tc>
          <w:tcPr>
            <w:tcW w:w="572" w:type="pct"/>
            <w:tcBorders>
              <w:top w:val="single" w:sz="4" w:space="0" w:color="auto"/>
              <w:left w:val="nil"/>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45</w:t>
            </w:r>
          </w:p>
        </w:tc>
        <w:tc>
          <w:tcPr>
            <w:tcW w:w="57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9</w:t>
            </w:r>
          </w:p>
        </w:tc>
        <w:tc>
          <w:tcPr>
            <w:tcW w:w="476" w:type="pct"/>
            <w:tcBorders>
              <w:top w:val="single" w:sz="4" w:space="0" w:color="auto"/>
              <w:left w:val="single" w:sz="4" w:space="0" w:color="auto"/>
              <w:bottom w:val="single" w:sz="4" w:space="0" w:color="auto"/>
              <w:right w:val="single" w:sz="4" w:space="0" w:color="auto"/>
            </w:tcBorders>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490" w:type="pct"/>
            <w:tcBorders>
              <w:top w:val="single" w:sz="4" w:space="0" w:color="auto"/>
              <w:left w:val="single" w:sz="4" w:space="0" w:color="auto"/>
              <w:bottom w:val="single" w:sz="4" w:space="0" w:color="auto"/>
              <w:right w:val="single" w:sz="4" w:space="0" w:color="auto"/>
            </w:tcBorders>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04" w:type="pct"/>
            <w:tcBorders>
              <w:top w:val="single" w:sz="4" w:space="0" w:color="auto"/>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54</w:t>
            </w:r>
          </w:p>
        </w:tc>
      </w:tr>
      <w:tr w:rsidR="007A269C" w:rsidRPr="00526770" w:rsidTr="007A269C">
        <w:trPr>
          <w:trHeight w:val="288"/>
        </w:trPr>
        <w:tc>
          <w:tcPr>
            <w:tcW w:w="906" w:type="pct"/>
            <w:tcBorders>
              <w:top w:val="nil"/>
              <w:left w:val="single" w:sz="4" w:space="0" w:color="auto"/>
              <w:bottom w:val="single" w:sz="4" w:space="0" w:color="auto"/>
              <w:right w:val="single" w:sz="4" w:space="0" w:color="auto"/>
            </w:tcBorders>
            <w:shd w:val="clear" w:color="FFFFFF" w:fill="FFFFFF"/>
            <w:vAlign w:val="bottom"/>
          </w:tcPr>
          <w:p w:rsidR="00526770" w:rsidRPr="00526770" w:rsidRDefault="00526770" w:rsidP="00884110">
            <w:pPr>
              <w:rPr>
                <w:rFonts w:asciiTheme="minorHAnsi" w:hAnsiTheme="minorHAnsi" w:cstheme="minorHAnsi"/>
                <w:sz w:val="24"/>
                <w:szCs w:val="24"/>
              </w:rPr>
            </w:pPr>
            <w:r w:rsidRPr="00526770">
              <w:rPr>
                <w:rFonts w:asciiTheme="minorHAnsi" w:hAnsiTheme="minorHAnsi" w:cstheme="minorHAnsi"/>
                <w:sz w:val="24"/>
                <w:szCs w:val="24"/>
              </w:rPr>
              <w:t>Feng, Y et al.</w:t>
            </w:r>
          </w:p>
        </w:tc>
        <w:tc>
          <w:tcPr>
            <w:tcW w:w="476" w:type="pct"/>
            <w:tcBorders>
              <w:top w:val="nil"/>
              <w:left w:val="single" w:sz="4" w:space="0" w:color="auto"/>
              <w:bottom w:val="single" w:sz="4" w:space="0" w:color="auto"/>
              <w:right w:val="single" w:sz="4" w:space="0" w:color="auto"/>
            </w:tcBorders>
            <w:shd w:val="clear" w:color="FFFFFF" w:fill="FFFFFF"/>
            <w:vAlign w:val="bottom"/>
          </w:tcPr>
          <w:p w:rsidR="00526770" w:rsidRPr="00FB0AE6" w:rsidRDefault="00526770" w:rsidP="00FB0AE6">
            <w:pPr>
              <w:jc w:val="right"/>
              <w:rPr>
                <w:rFonts w:asciiTheme="minorHAnsi" w:hAnsiTheme="minorHAnsi" w:cstheme="minorHAnsi"/>
                <w:sz w:val="22"/>
                <w:szCs w:val="22"/>
              </w:rPr>
            </w:pPr>
            <w:r w:rsidRPr="00FB0AE6">
              <w:rPr>
                <w:rFonts w:asciiTheme="minorHAnsi" w:hAnsiTheme="minorHAnsi" w:cstheme="minorHAnsi"/>
                <w:sz w:val="22"/>
                <w:szCs w:val="22"/>
              </w:rPr>
              <w:t>118</w:t>
            </w:r>
          </w:p>
        </w:tc>
        <w:tc>
          <w:tcPr>
            <w:tcW w:w="477" w:type="pct"/>
            <w:tcBorders>
              <w:top w:val="nil"/>
              <w:left w:val="nil"/>
              <w:bottom w:val="single" w:sz="4" w:space="0" w:color="auto"/>
              <w:right w:val="single" w:sz="4" w:space="0" w:color="auto"/>
            </w:tcBorders>
            <w:shd w:val="clear" w:color="FFFFFF" w:fill="FFFFFF"/>
            <w:noWrap/>
            <w:vAlign w:val="bottom"/>
            <w:hideMark/>
          </w:tcPr>
          <w:p w:rsidR="00526770" w:rsidRPr="00FB0AE6" w:rsidRDefault="00526770"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9</w:t>
            </w:r>
          </w:p>
        </w:tc>
        <w:tc>
          <w:tcPr>
            <w:tcW w:w="525" w:type="pct"/>
            <w:tcBorders>
              <w:top w:val="nil"/>
              <w:left w:val="nil"/>
              <w:bottom w:val="single" w:sz="4" w:space="0" w:color="auto"/>
              <w:right w:val="single" w:sz="4" w:space="0" w:color="auto"/>
            </w:tcBorders>
            <w:shd w:val="clear" w:color="FFFFFF" w:fill="FFFFFF"/>
            <w:noWrap/>
            <w:vAlign w:val="bottom"/>
            <w:hideMark/>
          </w:tcPr>
          <w:p w:rsidR="00526770" w:rsidRPr="00FB0AE6" w:rsidRDefault="00526770"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24</w:t>
            </w:r>
          </w:p>
        </w:tc>
        <w:tc>
          <w:tcPr>
            <w:tcW w:w="572" w:type="pct"/>
            <w:tcBorders>
              <w:top w:val="single" w:sz="4" w:space="0" w:color="auto"/>
              <w:left w:val="nil"/>
              <w:bottom w:val="single" w:sz="4" w:space="0" w:color="auto"/>
              <w:right w:val="single" w:sz="4" w:space="0" w:color="auto"/>
            </w:tcBorders>
            <w:shd w:val="clear" w:color="FFFFFF" w:fill="FFFFFF"/>
            <w:vAlign w:val="bottom"/>
          </w:tcPr>
          <w:p w:rsidR="00526770" w:rsidRPr="00FB0AE6" w:rsidRDefault="00526770"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70</w:t>
            </w:r>
          </w:p>
        </w:tc>
        <w:tc>
          <w:tcPr>
            <w:tcW w:w="573" w:type="pct"/>
            <w:tcBorders>
              <w:top w:val="single" w:sz="4" w:space="0" w:color="auto"/>
              <w:left w:val="single" w:sz="4" w:space="0" w:color="auto"/>
              <w:bottom w:val="single" w:sz="4" w:space="0" w:color="auto"/>
              <w:right w:val="single" w:sz="4" w:space="0" w:color="auto"/>
            </w:tcBorders>
            <w:shd w:val="clear" w:color="FFFFFF" w:fill="FFFFFF"/>
            <w:noWrap/>
            <w:vAlign w:val="bottom"/>
            <w:hideMark/>
          </w:tcPr>
          <w:p w:rsidR="00526770" w:rsidRPr="00FB0AE6" w:rsidRDefault="00FB0AE6" w:rsidP="00FB0AE6">
            <w:pPr>
              <w:jc w:val="right"/>
              <w:rPr>
                <w:rFonts w:asciiTheme="minorHAnsi" w:hAnsiTheme="minorHAnsi" w:cstheme="minorHAnsi"/>
                <w:kern w:val="0"/>
                <w:sz w:val="22"/>
                <w:szCs w:val="22"/>
                <w:lang w:val="en-IN" w:eastAsia="en-IN"/>
              </w:rPr>
            </w:pPr>
            <w:r w:rsidRPr="00FB0AE6">
              <w:rPr>
                <w:rFonts w:ascii="Calibri" w:hAnsi="Calibri" w:cs="Calibri"/>
                <w:bCs/>
                <w:color w:val="auto"/>
                <w:kern w:val="0"/>
                <w:sz w:val="22"/>
                <w:szCs w:val="22"/>
                <w:lang w:val="en-IN" w:eastAsia="en-IN"/>
              </w:rPr>
              <w:t>..</w:t>
            </w:r>
            <w:r w:rsidR="00526770" w:rsidRPr="00FB0AE6">
              <w:rPr>
                <w:rFonts w:asciiTheme="minorHAnsi" w:hAnsiTheme="minorHAnsi" w:cstheme="minorHAnsi"/>
                <w:kern w:val="0"/>
                <w:sz w:val="22"/>
                <w:szCs w:val="22"/>
                <w:lang w:val="en-IN" w:eastAsia="en-IN"/>
              </w:rPr>
              <w:t> </w:t>
            </w:r>
          </w:p>
        </w:tc>
        <w:tc>
          <w:tcPr>
            <w:tcW w:w="476" w:type="pct"/>
            <w:tcBorders>
              <w:top w:val="single" w:sz="4" w:space="0" w:color="auto"/>
              <w:left w:val="single" w:sz="4" w:space="0" w:color="auto"/>
              <w:bottom w:val="single" w:sz="4" w:space="0" w:color="auto"/>
              <w:right w:val="single" w:sz="4" w:space="0" w:color="auto"/>
            </w:tcBorders>
            <w:shd w:val="clear" w:color="FFFFFF" w:fill="FFFFFF"/>
            <w:vAlign w:val="bottom"/>
          </w:tcPr>
          <w:p w:rsidR="00526770" w:rsidRPr="00FB0AE6" w:rsidRDefault="00526770" w:rsidP="00FB0AE6">
            <w:pPr>
              <w:jc w:val="right"/>
              <w:rPr>
                <w:rFonts w:asciiTheme="minorHAnsi" w:hAnsiTheme="minorHAnsi" w:cstheme="minorHAnsi"/>
                <w:sz w:val="22"/>
                <w:szCs w:val="22"/>
              </w:rPr>
            </w:pPr>
            <w:r w:rsidRPr="00FB0AE6">
              <w:rPr>
                <w:rFonts w:asciiTheme="minorHAnsi" w:hAnsiTheme="minorHAnsi" w:cstheme="minorHAnsi"/>
                <w:sz w:val="22"/>
                <w:szCs w:val="22"/>
              </w:rPr>
              <w:t>13</w:t>
            </w:r>
          </w:p>
        </w:tc>
        <w:tc>
          <w:tcPr>
            <w:tcW w:w="490" w:type="pct"/>
            <w:tcBorders>
              <w:top w:val="single" w:sz="4" w:space="0" w:color="auto"/>
              <w:left w:val="single" w:sz="4" w:space="0" w:color="auto"/>
              <w:bottom w:val="single" w:sz="4" w:space="0" w:color="auto"/>
              <w:right w:val="single" w:sz="4" w:space="0" w:color="auto"/>
            </w:tcBorders>
            <w:shd w:val="clear" w:color="FFFFFF" w:fill="FFFFFF"/>
            <w:vAlign w:val="bottom"/>
          </w:tcPr>
          <w:p w:rsidR="00526770" w:rsidRPr="00FB0AE6" w:rsidRDefault="00FB0AE6" w:rsidP="00FB0AE6">
            <w:pPr>
              <w:jc w:val="right"/>
              <w:rPr>
                <w:rFonts w:asciiTheme="minorHAnsi" w:hAnsiTheme="minorHAnsi" w:cstheme="minorHAnsi"/>
                <w:sz w:val="22"/>
                <w:szCs w:val="22"/>
              </w:rPr>
            </w:pPr>
            <w:r w:rsidRPr="00FB0AE6">
              <w:rPr>
                <w:rFonts w:ascii="Calibri" w:hAnsi="Calibri" w:cs="Calibri"/>
                <w:bCs/>
                <w:color w:val="auto"/>
                <w:kern w:val="0"/>
                <w:sz w:val="22"/>
                <w:szCs w:val="22"/>
                <w:lang w:val="en-IN" w:eastAsia="en-IN"/>
              </w:rPr>
              <w:t>..</w:t>
            </w:r>
            <w:r w:rsidR="00526770" w:rsidRPr="00FB0AE6">
              <w:rPr>
                <w:rFonts w:asciiTheme="minorHAnsi" w:hAnsiTheme="minorHAnsi" w:cstheme="minorHAnsi"/>
                <w:sz w:val="22"/>
                <w:szCs w:val="22"/>
              </w:rPr>
              <w:t> </w:t>
            </w:r>
          </w:p>
        </w:tc>
        <w:tc>
          <w:tcPr>
            <w:tcW w:w="504" w:type="pct"/>
            <w:tcBorders>
              <w:top w:val="single" w:sz="4" w:space="0" w:color="auto"/>
              <w:left w:val="single" w:sz="4" w:space="0" w:color="auto"/>
              <w:bottom w:val="single" w:sz="4" w:space="0" w:color="auto"/>
              <w:right w:val="single" w:sz="4" w:space="0" w:color="auto"/>
            </w:tcBorders>
            <w:shd w:val="clear" w:color="FFFFFF" w:fill="FFFFFF"/>
            <w:vAlign w:val="bottom"/>
          </w:tcPr>
          <w:p w:rsidR="00526770" w:rsidRPr="00FB0AE6" w:rsidRDefault="00526770" w:rsidP="00FB0AE6">
            <w:pPr>
              <w:jc w:val="right"/>
              <w:rPr>
                <w:rFonts w:asciiTheme="minorHAnsi" w:hAnsiTheme="minorHAnsi" w:cstheme="minorHAnsi"/>
                <w:sz w:val="22"/>
                <w:szCs w:val="22"/>
              </w:rPr>
            </w:pPr>
            <w:r w:rsidRPr="00FB0AE6">
              <w:rPr>
                <w:rFonts w:asciiTheme="minorHAnsi" w:hAnsiTheme="minorHAnsi" w:cstheme="minorHAnsi"/>
                <w:sz w:val="22"/>
                <w:szCs w:val="22"/>
              </w:rPr>
              <w:t>105</w:t>
            </w:r>
          </w:p>
        </w:tc>
      </w:tr>
      <w:tr w:rsidR="00FB0AE6" w:rsidRPr="00526770" w:rsidTr="00CF00D9">
        <w:trPr>
          <w:trHeight w:val="288"/>
        </w:trPr>
        <w:tc>
          <w:tcPr>
            <w:tcW w:w="906" w:type="pct"/>
            <w:tcBorders>
              <w:top w:val="nil"/>
              <w:left w:val="single" w:sz="4" w:space="0" w:color="auto"/>
              <w:bottom w:val="single" w:sz="4" w:space="0" w:color="auto"/>
              <w:right w:val="single" w:sz="4" w:space="0" w:color="auto"/>
            </w:tcBorders>
            <w:vAlign w:val="bottom"/>
          </w:tcPr>
          <w:p w:rsidR="00FB0AE6" w:rsidRPr="00526770" w:rsidRDefault="00FB0AE6" w:rsidP="00FB0AE6">
            <w:pPr>
              <w:rPr>
                <w:rFonts w:asciiTheme="minorHAnsi" w:hAnsiTheme="minorHAnsi" w:cstheme="minorHAnsi"/>
                <w:sz w:val="24"/>
                <w:szCs w:val="24"/>
              </w:rPr>
            </w:pPr>
            <w:proofErr w:type="spellStart"/>
            <w:r w:rsidRPr="00526770">
              <w:rPr>
                <w:rFonts w:asciiTheme="minorHAnsi" w:hAnsiTheme="minorHAnsi" w:cstheme="minorHAnsi"/>
                <w:sz w:val="24"/>
                <w:szCs w:val="24"/>
              </w:rPr>
              <w:t>Fernández</w:t>
            </w:r>
            <w:proofErr w:type="spellEnd"/>
            <w:r w:rsidRPr="00526770">
              <w:rPr>
                <w:rFonts w:asciiTheme="minorHAnsi" w:hAnsiTheme="minorHAnsi" w:cstheme="minorHAnsi"/>
                <w:sz w:val="24"/>
                <w:szCs w:val="24"/>
              </w:rPr>
              <w:t>-Ruiz, M et al.</w:t>
            </w:r>
          </w:p>
        </w:tc>
        <w:tc>
          <w:tcPr>
            <w:tcW w:w="476" w:type="pct"/>
            <w:tcBorders>
              <w:top w:val="nil"/>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15</w:t>
            </w:r>
          </w:p>
        </w:tc>
        <w:tc>
          <w:tcPr>
            <w:tcW w:w="477" w:type="pct"/>
            <w:tcBorders>
              <w:top w:val="nil"/>
              <w:left w:val="nil"/>
              <w:bottom w:val="single" w:sz="4" w:space="0" w:color="auto"/>
              <w:right w:val="single" w:sz="4" w:space="0" w:color="auto"/>
            </w:tcBorders>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25" w:type="pct"/>
            <w:tcBorders>
              <w:top w:val="nil"/>
              <w:left w:val="nil"/>
              <w:bottom w:val="single" w:sz="4" w:space="0" w:color="auto"/>
              <w:right w:val="single" w:sz="4" w:space="0" w:color="auto"/>
            </w:tcBorders>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72" w:type="pct"/>
            <w:tcBorders>
              <w:top w:val="single" w:sz="4" w:space="0" w:color="auto"/>
              <w:left w:val="nil"/>
              <w:bottom w:val="single" w:sz="4" w:space="0" w:color="auto"/>
              <w:right w:val="single" w:sz="4" w:space="0" w:color="auto"/>
            </w:tcBorders>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73" w:type="pct"/>
            <w:tcBorders>
              <w:top w:val="single" w:sz="4" w:space="0" w:color="auto"/>
              <w:left w:val="single" w:sz="4" w:space="0" w:color="auto"/>
              <w:bottom w:val="single" w:sz="4" w:space="0" w:color="auto"/>
              <w:right w:val="single" w:sz="4" w:space="0" w:color="auto"/>
            </w:tcBorders>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476" w:type="pct"/>
            <w:tcBorders>
              <w:top w:val="single" w:sz="4" w:space="0" w:color="auto"/>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5</w:t>
            </w:r>
          </w:p>
        </w:tc>
        <w:tc>
          <w:tcPr>
            <w:tcW w:w="490" w:type="pct"/>
            <w:tcBorders>
              <w:top w:val="single" w:sz="4" w:space="0" w:color="auto"/>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3</w:t>
            </w:r>
          </w:p>
        </w:tc>
        <w:tc>
          <w:tcPr>
            <w:tcW w:w="504" w:type="pct"/>
            <w:tcBorders>
              <w:top w:val="single" w:sz="4" w:space="0" w:color="auto"/>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4</w:t>
            </w:r>
          </w:p>
        </w:tc>
      </w:tr>
      <w:tr w:rsidR="00FB0AE6" w:rsidRPr="00526770" w:rsidTr="00CF00D9">
        <w:trPr>
          <w:trHeight w:val="288"/>
        </w:trPr>
        <w:tc>
          <w:tcPr>
            <w:tcW w:w="906" w:type="pct"/>
            <w:tcBorders>
              <w:top w:val="nil"/>
              <w:left w:val="single" w:sz="4" w:space="0" w:color="auto"/>
              <w:bottom w:val="single" w:sz="4" w:space="0" w:color="auto"/>
              <w:right w:val="single" w:sz="4" w:space="0" w:color="auto"/>
            </w:tcBorders>
            <w:vAlign w:val="bottom"/>
          </w:tcPr>
          <w:p w:rsidR="00FB0AE6" w:rsidRPr="00526770" w:rsidRDefault="00FB0AE6" w:rsidP="00FB0AE6">
            <w:pPr>
              <w:rPr>
                <w:rFonts w:asciiTheme="minorHAnsi" w:hAnsiTheme="minorHAnsi" w:cstheme="minorHAnsi"/>
                <w:sz w:val="24"/>
                <w:szCs w:val="24"/>
              </w:rPr>
            </w:pPr>
            <w:proofErr w:type="spellStart"/>
            <w:r w:rsidRPr="00526770">
              <w:rPr>
                <w:rFonts w:asciiTheme="minorHAnsi" w:hAnsiTheme="minorHAnsi" w:cstheme="minorHAnsi"/>
                <w:sz w:val="24"/>
                <w:szCs w:val="24"/>
              </w:rPr>
              <w:t>Godaert</w:t>
            </w:r>
            <w:proofErr w:type="spellEnd"/>
            <w:r w:rsidRPr="00526770">
              <w:rPr>
                <w:rFonts w:asciiTheme="minorHAnsi" w:hAnsiTheme="minorHAnsi" w:cstheme="minorHAnsi"/>
                <w:sz w:val="24"/>
                <w:szCs w:val="24"/>
              </w:rPr>
              <w:t>, L et al.</w:t>
            </w:r>
          </w:p>
        </w:tc>
        <w:tc>
          <w:tcPr>
            <w:tcW w:w="476" w:type="pct"/>
            <w:tcBorders>
              <w:top w:val="nil"/>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17</w:t>
            </w:r>
          </w:p>
        </w:tc>
        <w:tc>
          <w:tcPr>
            <w:tcW w:w="477" w:type="pct"/>
            <w:tcBorders>
              <w:top w:val="nil"/>
              <w:left w:val="nil"/>
              <w:bottom w:val="single" w:sz="4" w:space="0" w:color="auto"/>
              <w:right w:val="single" w:sz="4" w:space="0" w:color="auto"/>
            </w:tcBorders>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25" w:type="pct"/>
            <w:tcBorders>
              <w:top w:val="nil"/>
              <w:left w:val="nil"/>
              <w:bottom w:val="single" w:sz="4" w:space="0" w:color="auto"/>
              <w:right w:val="single" w:sz="4" w:space="0" w:color="auto"/>
            </w:tcBorders>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72" w:type="pct"/>
            <w:tcBorders>
              <w:top w:val="single" w:sz="4" w:space="0" w:color="auto"/>
              <w:left w:val="nil"/>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13</w:t>
            </w:r>
          </w:p>
        </w:tc>
        <w:tc>
          <w:tcPr>
            <w:tcW w:w="57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7</w:t>
            </w:r>
          </w:p>
        </w:tc>
        <w:tc>
          <w:tcPr>
            <w:tcW w:w="476" w:type="pct"/>
            <w:tcBorders>
              <w:top w:val="single" w:sz="4" w:space="0" w:color="auto"/>
              <w:left w:val="single" w:sz="4" w:space="0" w:color="auto"/>
              <w:bottom w:val="single" w:sz="4" w:space="0" w:color="auto"/>
              <w:right w:val="single" w:sz="4" w:space="0" w:color="auto"/>
            </w:tcBorders>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490" w:type="pct"/>
            <w:tcBorders>
              <w:top w:val="single" w:sz="4" w:space="0" w:color="auto"/>
              <w:left w:val="single" w:sz="4" w:space="0" w:color="auto"/>
              <w:bottom w:val="single" w:sz="4" w:space="0" w:color="auto"/>
              <w:right w:val="single" w:sz="4" w:space="0" w:color="auto"/>
            </w:tcBorders>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04" w:type="pct"/>
            <w:tcBorders>
              <w:top w:val="single" w:sz="4" w:space="0" w:color="auto"/>
              <w:left w:val="single" w:sz="4" w:space="0" w:color="auto"/>
              <w:bottom w:val="single" w:sz="4" w:space="0" w:color="auto"/>
              <w:right w:val="single" w:sz="4" w:space="0" w:color="auto"/>
            </w:tcBorders>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r>
      <w:tr w:rsidR="007A269C" w:rsidRPr="00526770" w:rsidTr="007A269C">
        <w:trPr>
          <w:trHeight w:val="288"/>
        </w:trPr>
        <w:tc>
          <w:tcPr>
            <w:tcW w:w="906" w:type="pct"/>
            <w:tcBorders>
              <w:top w:val="nil"/>
              <w:left w:val="single" w:sz="4" w:space="0" w:color="auto"/>
              <w:bottom w:val="single" w:sz="4" w:space="0" w:color="auto"/>
              <w:right w:val="single" w:sz="4" w:space="0" w:color="auto"/>
            </w:tcBorders>
            <w:vAlign w:val="bottom"/>
          </w:tcPr>
          <w:p w:rsidR="00526770" w:rsidRPr="00526770" w:rsidRDefault="00526770" w:rsidP="00884110">
            <w:pPr>
              <w:rPr>
                <w:rFonts w:asciiTheme="minorHAnsi" w:hAnsiTheme="minorHAnsi" w:cstheme="minorHAnsi"/>
                <w:sz w:val="24"/>
                <w:szCs w:val="24"/>
              </w:rPr>
            </w:pPr>
            <w:proofErr w:type="spellStart"/>
            <w:r w:rsidRPr="00526770">
              <w:rPr>
                <w:rFonts w:asciiTheme="minorHAnsi" w:hAnsiTheme="minorHAnsi" w:cstheme="minorHAnsi"/>
                <w:sz w:val="24"/>
                <w:szCs w:val="24"/>
              </w:rPr>
              <w:t>Lian</w:t>
            </w:r>
            <w:proofErr w:type="spellEnd"/>
            <w:r w:rsidRPr="00526770">
              <w:rPr>
                <w:rFonts w:asciiTheme="minorHAnsi" w:hAnsiTheme="minorHAnsi" w:cstheme="minorHAnsi"/>
                <w:sz w:val="24"/>
                <w:szCs w:val="24"/>
              </w:rPr>
              <w:t>, J et al.</w:t>
            </w:r>
          </w:p>
        </w:tc>
        <w:tc>
          <w:tcPr>
            <w:tcW w:w="476" w:type="pct"/>
            <w:tcBorders>
              <w:top w:val="nil"/>
              <w:left w:val="single" w:sz="4" w:space="0" w:color="auto"/>
              <w:bottom w:val="single" w:sz="4" w:space="0" w:color="auto"/>
              <w:right w:val="single" w:sz="4" w:space="0" w:color="auto"/>
            </w:tcBorders>
            <w:vAlign w:val="bottom"/>
          </w:tcPr>
          <w:p w:rsidR="00526770" w:rsidRPr="00FB0AE6" w:rsidRDefault="00526770" w:rsidP="00FB0AE6">
            <w:pPr>
              <w:jc w:val="right"/>
              <w:rPr>
                <w:rFonts w:asciiTheme="minorHAnsi" w:hAnsiTheme="minorHAnsi" w:cstheme="minorHAnsi"/>
                <w:sz w:val="22"/>
                <w:szCs w:val="22"/>
              </w:rPr>
            </w:pPr>
            <w:r w:rsidRPr="00FB0AE6">
              <w:rPr>
                <w:rFonts w:asciiTheme="minorHAnsi" w:hAnsiTheme="minorHAnsi" w:cstheme="minorHAnsi"/>
                <w:sz w:val="22"/>
                <w:szCs w:val="22"/>
              </w:rPr>
              <w:t>136</w:t>
            </w:r>
          </w:p>
        </w:tc>
        <w:tc>
          <w:tcPr>
            <w:tcW w:w="477" w:type="pct"/>
            <w:tcBorders>
              <w:top w:val="nil"/>
              <w:left w:val="nil"/>
              <w:bottom w:val="single" w:sz="4" w:space="0" w:color="auto"/>
              <w:right w:val="single" w:sz="4" w:space="0" w:color="auto"/>
            </w:tcBorders>
            <w:shd w:val="clear" w:color="auto" w:fill="auto"/>
            <w:noWrap/>
            <w:vAlign w:val="bottom"/>
            <w:hideMark/>
          </w:tcPr>
          <w:p w:rsidR="00526770" w:rsidRPr="00FB0AE6" w:rsidRDefault="00526770"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38</w:t>
            </w:r>
          </w:p>
        </w:tc>
        <w:tc>
          <w:tcPr>
            <w:tcW w:w="525" w:type="pct"/>
            <w:tcBorders>
              <w:top w:val="nil"/>
              <w:left w:val="nil"/>
              <w:bottom w:val="single" w:sz="4" w:space="0" w:color="auto"/>
              <w:right w:val="single" w:sz="4" w:space="0" w:color="auto"/>
            </w:tcBorders>
            <w:shd w:val="clear" w:color="auto" w:fill="auto"/>
            <w:noWrap/>
            <w:vAlign w:val="bottom"/>
            <w:hideMark/>
          </w:tcPr>
          <w:p w:rsidR="00526770" w:rsidRPr="00FB0AE6" w:rsidRDefault="00526770"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9</w:t>
            </w:r>
          </w:p>
        </w:tc>
        <w:tc>
          <w:tcPr>
            <w:tcW w:w="572" w:type="pct"/>
            <w:tcBorders>
              <w:top w:val="single" w:sz="4" w:space="0" w:color="auto"/>
              <w:left w:val="nil"/>
              <w:bottom w:val="single" w:sz="4" w:space="0" w:color="auto"/>
              <w:right w:val="single" w:sz="4" w:space="0" w:color="auto"/>
            </w:tcBorders>
            <w:vAlign w:val="bottom"/>
          </w:tcPr>
          <w:p w:rsidR="00526770" w:rsidRPr="00FB0AE6" w:rsidRDefault="00526770"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42</w:t>
            </w:r>
          </w:p>
        </w:tc>
        <w:tc>
          <w:tcPr>
            <w:tcW w:w="57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6770" w:rsidRPr="00FB0AE6" w:rsidRDefault="00526770"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7</w:t>
            </w:r>
          </w:p>
        </w:tc>
        <w:tc>
          <w:tcPr>
            <w:tcW w:w="476" w:type="pct"/>
            <w:tcBorders>
              <w:top w:val="single" w:sz="4" w:space="0" w:color="auto"/>
              <w:left w:val="single" w:sz="4" w:space="0" w:color="auto"/>
              <w:bottom w:val="single" w:sz="4" w:space="0" w:color="auto"/>
              <w:right w:val="single" w:sz="4" w:space="0" w:color="auto"/>
            </w:tcBorders>
            <w:vAlign w:val="bottom"/>
          </w:tcPr>
          <w:p w:rsidR="00526770" w:rsidRPr="00FB0AE6" w:rsidRDefault="00526770" w:rsidP="00FB0AE6">
            <w:pPr>
              <w:jc w:val="right"/>
              <w:rPr>
                <w:rFonts w:asciiTheme="minorHAnsi" w:hAnsiTheme="minorHAnsi" w:cstheme="minorHAnsi"/>
                <w:sz w:val="22"/>
                <w:szCs w:val="22"/>
              </w:rPr>
            </w:pPr>
            <w:r w:rsidRPr="00FB0AE6">
              <w:rPr>
                <w:rFonts w:asciiTheme="minorHAnsi" w:hAnsiTheme="minorHAnsi" w:cstheme="minorHAnsi"/>
                <w:sz w:val="22"/>
                <w:szCs w:val="22"/>
              </w:rPr>
              <w:t>15</w:t>
            </w:r>
          </w:p>
        </w:tc>
        <w:tc>
          <w:tcPr>
            <w:tcW w:w="490" w:type="pct"/>
            <w:tcBorders>
              <w:top w:val="single" w:sz="4" w:space="0" w:color="auto"/>
              <w:left w:val="single" w:sz="4" w:space="0" w:color="auto"/>
              <w:bottom w:val="single" w:sz="4" w:space="0" w:color="auto"/>
              <w:right w:val="single" w:sz="4" w:space="0" w:color="auto"/>
            </w:tcBorders>
            <w:vAlign w:val="bottom"/>
          </w:tcPr>
          <w:p w:rsidR="00526770" w:rsidRPr="00FB0AE6" w:rsidRDefault="00526770" w:rsidP="00FB0AE6">
            <w:pPr>
              <w:jc w:val="right"/>
              <w:rPr>
                <w:rFonts w:asciiTheme="minorHAnsi" w:hAnsiTheme="minorHAnsi" w:cstheme="minorHAnsi"/>
                <w:sz w:val="22"/>
                <w:szCs w:val="22"/>
              </w:rPr>
            </w:pPr>
            <w:r w:rsidRPr="00FB0AE6">
              <w:rPr>
                <w:rFonts w:asciiTheme="minorHAnsi" w:hAnsiTheme="minorHAnsi" w:cstheme="minorHAnsi"/>
                <w:sz w:val="22"/>
                <w:szCs w:val="22"/>
              </w:rPr>
              <w:t>59</w:t>
            </w:r>
          </w:p>
        </w:tc>
        <w:tc>
          <w:tcPr>
            <w:tcW w:w="504" w:type="pct"/>
            <w:tcBorders>
              <w:top w:val="single" w:sz="4" w:space="0" w:color="auto"/>
              <w:left w:val="single" w:sz="4" w:space="0" w:color="auto"/>
              <w:bottom w:val="single" w:sz="4" w:space="0" w:color="auto"/>
              <w:right w:val="single" w:sz="4" w:space="0" w:color="auto"/>
            </w:tcBorders>
            <w:vAlign w:val="bottom"/>
          </w:tcPr>
          <w:p w:rsidR="00526770" w:rsidRPr="00FB0AE6" w:rsidRDefault="00526770" w:rsidP="00FB0AE6">
            <w:pPr>
              <w:jc w:val="right"/>
              <w:rPr>
                <w:rFonts w:asciiTheme="minorHAnsi" w:hAnsiTheme="minorHAnsi" w:cstheme="minorHAnsi"/>
                <w:sz w:val="22"/>
                <w:szCs w:val="22"/>
              </w:rPr>
            </w:pPr>
            <w:r w:rsidRPr="00FB0AE6">
              <w:rPr>
                <w:rFonts w:asciiTheme="minorHAnsi" w:hAnsiTheme="minorHAnsi" w:cstheme="minorHAnsi"/>
                <w:sz w:val="22"/>
                <w:szCs w:val="22"/>
              </w:rPr>
              <w:t>57</w:t>
            </w:r>
          </w:p>
        </w:tc>
      </w:tr>
      <w:tr w:rsidR="00FB0AE6" w:rsidRPr="00526770" w:rsidTr="00CF00D9">
        <w:trPr>
          <w:trHeight w:val="288"/>
        </w:trPr>
        <w:tc>
          <w:tcPr>
            <w:tcW w:w="906" w:type="pct"/>
            <w:tcBorders>
              <w:top w:val="nil"/>
              <w:left w:val="single" w:sz="4" w:space="0" w:color="auto"/>
              <w:bottom w:val="single" w:sz="4" w:space="0" w:color="auto"/>
              <w:right w:val="single" w:sz="4" w:space="0" w:color="auto"/>
            </w:tcBorders>
            <w:vAlign w:val="bottom"/>
          </w:tcPr>
          <w:p w:rsidR="00FB0AE6" w:rsidRPr="00526770" w:rsidRDefault="00FB0AE6" w:rsidP="00FB0AE6">
            <w:pPr>
              <w:rPr>
                <w:rFonts w:asciiTheme="minorHAnsi" w:hAnsiTheme="minorHAnsi" w:cstheme="minorHAnsi"/>
                <w:sz w:val="24"/>
                <w:szCs w:val="24"/>
              </w:rPr>
            </w:pPr>
            <w:r w:rsidRPr="00526770">
              <w:rPr>
                <w:rFonts w:asciiTheme="minorHAnsi" w:hAnsiTheme="minorHAnsi" w:cstheme="minorHAnsi"/>
                <w:sz w:val="24"/>
                <w:szCs w:val="24"/>
              </w:rPr>
              <w:t>Liu, K et al.</w:t>
            </w:r>
          </w:p>
        </w:tc>
        <w:tc>
          <w:tcPr>
            <w:tcW w:w="476" w:type="pct"/>
            <w:tcBorders>
              <w:top w:val="nil"/>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18</w:t>
            </w:r>
          </w:p>
        </w:tc>
        <w:tc>
          <w:tcPr>
            <w:tcW w:w="477" w:type="pct"/>
            <w:tcBorders>
              <w:top w:val="nil"/>
              <w:left w:val="nil"/>
              <w:bottom w:val="single" w:sz="4" w:space="0" w:color="auto"/>
              <w:right w:val="single" w:sz="4" w:space="0" w:color="auto"/>
            </w:tcBorders>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3</w:t>
            </w:r>
          </w:p>
        </w:tc>
        <w:tc>
          <w:tcPr>
            <w:tcW w:w="525" w:type="pct"/>
            <w:tcBorders>
              <w:top w:val="nil"/>
              <w:left w:val="nil"/>
              <w:bottom w:val="single" w:sz="4" w:space="0" w:color="auto"/>
              <w:right w:val="single" w:sz="4" w:space="0" w:color="auto"/>
            </w:tcBorders>
            <w:shd w:val="clear" w:color="auto" w:fill="auto"/>
            <w:noWrap/>
            <w:vAlign w:val="bottom"/>
            <w:hideMark/>
          </w:tcPr>
          <w:p w:rsidR="00FB0AE6" w:rsidRPr="00FB0AE6" w:rsidRDefault="00FB0AE6" w:rsidP="00FB0AE6">
            <w:pPr>
              <w:jc w:val="right"/>
              <w:rPr>
                <w:rFonts w:asciiTheme="minorHAnsi" w:hAnsiTheme="minorHAnsi" w:cstheme="minorHAnsi"/>
                <w:kern w:val="0"/>
                <w:sz w:val="22"/>
                <w:szCs w:val="22"/>
                <w:lang w:val="en-IN" w:eastAsia="en-IN"/>
              </w:rPr>
            </w:pPr>
            <w:r w:rsidRPr="00FB0AE6">
              <w:rPr>
                <w:rFonts w:asciiTheme="minorHAnsi" w:hAnsiTheme="minorHAnsi" w:cstheme="minorHAnsi"/>
                <w:kern w:val="0"/>
                <w:sz w:val="22"/>
                <w:szCs w:val="22"/>
                <w:lang w:val="en-IN" w:eastAsia="en-IN"/>
              </w:rPr>
              <w:t>2</w:t>
            </w:r>
          </w:p>
        </w:tc>
        <w:tc>
          <w:tcPr>
            <w:tcW w:w="572" w:type="pct"/>
            <w:tcBorders>
              <w:top w:val="single" w:sz="4" w:space="0" w:color="auto"/>
              <w:left w:val="nil"/>
              <w:bottom w:val="single" w:sz="4" w:space="0" w:color="auto"/>
              <w:right w:val="single" w:sz="4" w:space="0" w:color="auto"/>
            </w:tcBorders>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73" w:type="pct"/>
            <w:tcBorders>
              <w:top w:val="single" w:sz="4" w:space="0" w:color="auto"/>
              <w:left w:val="single" w:sz="4" w:space="0" w:color="auto"/>
              <w:bottom w:val="single" w:sz="4" w:space="0" w:color="auto"/>
              <w:right w:val="single" w:sz="4" w:space="0" w:color="auto"/>
            </w:tcBorders>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476" w:type="pct"/>
            <w:tcBorders>
              <w:top w:val="single" w:sz="4" w:space="0" w:color="auto"/>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16</w:t>
            </w:r>
          </w:p>
        </w:tc>
        <w:tc>
          <w:tcPr>
            <w:tcW w:w="490" w:type="pct"/>
            <w:tcBorders>
              <w:top w:val="single" w:sz="4" w:space="0" w:color="auto"/>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2</w:t>
            </w:r>
          </w:p>
        </w:tc>
        <w:tc>
          <w:tcPr>
            <w:tcW w:w="504" w:type="pct"/>
            <w:tcBorders>
              <w:top w:val="single" w:sz="4" w:space="0" w:color="auto"/>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 </w:t>
            </w:r>
            <w:r w:rsidRPr="00FB0AE6">
              <w:rPr>
                <w:rFonts w:ascii="Calibri" w:hAnsi="Calibri" w:cs="Calibri"/>
                <w:bCs/>
                <w:color w:val="auto"/>
                <w:kern w:val="0"/>
                <w:sz w:val="22"/>
                <w:szCs w:val="22"/>
                <w:lang w:val="en-IN" w:eastAsia="en-IN"/>
              </w:rPr>
              <w:t>..</w:t>
            </w:r>
          </w:p>
        </w:tc>
      </w:tr>
      <w:tr w:rsidR="00FB0AE6" w:rsidRPr="00526770" w:rsidTr="00CF00D9">
        <w:trPr>
          <w:trHeight w:val="288"/>
        </w:trPr>
        <w:tc>
          <w:tcPr>
            <w:tcW w:w="906" w:type="pct"/>
            <w:tcBorders>
              <w:top w:val="nil"/>
              <w:left w:val="single" w:sz="4" w:space="0" w:color="auto"/>
              <w:bottom w:val="single" w:sz="4" w:space="0" w:color="auto"/>
              <w:right w:val="single" w:sz="4" w:space="0" w:color="auto"/>
            </w:tcBorders>
            <w:vAlign w:val="bottom"/>
          </w:tcPr>
          <w:p w:rsidR="00FB0AE6" w:rsidRPr="00526770" w:rsidRDefault="00FB0AE6" w:rsidP="00FB0AE6">
            <w:pPr>
              <w:rPr>
                <w:rFonts w:asciiTheme="minorHAnsi" w:hAnsiTheme="minorHAnsi" w:cstheme="minorHAnsi"/>
                <w:sz w:val="24"/>
                <w:szCs w:val="24"/>
              </w:rPr>
            </w:pPr>
            <w:r w:rsidRPr="00526770">
              <w:rPr>
                <w:rFonts w:asciiTheme="minorHAnsi" w:hAnsiTheme="minorHAnsi" w:cstheme="minorHAnsi"/>
                <w:sz w:val="24"/>
                <w:szCs w:val="24"/>
              </w:rPr>
              <w:t>Liu, Y et al.</w:t>
            </w:r>
          </w:p>
        </w:tc>
        <w:tc>
          <w:tcPr>
            <w:tcW w:w="476" w:type="pct"/>
            <w:tcBorders>
              <w:top w:val="nil"/>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85</w:t>
            </w:r>
          </w:p>
        </w:tc>
        <w:tc>
          <w:tcPr>
            <w:tcW w:w="477" w:type="pct"/>
            <w:tcBorders>
              <w:top w:val="nil"/>
              <w:left w:val="nil"/>
              <w:bottom w:val="single" w:sz="4" w:space="0" w:color="auto"/>
              <w:right w:val="single" w:sz="4" w:space="0" w:color="auto"/>
            </w:tcBorders>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25" w:type="pct"/>
            <w:tcBorders>
              <w:top w:val="nil"/>
              <w:left w:val="nil"/>
              <w:bottom w:val="single" w:sz="4" w:space="0" w:color="auto"/>
              <w:right w:val="single" w:sz="4" w:space="0" w:color="auto"/>
            </w:tcBorders>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72" w:type="pct"/>
            <w:tcBorders>
              <w:top w:val="single" w:sz="4" w:space="0" w:color="auto"/>
              <w:left w:val="nil"/>
              <w:bottom w:val="single" w:sz="4" w:space="0" w:color="auto"/>
              <w:right w:val="single" w:sz="4" w:space="0" w:color="auto"/>
            </w:tcBorders>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73" w:type="pct"/>
            <w:tcBorders>
              <w:top w:val="single" w:sz="4" w:space="0" w:color="auto"/>
              <w:left w:val="single" w:sz="4" w:space="0" w:color="auto"/>
              <w:bottom w:val="single" w:sz="4" w:space="0" w:color="auto"/>
              <w:right w:val="single" w:sz="4" w:space="0" w:color="auto"/>
            </w:tcBorders>
            <w:shd w:val="clear" w:color="auto" w:fill="auto"/>
            <w:noWrap/>
            <w:hideMark/>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476" w:type="pct"/>
            <w:tcBorders>
              <w:top w:val="single" w:sz="4" w:space="0" w:color="auto"/>
              <w:left w:val="single" w:sz="4" w:space="0" w:color="auto"/>
              <w:bottom w:val="single" w:sz="4" w:space="0" w:color="auto"/>
              <w:right w:val="single" w:sz="4" w:space="0" w:color="auto"/>
            </w:tcBorders>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490" w:type="pct"/>
            <w:tcBorders>
              <w:top w:val="single" w:sz="4" w:space="0" w:color="auto"/>
              <w:left w:val="single" w:sz="4" w:space="0" w:color="auto"/>
              <w:bottom w:val="single" w:sz="4" w:space="0" w:color="auto"/>
              <w:right w:val="single" w:sz="4" w:space="0" w:color="auto"/>
            </w:tcBorders>
          </w:tcPr>
          <w:p w:rsidR="00FB0AE6" w:rsidRPr="00FB0AE6" w:rsidRDefault="00FB0AE6" w:rsidP="00FB0AE6">
            <w:pPr>
              <w:jc w:val="right"/>
              <w:rPr>
                <w:sz w:val="22"/>
                <w:szCs w:val="22"/>
              </w:rPr>
            </w:pPr>
            <w:r w:rsidRPr="00FB0AE6">
              <w:rPr>
                <w:rFonts w:ascii="Calibri" w:hAnsi="Calibri" w:cs="Calibri"/>
                <w:bCs/>
                <w:color w:val="auto"/>
                <w:kern w:val="0"/>
                <w:sz w:val="22"/>
                <w:szCs w:val="22"/>
                <w:lang w:val="en-IN" w:eastAsia="en-IN"/>
              </w:rPr>
              <w:t>..</w:t>
            </w:r>
          </w:p>
        </w:tc>
        <w:tc>
          <w:tcPr>
            <w:tcW w:w="504" w:type="pct"/>
            <w:tcBorders>
              <w:top w:val="single" w:sz="4" w:space="0" w:color="auto"/>
              <w:left w:val="single" w:sz="4" w:space="0" w:color="auto"/>
              <w:bottom w:val="single" w:sz="4" w:space="0" w:color="auto"/>
              <w:right w:val="single" w:sz="4" w:space="0" w:color="auto"/>
            </w:tcBorders>
            <w:vAlign w:val="bottom"/>
          </w:tcPr>
          <w:p w:rsidR="00FB0AE6" w:rsidRPr="00FB0AE6" w:rsidRDefault="00FB0AE6" w:rsidP="00FB0AE6">
            <w:pPr>
              <w:jc w:val="right"/>
              <w:rPr>
                <w:rFonts w:asciiTheme="minorHAnsi" w:hAnsiTheme="minorHAnsi" w:cstheme="minorHAnsi"/>
                <w:sz w:val="22"/>
                <w:szCs w:val="22"/>
              </w:rPr>
            </w:pPr>
            <w:r w:rsidRPr="00FB0AE6">
              <w:rPr>
                <w:rFonts w:asciiTheme="minorHAnsi" w:hAnsiTheme="minorHAnsi" w:cstheme="minorHAnsi"/>
                <w:sz w:val="22"/>
                <w:szCs w:val="22"/>
              </w:rPr>
              <w:t>76</w:t>
            </w:r>
          </w:p>
        </w:tc>
      </w:tr>
    </w:tbl>
    <w:p w:rsidR="00526770" w:rsidRDefault="00526770" w:rsidP="00D967ED">
      <w:pPr>
        <w:tabs>
          <w:tab w:val="left" w:pos="2292"/>
        </w:tabs>
        <w:rPr>
          <w:rFonts w:ascii="Calibri" w:hAnsi="Calibri" w:cs="Calibri"/>
          <w:sz w:val="22"/>
          <w:szCs w:val="22"/>
        </w:rPr>
      </w:pPr>
    </w:p>
    <w:p w:rsidR="00C2051A" w:rsidRDefault="00C2051A">
      <w:pPr>
        <w:spacing w:after="160" w:line="259" w:lineRule="auto"/>
        <w:rPr>
          <w:rFonts w:ascii="Calibri" w:hAnsi="Calibri" w:cs="Calibri"/>
          <w:sz w:val="24"/>
          <w:szCs w:val="24"/>
        </w:rPr>
      </w:pPr>
      <w:r>
        <w:rPr>
          <w:rFonts w:ascii="Calibri" w:hAnsi="Calibri" w:cs="Calibri"/>
          <w:sz w:val="24"/>
          <w:szCs w:val="24"/>
        </w:rPr>
        <w:br w:type="page"/>
      </w:r>
    </w:p>
    <w:p w:rsidR="007A269C" w:rsidRPr="00C2051A" w:rsidRDefault="00CF00D9" w:rsidP="00C2051A">
      <w:pPr>
        <w:spacing w:after="160" w:line="259" w:lineRule="auto"/>
        <w:rPr>
          <w:rFonts w:ascii="Calibri" w:hAnsi="Calibri" w:cs="Calibri"/>
          <w:sz w:val="24"/>
          <w:szCs w:val="24"/>
        </w:rPr>
      </w:pPr>
      <w:r>
        <w:rPr>
          <w:rFonts w:ascii="Calibri" w:hAnsi="Calibri" w:cs="Calibri"/>
          <w:sz w:val="24"/>
          <w:szCs w:val="24"/>
        </w:rPr>
        <w:lastRenderedPageBreak/>
        <w:t>Supplementary Table S5.</w:t>
      </w:r>
      <w:r w:rsidR="007A269C" w:rsidRPr="001E5E7E">
        <w:rPr>
          <w:rFonts w:ascii="Calibri" w:hAnsi="Calibri" w:cs="Calibri"/>
          <w:sz w:val="24"/>
          <w:szCs w:val="24"/>
        </w:rPr>
        <w:t xml:space="preserve"> </w:t>
      </w:r>
      <w:r w:rsidR="007A269C">
        <w:rPr>
          <w:rFonts w:ascii="Calibri" w:hAnsi="Calibri" w:cs="Calibri"/>
          <w:sz w:val="24"/>
          <w:szCs w:val="24"/>
        </w:rPr>
        <w:t>C</w:t>
      </w:r>
      <w:r w:rsidR="007A269C" w:rsidRPr="001E5E7E">
        <w:rPr>
          <w:rFonts w:ascii="Calibri" w:hAnsi="Calibri" w:cs="Calibri"/>
          <w:sz w:val="24"/>
          <w:szCs w:val="24"/>
        </w:rPr>
        <w:t>omplications during hospital course</w:t>
      </w:r>
    </w:p>
    <w:tbl>
      <w:tblPr>
        <w:tblW w:w="123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417"/>
        <w:gridCol w:w="2268"/>
        <w:gridCol w:w="2268"/>
        <w:gridCol w:w="1276"/>
        <w:gridCol w:w="2410"/>
      </w:tblGrid>
      <w:tr w:rsidR="007A269C" w:rsidRPr="007A269C" w:rsidTr="00C2051A">
        <w:trPr>
          <w:trHeight w:val="288"/>
        </w:trPr>
        <w:tc>
          <w:tcPr>
            <w:tcW w:w="2694" w:type="dxa"/>
            <w:vAlign w:val="bottom"/>
          </w:tcPr>
          <w:p w:rsidR="007A269C" w:rsidRPr="007A269C" w:rsidRDefault="007A269C" w:rsidP="007A269C">
            <w:pPr>
              <w:jc w:val="center"/>
              <w:rPr>
                <w:rFonts w:asciiTheme="minorHAnsi" w:hAnsiTheme="minorHAnsi" w:cstheme="minorHAnsi"/>
                <w:b/>
                <w:bCs/>
                <w:color w:val="auto"/>
                <w:kern w:val="0"/>
                <w:sz w:val="24"/>
                <w:szCs w:val="24"/>
                <w:lang w:val="en-IN" w:eastAsia="en-IN"/>
              </w:rPr>
            </w:pPr>
            <w:r w:rsidRPr="007A269C">
              <w:rPr>
                <w:rFonts w:asciiTheme="minorHAnsi" w:hAnsiTheme="minorHAnsi" w:cstheme="minorHAnsi"/>
                <w:b/>
                <w:bCs/>
                <w:sz w:val="24"/>
                <w:szCs w:val="24"/>
              </w:rPr>
              <w:t>Author name</w:t>
            </w:r>
          </w:p>
        </w:tc>
        <w:tc>
          <w:tcPr>
            <w:tcW w:w="1417" w:type="dxa"/>
            <w:vAlign w:val="bottom"/>
          </w:tcPr>
          <w:p w:rsidR="007A269C" w:rsidRPr="007A269C" w:rsidRDefault="007A269C" w:rsidP="007A269C">
            <w:pPr>
              <w:jc w:val="center"/>
              <w:rPr>
                <w:rFonts w:asciiTheme="minorHAnsi" w:hAnsiTheme="minorHAnsi" w:cstheme="minorHAnsi"/>
                <w:b/>
                <w:bCs/>
                <w:sz w:val="24"/>
                <w:szCs w:val="24"/>
              </w:rPr>
            </w:pPr>
            <w:r w:rsidRPr="007A269C">
              <w:rPr>
                <w:rFonts w:asciiTheme="minorHAnsi" w:hAnsiTheme="minorHAnsi" w:cstheme="minorHAnsi"/>
                <w:b/>
                <w:bCs/>
                <w:sz w:val="24"/>
                <w:szCs w:val="24"/>
              </w:rPr>
              <w:t>n</w:t>
            </w:r>
          </w:p>
        </w:tc>
        <w:tc>
          <w:tcPr>
            <w:tcW w:w="2268" w:type="dxa"/>
            <w:vAlign w:val="bottom"/>
          </w:tcPr>
          <w:p w:rsidR="007A269C" w:rsidRPr="007A269C" w:rsidRDefault="007A269C" w:rsidP="007A269C">
            <w:pPr>
              <w:jc w:val="center"/>
              <w:rPr>
                <w:rFonts w:asciiTheme="minorHAnsi" w:hAnsiTheme="minorHAnsi" w:cstheme="minorHAnsi"/>
                <w:b/>
                <w:bCs/>
                <w:kern w:val="0"/>
                <w:sz w:val="24"/>
                <w:szCs w:val="24"/>
                <w:lang w:val="en-IN" w:eastAsia="en-IN"/>
              </w:rPr>
            </w:pPr>
            <w:r w:rsidRPr="007A269C">
              <w:rPr>
                <w:rFonts w:asciiTheme="minorHAnsi" w:hAnsiTheme="minorHAnsi" w:cstheme="minorHAnsi"/>
                <w:b/>
                <w:bCs/>
                <w:kern w:val="0"/>
                <w:sz w:val="24"/>
                <w:szCs w:val="24"/>
                <w:lang w:val="en-IN" w:eastAsia="en-IN"/>
              </w:rPr>
              <w:t>Secondary infection</w:t>
            </w:r>
          </w:p>
        </w:tc>
        <w:tc>
          <w:tcPr>
            <w:tcW w:w="2268" w:type="dxa"/>
            <w:shd w:val="clear" w:color="auto" w:fill="auto"/>
            <w:noWrap/>
            <w:vAlign w:val="bottom"/>
            <w:hideMark/>
          </w:tcPr>
          <w:p w:rsidR="007A269C" w:rsidRPr="007A269C" w:rsidRDefault="007A269C" w:rsidP="007A269C">
            <w:pPr>
              <w:jc w:val="center"/>
              <w:rPr>
                <w:rFonts w:asciiTheme="minorHAnsi" w:hAnsiTheme="minorHAnsi" w:cstheme="minorHAnsi"/>
                <w:b/>
                <w:bCs/>
                <w:kern w:val="0"/>
                <w:sz w:val="24"/>
                <w:szCs w:val="24"/>
                <w:lang w:val="en-IN" w:eastAsia="en-IN"/>
              </w:rPr>
            </w:pPr>
            <w:r w:rsidRPr="007A269C">
              <w:rPr>
                <w:rFonts w:asciiTheme="minorHAnsi" w:hAnsiTheme="minorHAnsi" w:cstheme="minorHAnsi"/>
                <w:b/>
                <w:bCs/>
                <w:kern w:val="0"/>
                <w:sz w:val="24"/>
                <w:szCs w:val="24"/>
                <w:lang w:val="en-IN" w:eastAsia="en-IN"/>
              </w:rPr>
              <w:t>Acute Kidney Injury</w:t>
            </w:r>
          </w:p>
        </w:tc>
        <w:tc>
          <w:tcPr>
            <w:tcW w:w="1276" w:type="dxa"/>
            <w:vAlign w:val="bottom"/>
          </w:tcPr>
          <w:p w:rsidR="007A269C" w:rsidRPr="007A269C" w:rsidRDefault="007A269C" w:rsidP="007A269C">
            <w:pPr>
              <w:jc w:val="center"/>
              <w:rPr>
                <w:rFonts w:asciiTheme="minorHAnsi" w:hAnsiTheme="minorHAnsi" w:cstheme="minorHAnsi"/>
                <w:b/>
                <w:bCs/>
                <w:kern w:val="0"/>
                <w:sz w:val="24"/>
                <w:szCs w:val="24"/>
                <w:lang w:val="en-IN" w:eastAsia="en-IN"/>
              </w:rPr>
            </w:pPr>
            <w:r>
              <w:rPr>
                <w:rFonts w:asciiTheme="minorHAnsi" w:hAnsiTheme="minorHAnsi" w:cstheme="minorHAnsi"/>
                <w:b/>
                <w:bCs/>
                <w:kern w:val="0"/>
                <w:sz w:val="24"/>
                <w:szCs w:val="24"/>
                <w:lang w:val="en-IN" w:eastAsia="en-IN"/>
              </w:rPr>
              <w:t>ARDS</w:t>
            </w:r>
          </w:p>
        </w:tc>
        <w:tc>
          <w:tcPr>
            <w:tcW w:w="2410" w:type="dxa"/>
            <w:vAlign w:val="bottom"/>
          </w:tcPr>
          <w:p w:rsidR="007A269C" w:rsidRPr="007A269C" w:rsidRDefault="007A269C" w:rsidP="007A269C">
            <w:pPr>
              <w:jc w:val="center"/>
              <w:rPr>
                <w:rFonts w:asciiTheme="minorHAnsi" w:hAnsiTheme="minorHAnsi" w:cstheme="minorHAnsi"/>
                <w:b/>
                <w:bCs/>
                <w:kern w:val="0"/>
                <w:sz w:val="24"/>
                <w:szCs w:val="24"/>
                <w:lang w:val="en-IN" w:eastAsia="en-IN"/>
              </w:rPr>
            </w:pPr>
            <w:r w:rsidRPr="007A269C">
              <w:rPr>
                <w:rFonts w:asciiTheme="minorHAnsi" w:hAnsiTheme="minorHAnsi" w:cstheme="minorHAnsi"/>
                <w:b/>
                <w:bCs/>
                <w:kern w:val="0"/>
                <w:sz w:val="24"/>
                <w:szCs w:val="24"/>
                <w:lang w:val="en-IN" w:eastAsia="en-IN"/>
              </w:rPr>
              <w:t>Acute Liver Injury</w:t>
            </w:r>
          </w:p>
        </w:tc>
      </w:tr>
      <w:tr w:rsidR="007A269C" w:rsidRPr="007A269C" w:rsidTr="00C2051A">
        <w:trPr>
          <w:trHeight w:val="288"/>
        </w:trPr>
        <w:tc>
          <w:tcPr>
            <w:tcW w:w="2694" w:type="dxa"/>
            <w:vAlign w:val="bottom"/>
          </w:tcPr>
          <w:p w:rsidR="007A269C" w:rsidRPr="007A269C" w:rsidRDefault="007A269C" w:rsidP="00884110">
            <w:pPr>
              <w:rPr>
                <w:rFonts w:asciiTheme="minorHAnsi" w:hAnsiTheme="minorHAnsi" w:cstheme="minorHAnsi"/>
                <w:color w:val="auto"/>
                <w:sz w:val="24"/>
                <w:szCs w:val="24"/>
              </w:rPr>
            </w:pPr>
            <w:proofErr w:type="spellStart"/>
            <w:r w:rsidRPr="007A269C">
              <w:rPr>
                <w:rFonts w:asciiTheme="minorHAnsi" w:hAnsiTheme="minorHAnsi" w:cstheme="minorHAnsi"/>
                <w:sz w:val="24"/>
                <w:szCs w:val="24"/>
              </w:rPr>
              <w:t>Fernández</w:t>
            </w:r>
            <w:proofErr w:type="spellEnd"/>
            <w:r w:rsidRPr="007A269C">
              <w:rPr>
                <w:rFonts w:asciiTheme="minorHAnsi" w:hAnsiTheme="minorHAnsi" w:cstheme="minorHAnsi"/>
                <w:sz w:val="24"/>
                <w:szCs w:val="24"/>
              </w:rPr>
              <w:t>-Ruiz, M et al.</w:t>
            </w:r>
          </w:p>
        </w:tc>
        <w:tc>
          <w:tcPr>
            <w:tcW w:w="1417" w:type="dxa"/>
            <w:vAlign w:val="bottom"/>
          </w:tcPr>
          <w:p w:rsidR="007A269C" w:rsidRPr="007A269C" w:rsidRDefault="007A269C" w:rsidP="00884110">
            <w:pPr>
              <w:jc w:val="right"/>
              <w:rPr>
                <w:rFonts w:asciiTheme="minorHAnsi" w:hAnsiTheme="minorHAnsi" w:cstheme="minorHAnsi"/>
                <w:sz w:val="24"/>
                <w:szCs w:val="24"/>
              </w:rPr>
            </w:pPr>
            <w:r w:rsidRPr="007A269C">
              <w:rPr>
                <w:rFonts w:asciiTheme="minorHAnsi" w:hAnsiTheme="minorHAnsi" w:cstheme="minorHAnsi"/>
                <w:sz w:val="24"/>
                <w:szCs w:val="24"/>
              </w:rPr>
              <w:t>15</w:t>
            </w:r>
          </w:p>
        </w:tc>
        <w:tc>
          <w:tcPr>
            <w:tcW w:w="2268" w:type="dxa"/>
            <w:vAlign w:val="bottom"/>
          </w:tcPr>
          <w:p w:rsidR="007A269C" w:rsidRPr="00BC4FA9" w:rsidRDefault="007A269C"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2</w:t>
            </w:r>
          </w:p>
        </w:tc>
        <w:tc>
          <w:tcPr>
            <w:tcW w:w="2268" w:type="dxa"/>
            <w:shd w:val="clear" w:color="auto" w:fill="auto"/>
            <w:noWrap/>
            <w:vAlign w:val="bottom"/>
            <w:hideMark/>
          </w:tcPr>
          <w:p w:rsidR="007A269C" w:rsidRPr="00BC4FA9" w:rsidRDefault="007A269C"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2</w:t>
            </w:r>
          </w:p>
        </w:tc>
        <w:tc>
          <w:tcPr>
            <w:tcW w:w="1276" w:type="dxa"/>
            <w:vAlign w:val="bottom"/>
          </w:tcPr>
          <w:p w:rsidR="007A269C" w:rsidRPr="00BC4FA9" w:rsidRDefault="007A269C"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5</w:t>
            </w:r>
          </w:p>
        </w:tc>
        <w:tc>
          <w:tcPr>
            <w:tcW w:w="2410" w:type="dxa"/>
            <w:vAlign w:val="bottom"/>
          </w:tcPr>
          <w:p w:rsidR="007A269C" w:rsidRPr="00BC4FA9" w:rsidRDefault="007A269C"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 </w:t>
            </w:r>
          </w:p>
        </w:tc>
      </w:tr>
      <w:tr w:rsidR="00BC4FA9" w:rsidRPr="007A269C" w:rsidTr="00C2051A">
        <w:trPr>
          <w:trHeight w:val="288"/>
        </w:trPr>
        <w:tc>
          <w:tcPr>
            <w:tcW w:w="2694" w:type="dxa"/>
            <w:vAlign w:val="bottom"/>
          </w:tcPr>
          <w:p w:rsidR="00BC4FA9" w:rsidRPr="007A269C" w:rsidRDefault="00BC4FA9" w:rsidP="00BC4FA9">
            <w:pPr>
              <w:rPr>
                <w:rFonts w:asciiTheme="minorHAnsi" w:hAnsiTheme="minorHAnsi" w:cstheme="minorHAnsi"/>
                <w:color w:val="auto"/>
                <w:sz w:val="24"/>
                <w:szCs w:val="24"/>
              </w:rPr>
            </w:pPr>
            <w:proofErr w:type="spellStart"/>
            <w:r w:rsidRPr="007A269C">
              <w:rPr>
                <w:rFonts w:asciiTheme="minorHAnsi" w:hAnsiTheme="minorHAnsi" w:cstheme="minorHAnsi"/>
                <w:sz w:val="24"/>
                <w:szCs w:val="24"/>
              </w:rPr>
              <w:t>Godaert</w:t>
            </w:r>
            <w:proofErr w:type="spellEnd"/>
            <w:r w:rsidRPr="007A269C">
              <w:rPr>
                <w:rFonts w:asciiTheme="minorHAnsi" w:hAnsiTheme="minorHAnsi" w:cstheme="minorHAnsi"/>
                <w:sz w:val="24"/>
                <w:szCs w:val="24"/>
              </w:rPr>
              <w:t>, L et al.</w:t>
            </w:r>
          </w:p>
        </w:tc>
        <w:tc>
          <w:tcPr>
            <w:tcW w:w="1417" w:type="dxa"/>
            <w:vAlign w:val="bottom"/>
          </w:tcPr>
          <w:p w:rsidR="00BC4FA9" w:rsidRPr="007A269C" w:rsidRDefault="00BC4FA9" w:rsidP="00BC4FA9">
            <w:pPr>
              <w:jc w:val="right"/>
              <w:rPr>
                <w:rFonts w:asciiTheme="minorHAnsi" w:hAnsiTheme="minorHAnsi" w:cstheme="minorHAnsi"/>
                <w:sz w:val="24"/>
                <w:szCs w:val="24"/>
              </w:rPr>
            </w:pPr>
            <w:r w:rsidRPr="007A269C">
              <w:rPr>
                <w:rFonts w:asciiTheme="minorHAnsi" w:hAnsiTheme="minorHAnsi" w:cstheme="minorHAnsi"/>
                <w:sz w:val="24"/>
                <w:szCs w:val="24"/>
              </w:rPr>
              <w:t>17</w:t>
            </w:r>
          </w:p>
        </w:tc>
        <w:tc>
          <w:tcPr>
            <w:tcW w:w="2268" w:type="dxa"/>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2268" w:type="dxa"/>
            <w:shd w:val="clear" w:color="auto" w:fill="auto"/>
            <w:noWrap/>
            <w:vAlign w:val="bottom"/>
            <w:hideMark/>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10</w:t>
            </w:r>
          </w:p>
        </w:tc>
        <w:tc>
          <w:tcPr>
            <w:tcW w:w="1276" w:type="dxa"/>
            <w:vAlign w:val="bottom"/>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 </w:t>
            </w:r>
            <w:r w:rsidRPr="00BC4FA9">
              <w:rPr>
                <w:rFonts w:ascii="Calibri" w:hAnsi="Calibri" w:cs="Calibri"/>
                <w:bCs/>
                <w:color w:val="auto"/>
                <w:kern w:val="0"/>
                <w:sz w:val="22"/>
                <w:szCs w:val="22"/>
                <w:lang w:val="en-IN" w:eastAsia="en-IN"/>
              </w:rPr>
              <w:t>..</w:t>
            </w:r>
          </w:p>
        </w:tc>
        <w:tc>
          <w:tcPr>
            <w:tcW w:w="2410" w:type="dxa"/>
            <w:vAlign w:val="bottom"/>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8</w:t>
            </w:r>
          </w:p>
        </w:tc>
      </w:tr>
      <w:tr w:rsidR="00BC4FA9" w:rsidRPr="007A269C" w:rsidTr="00C2051A">
        <w:trPr>
          <w:trHeight w:val="288"/>
        </w:trPr>
        <w:tc>
          <w:tcPr>
            <w:tcW w:w="2694" w:type="dxa"/>
            <w:vAlign w:val="bottom"/>
          </w:tcPr>
          <w:p w:rsidR="00BC4FA9" w:rsidRPr="007A269C" w:rsidRDefault="00BC4FA9" w:rsidP="00BC4FA9">
            <w:pPr>
              <w:rPr>
                <w:rFonts w:asciiTheme="minorHAnsi" w:hAnsiTheme="minorHAnsi" w:cstheme="minorHAnsi"/>
                <w:color w:val="auto"/>
                <w:sz w:val="24"/>
                <w:szCs w:val="24"/>
              </w:rPr>
            </w:pPr>
            <w:proofErr w:type="spellStart"/>
            <w:r w:rsidRPr="007A269C">
              <w:rPr>
                <w:rFonts w:asciiTheme="minorHAnsi" w:hAnsiTheme="minorHAnsi" w:cstheme="minorHAnsi"/>
                <w:sz w:val="24"/>
                <w:szCs w:val="24"/>
              </w:rPr>
              <w:t>Lian</w:t>
            </w:r>
            <w:proofErr w:type="spellEnd"/>
            <w:r w:rsidRPr="007A269C">
              <w:rPr>
                <w:rFonts w:asciiTheme="minorHAnsi" w:hAnsiTheme="minorHAnsi" w:cstheme="minorHAnsi"/>
                <w:sz w:val="24"/>
                <w:szCs w:val="24"/>
              </w:rPr>
              <w:t>, J et al.</w:t>
            </w:r>
          </w:p>
        </w:tc>
        <w:tc>
          <w:tcPr>
            <w:tcW w:w="1417" w:type="dxa"/>
            <w:vAlign w:val="bottom"/>
          </w:tcPr>
          <w:p w:rsidR="00BC4FA9" w:rsidRPr="007A269C" w:rsidRDefault="00BC4FA9" w:rsidP="00BC4FA9">
            <w:pPr>
              <w:jc w:val="right"/>
              <w:rPr>
                <w:rFonts w:asciiTheme="minorHAnsi" w:hAnsiTheme="minorHAnsi" w:cstheme="minorHAnsi"/>
                <w:sz w:val="24"/>
                <w:szCs w:val="24"/>
              </w:rPr>
            </w:pPr>
            <w:r w:rsidRPr="007A269C">
              <w:rPr>
                <w:rFonts w:asciiTheme="minorHAnsi" w:hAnsiTheme="minorHAnsi" w:cstheme="minorHAnsi"/>
                <w:sz w:val="24"/>
                <w:szCs w:val="24"/>
              </w:rPr>
              <w:t>136</w:t>
            </w:r>
          </w:p>
        </w:tc>
        <w:tc>
          <w:tcPr>
            <w:tcW w:w="2268" w:type="dxa"/>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2268" w:type="dxa"/>
            <w:shd w:val="clear" w:color="auto" w:fill="auto"/>
            <w:noWrap/>
            <w:vAlign w:val="bottom"/>
            <w:hideMark/>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3</w:t>
            </w:r>
          </w:p>
        </w:tc>
        <w:tc>
          <w:tcPr>
            <w:tcW w:w="1276" w:type="dxa"/>
            <w:vAlign w:val="bottom"/>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23</w:t>
            </w:r>
          </w:p>
        </w:tc>
        <w:tc>
          <w:tcPr>
            <w:tcW w:w="2410" w:type="dxa"/>
            <w:vAlign w:val="bottom"/>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10</w:t>
            </w:r>
          </w:p>
        </w:tc>
      </w:tr>
      <w:tr w:rsidR="00BC4FA9" w:rsidRPr="007A269C" w:rsidTr="00C2051A">
        <w:trPr>
          <w:trHeight w:val="288"/>
        </w:trPr>
        <w:tc>
          <w:tcPr>
            <w:tcW w:w="2694" w:type="dxa"/>
            <w:vAlign w:val="bottom"/>
          </w:tcPr>
          <w:p w:rsidR="00BC4FA9" w:rsidRPr="007A269C" w:rsidRDefault="00BC4FA9" w:rsidP="00BC4FA9">
            <w:pPr>
              <w:rPr>
                <w:rFonts w:asciiTheme="minorHAnsi" w:hAnsiTheme="minorHAnsi" w:cstheme="minorHAnsi"/>
                <w:color w:val="auto"/>
                <w:sz w:val="24"/>
                <w:szCs w:val="24"/>
              </w:rPr>
            </w:pPr>
            <w:r w:rsidRPr="007A269C">
              <w:rPr>
                <w:rFonts w:asciiTheme="minorHAnsi" w:hAnsiTheme="minorHAnsi" w:cstheme="minorHAnsi"/>
                <w:sz w:val="24"/>
                <w:szCs w:val="24"/>
              </w:rPr>
              <w:t>Liu, K et al.</w:t>
            </w:r>
          </w:p>
        </w:tc>
        <w:tc>
          <w:tcPr>
            <w:tcW w:w="1417" w:type="dxa"/>
            <w:vAlign w:val="bottom"/>
          </w:tcPr>
          <w:p w:rsidR="00BC4FA9" w:rsidRPr="007A269C" w:rsidRDefault="00BC4FA9" w:rsidP="00BC4FA9">
            <w:pPr>
              <w:jc w:val="right"/>
              <w:rPr>
                <w:rFonts w:asciiTheme="minorHAnsi" w:hAnsiTheme="minorHAnsi" w:cstheme="minorHAnsi"/>
                <w:sz w:val="24"/>
                <w:szCs w:val="24"/>
              </w:rPr>
            </w:pPr>
            <w:r w:rsidRPr="007A269C">
              <w:rPr>
                <w:rFonts w:asciiTheme="minorHAnsi" w:hAnsiTheme="minorHAnsi" w:cstheme="minorHAnsi"/>
                <w:sz w:val="24"/>
                <w:szCs w:val="24"/>
              </w:rPr>
              <w:t>18</w:t>
            </w:r>
          </w:p>
        </w:tc>
        <w:tc>
          <w:tcPr>
            <w:tcW w:w="2268" w:type="dxa"/>
            <w:vAlign w:val="bottom"/>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4</w:t>
            </w:r>
          </w:p>
        </w:tc>
        <w:tc>
          <w:tcPr>
            <w:tcW w:w="2268" w:type="dxa"/>
            <w:shd w:val="clear" w:color="auto" w:fill="auto"/>
            <w:noWrap/>
            <w:hideMark/>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1276" w:type="dxa"/>
            <w:vAlign w:val="bottom"/>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4</w:t>
            </w:r>
          </w:p>
        </w:tc>
        <w:tc>
          <w:tcPr>
            <w:tcW w:w="2410" w:type="dxa"/>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r>
      <w:tr w:rsidR="00BC4FA9" w:rsidRPr="007A269C" w:rsidTr="00C2051A">
        <w:trPr>
          <w:trHeight w:val="288"/>
        </w:trPr>
        <w:tc>
          <w:tcPr>
            <w:tcW w:w="2694" w:type="dxa"/>
            <w:vAlign w:val="bottom"/>
          </w:tcPr>
          <w:p w:rsidR="00BC4FA9" w:rsidRPr="007A269C" w:rsidRDefault="00BC4FA9" w:rsidP="00BC4FA9">
            <w:pPr>
              <w:rPr>
                <w:rFonts w:asciiTheme="minorHAnsi" w:hAnsiTheme="minorHAnsi" w:cstheme="minorHAnsi"/>
                <w:sz w:val="24"/>
                <w:szCs w:val="24"/>
              </w:rPr>
            </w:pPr>
            <w:r w:rsidRPr="007A269C">
              <w:rPr>
                <w:rFonts w:asciiTheme="minorHAnsi" w:hAnsiTheme="minorHAnsi" w:cstheme="minorHAnsi"/>
                <w:sz w:val="24"/>
                <w:szCs w:val="24"/>
              </w:rPr>
              <w:t>Liu, Y et al.</w:t>
            </w:r>
          </w:p>
        </w:tc>
        <w:tc>
          <w:tcPr>
            <w:tcW w:w="1417" w:type="dxa"/>
            <w:vAlign w:val="bottom"/>
          </w:tcPr>
          <w:p w:rsidR="00BC4FA9" w:rsidRPr="007A269C" w:rsidRDefault="00BC4FA9" w:rsidP="00BC4FA9">
            <w:pPr>
              <w:jc w:val="right"/>
              <w:rPr>
                <w:rFonts w:asciiTheme="minorHAnsi" w:hAnsiTheme="minorHAnsi" w:cstheme="minorHAnsi"/>
                <w:sz w:val="24"/>
                <w:szCs w:val="24"/>
              </w:rPr>
            </w:pPr>
            <w:r w:rsidRPr="007A269C">
              <w:rPr>
                <w:rFonts w:asciiTheme="minorHAnsi" w:hAnsiTheme="minorHAnsi" w:cstheme="minorHAnsi"/>
                <w:sz w:val="24"/>
                <w:szCs w:val="24"/>
              </w:rPr>
              <w:t>85</w:t>
            </w:r>
          </w:p>
        </w:tc>
        <w:tc>
          <w:tcPr>
            <w:tcW w:w="2268" w:type="dxa"/>
            <w:vAlign w:val="bottom"/>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11</w:t>
            </w:r>
          </w:p>
        </w:tc>
        <w:tc>
          <w:tcPr>
            <w:tcW w:w="2268" w:type="dxa"/>
            <w:shd w:val="clear" w:color="auto" w:fill="auto"/>
            <w:noWrap/>
            <w:hideMark/>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1276" w:type="dxa"/>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2410" w:type="dxa"/>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r>
      <w:tr w:rsidR="00BC4FA9" w:rsidRPr="007A269C" w:rsidTr="00C2051A">
        <w:trPr>
          <w:trHeight w:val="288"/>
        </w:trPr>
        <w:tc>
          <w:tcPr>
            <w:tcW w:w="2694" w:type="dxa"/>
            <w:shd w:val="clear" w:color="auto" w:fill="auto"/>
            <w:vAlign w:val="bottom"/>
          </w:tcPr>
          <w:p w:rsidR="00BC4FA9" w:rsidRPr="007A269C" w:rsidRDefault="00BC4FA9" w:rsidP="00BC4FA9">
            <w:pPr>
              <w:rPr>
                <w:rFonts w:asciiTheme="minorHAnsi" w:hAnsiTheme="minorHAnsi" w:cstheme="minorHAnsi"/>
                <w:color w:val="auto"/>
                <w:sz w:val="24"/>
                <w:szCs w:val="24"/>
              </w:rPr>
            </w:pPr>
            <w:r w:rsidRPr="007A269C">
              <w:rPr>
                <w:rFonts w:asciiTheme="minorHAnsi" w:hAnsiTheme="minorHAnsi" w:cstheme="minorHAnsi"/>
                <w:sz w:val="24"/>
                <w:szCs w:val="24"/>
              </w:rPr>
              <w:t xml:space="preserve">Richardson, </w:t>
            </w:r>
            <w:proofErr w:type="spellStart"/>
            <w:r w:rsidRPr="007A269C">
              <w:rPr>
                <w:rFonts w:asciiTheme="minorHAnsi" w:hAnsiTheme="minorHAnsi" w:cstheme="minorHAnsi"/>
                <w:sz w:val="24"/>
                <w:szCs w:val="24"/>
              </w:rPr>
              <w:t>S et</w:t>
            </w:r>
            <w:proofErr w:type="spellEnd"/>
            <w:r w:rsidRPr="007A269C">
              <w:rPr>
                <w:rFonts w:asciiTheme="minorHAnsi" w:hAnsiTheme="minorHAnsi" w:cstheme="minorHAnsi"/>
                <w:sz w:val="24"/>
                <w:szCs w:val="24"/>
              </w:rPr>
              <w:t xml:space="preserve"> al.</w:t>
            </w:r>
            <w:r>
              <w:rPr>
                <w:rFonts w:asciiTheme="minorHAnsi" w:hAnsiTheme="minorHAnsi" w:cstheme="minorHAnsi"/>
                <w:sz w:val="24"/>
                <w:szCs w:val="24"/>
              </w:rPr>
              <w:t>*</w:t>
            </w:r>
          </w:p>
        </w:tc>
        <w:tc>
          <w:tcPr>
            <w:tcW w:w="1417" w:type="dxa"/>
            <w:shd w:val="clear" w:color="auto" w:fill="auto"/>
            <w:vAlign w:val="bottom"/>
          </w:tcPr>
          <w:p w:rsidR="00BC4FA9" w:rsidRPr="007A269C" w:rsidRDefault="00BC4FA9" w:rsidP="00BC4FA9">
            <w:pPr>
              <w:jc w:val="right"/>
              <w:rPr>
                <w:rFonts w:asciiTheme="minorHAnsi" w:hAnsiTheme="minorHAnsi" w:cstheme="minorHAnsi"/>
                <w:sz w:val="24"/>
                <w:szCs w:val="24"/>
              </w:rPr>
            </w:pPr>
            <w:r>
              <w:rPr>
                <w:rFonts w:asciiTheme="minorHAnsi" w:hAnsiTheme="minorHAnsi" w:cstheme="minorHAnsi"/>
                <w:sz w:val="24"/>
                <w:szCs w:val="24"/>
              </w:rPr>
              <w:t>2578</w:t>
            </w:r>
          </w:p>
        </w:tc>
        <w:tc>
          <w:tcPr>
            <w:tcW w:w="2268" w:type="dxa"/>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2268" w:type="dxa"/>
            <w:shd w:val="clear" w:color="auto" w:fill="auto"/>
            <w:noWrap/>
            <w:vAlign w:val="bottom"/>
            <w:hideMark/>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788</w:t>
            </w:r>
          </w:p>
        </w:tc>
        <w:tc>
          <w:tcPr>
            <w:tcW w:w="1276" w:type="dxa"/>
            <w:shd w:val="clear" w:color="auto" w:fill="auto"/>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2410" w:type="dxa"/>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r>
      <w:tr w:rsidR="00BC4FA9" w:rsidRPr="007A269C" w:rsidTr="00C2051A">
        <w:trPr>
          <w:trHeight w:val="288"/>
        </w:trPr>
        <w:tc>
          <w:tcPr>
            <w:tcW w:w="2694" w:type="dxa"/>
            <w:shd w:val="clear" w:color="auto" w:fill="auto"/>
            <w:vAlign w:val="bottom"/>
          </w:tcPr>
          <w:p w:rsidR="00BC4FA9" w:rsidRPr="007A269C" w:rsidRDefault="00BC4FA9" w:rsidP="00BC4FA9">
            <w:pPr>
              <w:rPr>
                <w:rFonts w:asciiTheme="minorHAnsi" w:hAnsiTheme="minorHAnsi" w:cstheme="minorHAnsi"/>
                <w:color w:val="auto"/>
                <w:sz w:val="24"/>
                <w:szCs w:val="24"/>
              </w:rPr>
            </w:pPr>
            <w:r w:rsidRPr="007A269C">
              <w:rPr>
                <w:rFonts w:asciiTheme="minorHAnsi" w:hAnsiTheme="minorHAnsi" w:cstheme="minorHAnsi"/>
                <w:sz w:val="24"/>
                <w:szCs w:val="24"/>
              </w:rPr>
              <w:t xml:space="preserve">Richardson, </w:t>
            </w:r>
            <w:proofErr w:type="spellStart"/>
            <w:r w:rsidRPr="007A269C">
              <w:rPr>
                <w:rFonts w:asciiTheme="minorHAnsi" w:hAnsiTheme="minorHAnsi" w:cstheme="minorHAnsi"/>
                <w:sz w:val="24"/>
                <w:szCs w:val="24"/>
              </w:rPr>
              <w:t>S et</w:t>
            </w:r>
            <w:proofErr w:type="spellEnd"/>
            <w:r w:rsidRPr="007A269C">
              <w:rPr>
                <w:rFonts w:asciiTheme="minorHAnsi" w:hAnsiTheme="minorHAnsi" w:cstheme="minorHAnsi"/>
                <w:sz w:val="24"/>
                <w:szCs w:val="24"/>
              </w:rPr>
              <w:t xml:space="preserve"> al.</w:t>
            </w:r>
            <w:r>
              <w:rPr>
                <w:rFonts w:asciiTheme="minorHAnsi" w:hAnsiTheme="minorHAnsi" w:cstheme="minorHAnsi"/>
                <w:sz w:val="24"/>
                <w:szCs w:val="24"/>
              </w:rPr>
              <w:t>*</w:t>
            </w:r>
          </w:p>
        </w:tc>
        <w:tc>
          <w:tcPr>
            <w:tcW w:w="1417" w:type="dxa"/>
            <w:shd w:val="clear" w:color="auto" w:fill="auto"/>
            <w:vAlign w:val="bottom"/>
          </w:tcPr>
          <w:p w:rsidR="00BC4FA9" w:rsidRPr="007A269C" w:rsidRDefault="00BC4FA9" w:rsidP="00BC4FA9">
            <w:pPr>
              <w:jc w:val="right"/>
              <w:rPr>
                <w:rFonts w:asciiTheme="minorHAnsi" w:hAnsiTheme="minorHAnsi" w:cstheme="minorHAnsi"/>
                <w:sz w:val="24"/>
                <w:szCs w:val="24"/>
              </w:rPr>
            </w:pPr>
            <w:r>
              <w:rPr>
                <w:rFonts w:asciiTheme="minorHAnsi" w:hAnsiTheme="minorHAnsi" w:cstheme="minorHAnsi"/>
                <w:sz w:val="24"/>
                <w:szCs w:val="24"/>
              </w:rPr>
              <w:t>2314</w:t>
            </w:r>
          </w:p>
        </w:tc>
        <w:tc>
          <w:tcPr>
            <w:tcW w:w="2268" w:type="dxa"/>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2268" w:type="dxa"/>
            <w:shd w:val="clear" w:color="auto" w:fill="auto"/>
            <w:noWrap/>
            <w:hideMark/>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1276" w:type="dxa"/>
            <w:shd w:val="clear" w:color="auto" w:fill="auto"/>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2410" w:type="dxa"/>
            <w:vAlign w:val="bottom"/>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40</w:t>
            </w:r>
          </w:p>
        </w:tc>
      </w:tr>
      <w:tr w:rsidR="007A269C" w:rsidRPr="007A269C" w:rsidTr="00C2051A">
        <w:trPr>
          <w:trHeight w:val="288"/>
        </w:trPr>
        <w:tc>
          <w:tcPr>
            <w:tcW w:w="2694" w:type="dxa"/>
            <w:vAlign w:val="bottom"/>
          </w:tcPr>
          <w:p w:rsidR="007A269C" w:rsidRPr="007A269C" w:rsidRDefault="007A269C" w:rsidP="00884110">
            <w:pPr>
              <w:rPr>
                <w:rFonts w:asciiTheme="minorHAnsi" w:hAnsiTheme="minorHAnsi" w:cstheme="minorHAnsi"/>
                <w:color w:val="auto"/>
                <w:sz w:val="24"/>
                <w:szCs w:val="24"/>
              </w:rPr>
            </w:pPr>
            <w:r w:rsidRPr="007A269C">
              <w:rPr>
                <w:rFonts w:asciiTheme="minorHAnsi" w:hAnsiTheme="minorHAnsi" w:cstheme="minorHAnsi"/>
                <w:sz w:val="24"/>
                <w:szCs w:val="24"/>
              </w:rPr>
              <w:t>Wang, L et al.</w:t>
            </w:r>
          </w:p>
        </w:tc>
        <w:tc>
          <w:tcPr>
            <w:tcW w:w="1417" w:type="dxa"/>
            <w:vAlign w:val="bottom"/>
          </w:tcPr>
          <w:p w:rsidR="007A269C" w:rsidRPr="007A269C" w:rsidRDefault="007A269C" w:rsidP="00884110">
            <w:pPr>
              <w:jc w:val="right"/>
              <w:rPr>
                <w:rFonts w:asciiTheme="minorHAnsi" w:hAnsiTheme="minorHAnsi" w:cstheme="minorHAnsi"/>
                <w:sz w:val="24"/>
                <w:szCs w:val="24"/>
              </w:rPr>
            </w:pPr>
            <w:r w:rsidRPr="007A269C">
              <w:rPr>
                <w:rFonts w:asciiTheme="minorHAnsi" w:hAnsiTheme="minorHAnsi" w:cstheme="minorHAnsi"/>
                <w:sz w:val="24"/>
                <w:szCs w:val="24"/>
              </w:rPr>
              <w:t>339</w:t>
            </w:r>
          </w:p>
        </w:tc>
        <w:tc>
          <w:tcPr>
            <w:tcW w:w="2268" w:type="dxa"/>
            <w:vAlign w:val="bottom"/>
          </w:tcPr>
          <w:p w:rsidR="007A269C" w:rsidRPr="00BC4FA9" w:rsidRDefault="007A269C"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143</w:t>
            </w:r>
          </w:p>
        </w:tc>
        <w:tc>
          <w:tcPr>
            <w:tcW w:w="2268" w:type="dxa"/>
            <w:shd w:val="clear" w:color="auto" w:fill="auto"/>
            <w:noWrap/>
            <w:vAlign w:val="bottom"/>
            <w:hideMark/>
          </w:tcPr>
          <w:p w:rsidR="007A269C" w:rsidRPr="00BC4FA9" w:rsidRDefault="007A269C"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27</w:t>
            </w:r>
          </w:p>
        </w:tc>
        <w:tc>
          <w:tcPr>
            <w:tcW w:w="1276" w:type="dxa"/>
            <w:vAlign w:val="bottom"/>
          </w:tcPr>
          <w:p w:rsidR="007A269C" w:rsidRPr="00BC4FA9" w:rsidRDefault="007A269C"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71</w:t>
            </w:r>
          </w:p>
        </w:tc>
        <w:tc>
          <w:tcPr>
            <w:tcW w:w="2410" w:type="dxa"/>
            <w:vAlign w:val="bottom"/>
          </w:tcPr>
          <w:p w:rsidR="007A269C" w:rsidRPr="00BC4FA9" w:rsidRDefault="007A269C"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96</w:t>
            </w:r>
          </w:p>
        </w:tc>
      </w:tr>
      <w:tr w:rsidR="00BC4FA9" w:rsidRPr="007A269C" w:rsidTr="00C2051A">
        <w:trPr>
          <w:trHeight w:val="288"/>
        </w:trPr>
        <w:tc>
          <w:tcPr>
            <w:tcW w:w="2694" w:type="dxa"/>
            <w:vAlign w:val="bottom"/>
          </w:tcPr>
          <w:p w:rsidR="00BC4FA9" w:rsidRPr="007A269C" w:rsidRDefault="00BC4FA9" w:rsidP="00BC4FA9">
            <w:pPr>
              <w:rPr>
                <w:rFonts w:asciiTheme="minorHAnsi" w:hAnsiTheme="minorHAnsi" w:cstheme="minorHAnsi"/>
                <w:color w:val="auto"/>
                <w:sz w:val="24"/>
                <w:szCs w:val="24"/>
              </w:rPr>
            </w:pPr>
            <w:r w:rsidRPr="007A269C">
              <w:rPr>
                <w:rFonts w:asciiTheme="minorHAnsi" w:hAnsiTheme="minorHAnsi" w:cstheme="minorHAnsi"/>
                <w:sz w:val="24"/>
                <w:szCs w:val="24"/>
              </w:rPr>
              <w:t>Yao, N et al.</w:t>
            </w:r>
          </w:p>
        </w:tc>
        <w:tc>
          <w:tcPr>
            <w:tcW w:w="1417" w:type="dxa"/>
            <w:vAlign w:val="bottom"/>
          </w:tcPr>
          <w:p w:rsidR="00BC4FA9" w:rsidRPr="007A269C" w:rsidRDefault="00BC4FA9" w:rsidP="00BC4FA9">
            <w:pPr>
              <w:jc w:val="right"/>
              <w:rPr>
                <w:rFonts w:asciiTheme="minorHAnsi" w:hAnsiTheme="minorHAnsi" w:cstheme="minorHAnsi"/>
                <w:sz w:val="24"/>
                <w:szCs w:val="24"/>
              </w:rPr>
            </w:pPr>
            <w:r w:rsidRPr="007A269C">
              <w:rPr>
                <w:rFonts w:asciiTheme="minorHAnsi" w:hAnsiTheme="minorHAnsi" w:cstheme="minorHAnsi"/>
                <w:sz w:val="24"/>
                <w:szCs w:val="24"/>
              </w:rPr>
              <w:t>17</w:t>
            </w:r>
          </w:p>
        </w:tc>
        <w:tc>
          <w:tcPr>
            <w:tcW w:w="2268" w:type="dxa"/>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2268" w:type="dxa"/>
            <w:shd w:val="clear" w:color="auto" w:fill="auto"/>
            <w:noWrap/>
            <w:hideMark/>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1276" w:type="dxa"/>
          </w:tcPr>
          <w:p w:rsidR="00BC4FA9" w:rsidRPr="00BC4FA9" w:rsidRDefault="00BC4FA9" w:rsidP="00BC4FA9">
            <w:pPr>
              <w:jc w:val="right"/>
              <w:rPr>
                <w:sz w:val="22"/>
                <w:szCs w:val="22"/>
              </w:rPr>
            </w:pPr>
            <w:r w:rsidRPr="00BC4FA9">
              <w:rPr>
                <w:rFonts w:ascii="Calibri" w:hAnsi="Calibri" w:cs="Calibri"/>
                <w:bCs/>
                <w:color w:val="auto"/>
                <w:kern w:val="0"/>
                <w:sz w:val="22"/>
                <w:szCs w:val="22"/>
                <w:lang w:val="en-IN" w:eastAsia="en-IN"/>
              </w:rPr>
              <w:t>..</w:t>
            </w:r>
          </w:p>
        </w:tc>
        <w:tc>
          <w:tcPr>
            <w:tcW w:w="2410" w:type="dxa"/>
            <w:vAlign w:val="bottom"/>
          </w:tcPr>
          <w:p w:rsidR="00BC4FA9" w:rsidRPr="00BC4FA9" w:rsidRDefault="00BC4FA9" w:rsidP="00BC4FA9">
            <w:pPr>
              <w:jc w:val="right"/>
              <w:rPr>
                <w:rFonts w:asciiTheme="minorHAnsi" w:hAnsiTheme="minorHAnsi" w:cstheme="minorHAnsi"/>
                <w:kern w:val="0"/>
                <w:sz w:val="22"/>
                <w:szCs w:val="22"/>
                <w:lang w:val="en-IN" w:eastAsia="en-IN"/>
              </w:rPr>
            </w:pPr>
            <w:r w:rsidRPr="00BC4FA9">
              <w:rPr>
                <w:rFonts w:asciiTheme="minorHAnsi" w:hAnsiTheme="minorHAnsi" w:cstheme="minorHAnsi"/>
                <w:kern w:val="0"/>
                <w:sz w:val="22"/>
                <w:szCs w:val="22"/>
                <w:lang w:val="en-IN" w:eastAsia="en-IN"/>
              </w:rPr>
              <w:t>9</w:t>
            </w:r>
          </w:p>
        </w:tc>
      </w:tr>
    </w:tbl>
    <w:p w:rsidR="007A269C" w:rsidRDefault="00EB2FD2" w:rsidP="00D967ED">
      <w:pPr>
        <w:tabs>
          <w:tab w:val="left" w:pos="2292"/>
        </w:tabs>
        <w:rPr>
          <w:rFonts w:asciiTheme="minorHAnsi" w:hAnsiTheme="minorHAnsi" w:cstheme="minorHAnsi"/>
          <w:bCs/>
          <w:kern w:val="0"/>
          <w:sz w:val="24"/>
          <w:szCs w:val="24"/>
          <w:lang w:val="en-IN" w:eastAsia="en-IN"/>
        </w:rPr>
      </w:pPr>
      <w:r>
        <w:rPr>
          <w:rFonts w:asciiTheme="minorHAnsi" w:hAnsiTheme="minorHAnsi" w:cstheme="minorHAnsi"/>
          <w:bCs/>
          <w:kern w:val="0"/>
          <w:sz w:val="24"/>
          <w:szCs w:val="24"/>
          <w:lang w:val="en-IN" w:eastAsia="en-IN"/>
        </w:rPr>
        <w:t xml:space="preserve">*Data for acute kidney injury and acute liver injury was not available for all patients. </w:t>
      </w:r>
      <w:r w:rsidR="007A269C">
        <w:rPr>
          <w:rFonts w:asciiTheme="minorHAnsi" w:hAnsiTheme="minorHAnsi" w:cstheme="minorHAnsi"/>
          <w:bCs/>
          <w:kern w:val="0"/>
          <w:sz w:val="24"/>
          <w:szCs w:val="24"/>
          <w:lang w:val="en-IN" w:eastAsia="en-IN"/>
        </w:rPr>
        <w:t xml:space="preserve">ARDS- </w:t>
      </w:r>
      <w:r w:rsidR="007A269C" w:rsidRPr="007A269C">
        <w:rPr>
          <w:rFonts w:asciiTheme="minorHAnsi" w:hAnsiTheme="minorHAnsi" w:cstheme="minorHAnsi"/>
          <w:bCs/>
          <w:kern w:val="0"/>
          <w:sz w:val="24"/>
          <w:szCs w:val="24"/>
          <w:lang w:val="en-IN" w:eastAsia="en-IN"/>
        </w:rPr>
        <w:t>Acute Respiratory Distress Syndrome</w:t>
      </w:r>
    </w:p>
    <w:p w:rsidR="007A269C" w:rsidRDefault="007A269C" w:rsidP="00D967ED">
      <w:pPr>
        <w:tabs>
          <w:tab w:val="left" w:pos="2292"/>
        </w:tabs>
        <w:rPr>
          <w:rFonts w:asciiTheme="minorHAnsi" w:hAnsiTheme="minorHAnsi" w:cstheme="minorHAnsi"/>
          <w:bCs/>
          <w:kern w:val="0"/>
          <w:sz w:val="24"/>
          <w:szCs w:val="24"/>
          <w:lang w:val="en-IN" w:eastAsia="en-IN"/>
        </w:rPr>
      </w:pPr>
    </w:p>
    <w:p w:rsidR="007A269C" w:rsidRPr="001E5E7E" w:rsidRDefault="00CF00D9" w:rsidP="00C2051A">
      <w:pPr>
        <w:spacing w:after="160" w:line="259" w:lineRule="auto"/>
        <w:rPr>
          <w:rFonts w:ascii="Calibri" w:hAnsi="Calibri" w:cs="Calibri"/>
          <w:sz w:val="24"/>
          <w:szCs w:val="24"/>
        </w:rPr>
      </w:pPr>
      <w:r>
        <w:rPr>
          <w:rFonts w:ascii="Calibri" w:hAnsi="Calibri" w:cs="Calibri"/>
          <w:sz w:val="24"/>
          <w:szCs w:val="24"/>
        </w:rPr>
        <w:t>Supplementary Table S6.</w:t>
      </w:r>
      <w:r w:rsidR="007A269C" w:rsidRPr="001E5E7E">
        <w:rPr>
          <w:rFonts w:ascii="Calibri" w:hAnsi="Calibri" w:cs="Calibri"/>
          <w:sz w:val="24"/>
          <w:szCs w:val="24"/>
        </w:rPr>
        <w:t xml:space="preserve"> </w:t>
      </w:r>
      <w:r w:rsidR="007A269C">
        <w:rPr>
          <w:rFonts w:ascii="Calibri" w:hAnsi="Calibri" w:cs="Calibri"/>
          <w:sz w:val="24"/>
          <w:szCs w:val="24"/>
        </w:rPr>
        <w:t>Requirement for respiratory support in included studies</w:t>
      </w:r>
    </w:p>
    <w:tbl>
      <w:tblPr>
        <w:tblW w:w="12333" w:type="dxa"/>
        <w:tblInd w:w="-5" w:type="dxa"/>
        <w:tblLook w:val="04A0" w:firstRow="1" w:lastRow="0" w:firstColumn="1" w:lastColumn="0" w:noHBand="0" w:noVBand="1"/>
      </w:tblPr>
      <w:tblGrid>
        <w:gridCol w:w="2694"/>
        <w:gridCol w:w="992"/>
        <w:gridCol w:w="2268"/>
        <w:gridCol w:w="2977"/>
        <w:gridCol w:w="3402"/>
      </w:tblGrid>
      <w:tr w:rsidR="007A269C" w:rsidRPr="001E5E7E" w:rsidTr="00C2051A">
        <w:trPr>
          <w:trHeight w:val="288"/>
        </w:trPr>
        <w:tc>
          <w:tcPr>
            <w:tcW w:w="2694" w:type="dxa"/>
            <w:tcBorders>
              <w:top w:val="single" w:sz="4" w:space="0" w:color="auto"/>
              <w:left w:val="single" w:sz="4" w:space="0" w:color="auto"/>
              <w:bottom w:val="single" w:sz="4" w:space="0" w:color="auto"/>
              <w:right w:val="single" w:sz="4" w:space="0" w:color="auto"/>
            </w:tcBorders>
            <w:shd w:val="clear" w:color="auto" w:fill="auto"/>
            <w:vAlign w:val="bottom"/>
          </w:tcPr>
          <w:p w:rsidR="007A269C" w:rsidRPr="001E5E7E" w:rsidRDefault="007A269C" w:rsidP="007A269C">
            <w:pPr>
              <w:jc w:val="center"/>
              <w:rPr>
                <w:rFonts w:ascii="Calibri" w:hAnsi="Calibri" w:cs="Calibri"/>
                <w:b/>
                <w:bCs/>
                <w:color w:val="auto"/>
                <w:kern w:val="0"/>
                <w:sz w:val="24"/>
                <w:szCs w:val="24"/>
                <w:lang w:val="en-IN" w:eastAsia="en-IN"/>
              </w:rPr>
            </w:pPr>
            <w:r w:rsidRPr="001E5E7E">
              <w:rPr>
                <w:rFonts w:ascii="Calibri" w:hAnsi="Calibri" w:cs="Calibri"/>
                <w:b/>
                <w:bCs/>
                <w:sz w:val="24"/>
                <w:szCs w:val="24"/>
              </w:rPr>
              <w:t>Author name</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rsidR="007A269C" w:rsidRPr="001E5E7E" w:rsidRDefault="007A269C" w:rsidP="007A269C">
            <w:pPr>
              <w:jc w:val="center"/>
              <w:rPr>
                <w:rFonts w:ascii="Calibri" w:hAnsi="Calibri" w:cs="Calibri"/>
                <w:b/>
                <w:bCs/>
                <w:sz w:val="24"/>
                <w:szCs w:val="24"/>
              </w:rPr>
            </w:pPr>
            <w:r w:rsidRPr="001E5E7E">
              <w:rPr>
                <w:rFonts w:ascii="Calibri" w:hAnsi="Calibri" w:cs="Calibri"/>
                <w:b/>
                <w:bCs/>
                <w:sz w:val="24"/>
                <w:szCs w:val="24"/>
              </w:rPr>
              <w:t>n</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A269C" w:rsidRPr="001E5E7E" w:rsidRDefault="007A269C" w:rsidP="007A269C">
            <w:pPr>
              <w:jc w:val="center"/>
              <w:rPr>
                <w:rFonts w:ascii="Calibri" w:hAnsi="Calibri" w:cs="Calibri"/>
                <w:b/>
                <w:bCs/>
                <w:kern w:val="0"/>
                <w:sz w:val="24"/>
                <w:szCs w:val="24"/>
                <w:lang w:val="en-IN" w:eastAsia="en-IN"/>
              </w:rPr>
            </w:pPr>
            <w:r w:rsidRPr="001E5E7E">
              <w:rPr>
                <w:rFonts w:ascii="Calibri" w:hAnsi="Calibri" w:cs="Calibri"/>
                <w:b/>
                <w:bCs/>
                <w:kern w:val="0"/>
                <w:sz w:val="24"/>
                <w:szCs w:val="24"/>
                <w:lang w:val="en-IN" w:eastAsia="en-IN"/>
              </w:rPr>
              <w:t>Oxygen therapy</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rsidR="007A269C" w:rsidRPr="001E5E7E" w:rsidRDefault="007A269C" w:rsidP="00C2051A">
            <w:pPr>
              <w:jc w:val="center"/>
              <w:rPr>
                <w:rFonts w:ascii="Calibri" w:hAnsi="Calibri" w:cs="Calibri"/>
                <w:b/>
                <w:bCs/>
                <w:kern w:val="0"/>
                <w:sz w:val="24"/>
                <w:szCs w:val="24"/>
                <w:lang w:val="en-IN" w:eastAsia="en-IN"/>
              </w:rPr>
            </w:pPr>
            <w:r w:rsidRPr="001E5E7E">
              <w:rPr>
                <w:rFonts w:ascii="Calibri" w:hAnsi="Calibri" w:cs="Calibri"/>
                <w:b/>
                <w:bCs/>
                <w:kern w:val="0"/>
                <w:sz w:val="24"/>
                <w:szCs w:val="24"/>
                <w:lang w:val="en-IN" w:eastAsia="en-IN"/>
              </w:rPr>
              <w:t>Non-invasive ventilation</w:t>
            </w:r>
          </w:p>
        </w:tc>
        <w:tc>
          <w:tcPr>
            <w:tcW w:w="3402" w:type="dxa"/>
            <w:tcBorders>
              <w:top w:val="single" w:sz="4" w:space="0" w:color="auto"/>
              <w:left w:val="nil"/>
              <w:bottom w:val="single" w:sz="4" w:space="0" w:color="auto"/>
              <w:right w:val="single" w:sz="4" w:space="0" w:color="auto"/>
            </w:tcBorders>
            <w:vAlign w:val="bottom"/>
          </w:tcPr>
          <w:p w:rsidR="007A269C" w:rsidRPr="001E5E7E" w:rsidRDefault="007A269C" w:rsidP="007A269C">
            <w:pPr>
              <w:jc w:val="center"/>
              <w:rPr>
                <w:rFonts w:ascii="Calibri" w:hAnsi="Calibri" w:cs="Calibri"/>
                <w:b/>
                <w:bCs/>
                <w:kern w:val="0"/>
                <w:sz w:val="24"/>
                <w:szCs w:val="24"/>
                <w:lang w:val="en-IN" w:eastAsia="en-IN"/>
              </w:rPr>
            </w:pPr>
            <w:r w:rsidRPr="001E5E7E">
              <w:rPr>
                <w:rFonts w:ascii="Calibri" w:hAnsi="Calibri" w:cs="Calibri"/>
                <w:b/>
                <w:bCs/>
                <w:kern w:val="0"/>
                <w:sz w:val="24"/>
                <w:szCs w:val="24"/>
                <w:lang w:val="en-IN" w:eastAsia="en-IN"/>
              </w:rPr>
              <w:t>Invasive mechanical ventilation</w:t>
            </w:r>
          </w:p>
        </w:tc>
      </w:tr>
      <w:tr w:rsidR="00FB0AE6" w:rsidRPr="001E5E7E" w:rsidTr="00C2051A">
        <w:trPr>
          <w:trHeight w:val="288"/>
        </w:trPr>
        <w:tc>
          <w:tcPr>
            <w:tcW w:w="2694" w:type="dxa"/>
            <w:tcBorders>
              <w:top w:val="nil"/>
              <w:left w:val="single" w:sz="4" w:space="0" w:color="auto"/>
              <w:bottom w:val="single" w:sz="4" w:space="0" w:color="auto"/>
              <w:right w:val="single" w:sz="4" w:space="0" w:color="auto"/>
            </w:tcBorders>
            <w:shd w:val="clear" w:color="auto" w:fill="auto"/>
            <w:vAlign w:val="bottom"/>
          </w:tcPr>
          <w:p w:rsidR="00FB0AE6" w:rsidRPr="001E5E7E" w:rsidRDefault="00FB0AE6" w:rsidP="00FB0AE6">
            <w:pPr>
              <w:rPr>
                <w:rFonts w:ascii="Calibri" w:hAnsi="Calibri" w:cs="Calibri"/>
                <w:color w:val="auto"/>
                <w:sz w:val="24"/>
                <w:szCs w:val="24"/>
              </w:rPr>
            </w:pPr>
            <w:proofErr w:type="spellStart"/>
            <w:r w:rsidRPr="001E5E7E">
              <w:rPr>
                <w:rFonts w:ascii="Calibri" w:hAnsi="Calibri" w:cs="Calibri"/>
                <w:sz w:val="24"/>
                <w:szCs w:val="24"/>
              </w:rPr>
              <w:t>Catellani</w:t>
            </w:r>
            <w:proofErr w:type="spellEnd"/>
            <w:r w:rsidRPr="001E5E7E">
              <w:rPr>
                <w:rFonts w:ascii="Calibri" w:hAnsi="Calibri" w:cs="Calibri"/>
                <w:sz w:val="24"/>
                <w:szCs w:val="24"/>
              </w:rPr>
              <w:t>, F et al.</w:t>
            </w:r>
          </w:p>
        </w:tc>
        <w:tc>
          <w:tcPr>
            <w:tcW w:w="992" w:type="dxa"/>
            <w:tcBorders>
              <w:top w:val="nil"/>
              <w:left w:val="single" w:sz="4" w:space="0" w:color="auto"/>
              <w:bottom w:val="single" w:sz="4" w:space="0" w:color="auto"/>
              <w:right w:val="single" w:sz="4" w:space="0" w:color="auto"/>
            </w:tcBorders>
            <w:shd w:val="clear" w:color="auto" w:fill="auto"/>
            <w:vAlign w:val="bottom"/>
          </w:tcPr>
          <w:p w:rsidR="00FB0AE6" w:rsidRPr="00BC4FA9" w:rsidRDefault="00FB0AE6" w:rsidP="00BC4FA9">
            <w:pPr>
              <w:jc w:val="right"/>
              <w:rPr>
                <w:rFonts w:ascii="Calibri" w:hAnsi="Calibri" w:cs="Calibri"/>
                <w:sz w:val="22"/>
                <w:szCs w:val="22"/>
              </w:rPr>
            </w:pPr>
            <w:r w:rsidRPr="00BC4FA9">
              <w:rPr>
                <w:rFonts w:ascii="Calibri" w:hAnsi="Calibri" w:cs="Calibri"/>
                <w:sz w:val="22"/>
                <w:szCs w:val="22"/>
              </w:rPr>
              <w:t>16</w:t>
            </w:r>
          </w:p>
        </w:tc>
        <w:tc>
          <w:tcPr>
            <w:tcW w:w="2268" w:type="dxa"/>
            <w:tcBorders>
              <w:top w:val="nil"/>
              <w:left w:val="single" w:sz="4" w:space="0" w:color="auto"/>
              <w:bottom w:val="single" w:sz="4" w:space="0" w:color="auto"/>
              <w:right w:val="single" w:sz="4" w:space="0" w:color="auto"/>
            </w:tcBorders>
            <w:shd w:val="clear" w:color="auto" w:fill="auto"/>
            <w:noWrap/>
            <w:vAlign w:val="bottom"/>
            <w:hideMark/>
          </w:tcPr>
          <w:p w:rsidR="00FB0AE6" w:rsidRPr="00BC4FA9" w:rsidRDefault="00FB0AE6"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14</w:t>
            </w:r>
          </w:p>
        </w:tc>
        <w:tc>
          <w:tcPr>
            <w:tcW w:w="2977" w:type="dxa"/>
            <w:tcBorders>
              <w:top w:val="nil"/>
              <w:left w:val="nil"/>
              <w:bottom w:val="single" w:sz="4" w:space="0" w:color="auto"/>
              <w:right w:val="single" w:sz="4" w:space="0" w:color="auto"/>
            </w:tcBorders>
            <w:shd w:val="clear" w:color="auto" w:fill="auto"/>
            <w:noWrap/>
            <w:hideMark/>
          </w:tcPr>
          <w:p w:rsidR="00FB0AE6" w:rsidRPr="00BC4FA9" w:rsidRDefault="00FB0AE6" w:rsidP="00BC4FA9">
            <w:pPr>
              <w:jc w:val="right"/>
              <w:rPr>
                <w:sz w:val="22"/>
                <w:szCs w:val="22"/>
              </w:rPr>
            </w:pPr>
            <w:r w:rsidRPr="00BC4FA9">
              <w:rPr>
                <w:rFonts w:ascii="Calibri" w:hAnsi="Calibri" w:cs="Calibri"/>
                <w:bCs/>
                <w:color w:val="auto"/>
                <w:kern w:val="0"/>
                <w:sz w:val="22"/>
                <w:szCs w:val="22"/>
                <w:lang w:val="en-IN" w:eastAsia="en-IN"/>
              </w:rPr>
              <w:t>..</w:t>
            </w:r>
          </w:p>
        </w:tc>
        <w:tc>
          <w:tcPr>
            <w:tcW w:w="3402" w:type="dxa"/>
            <w:tcBorders>
              <w:top w:val="nil"/>
              <w:left w:val="nil"/>
              <w:bottom w:val="single" w:sz="4" w:space="0" w:color="auto"/>
              <w:right w:val="single" w:sz="4" w:space="0" w:color="auto"/>
            </w:tcBorders>
            <w:vAlign w:val="bottom"/>
          </w:tcPr>
          <w:p w:rsidR="00FB0AE6" w:rsidRPr="00BC4FA9" w:rsidRDefault="00FB0AE6" w:rsidP="00BC4FA9">
            <w:pPr>
              <w:jc w:val="right"/>
              <w:rPr>
                <w:rFonts w:ascii="Calibri" w:hAnsi="Calibri" w:cs="Calibri"/>
                <w:kern w:val="0"/>
                <w:sz w:val="22"/>
                <w:szCs w:val="22"/>
                <w:lang w:val="en-IN" w:eastAsia="en-IN"/>
              </w:rPr>
            </w:pPr>
            <w:r w:rsidRPr="00BC4FA9">
              <w:rPr>
                <w:rFonts w:ascii="Calibri" w:hAnsi="Calibri" w:cs="Calibri"/>
                <w:bCs/>
                <w:color w:val="auto"/>
                <w:kern w:val="0"/>
                <w:sz w:val="22"/>
                <w:szCs w:val="22"/>
                <w:lang w:val="en-IN" w:eastAsia="en-IN"/>
              </w:rPr>
              <w:t>..</w:t>
            </w:r>
            <w:r w:rsidRPr="00BC4FA9">
              <w:rPr>
                <w:rFonts w:ascii="Calibri" w:hAnsi="Calibri" w:cs="Calibri"/>
                <w:kern w:val="0"/>
                <w:sz w:val="22"/>
                <w:szCs w:val="22"/>
                <w:lang w:val="en-IN" w:eastAsia="en-IN"/>
              </w:rPr>
              <w:t> </w:t>
            </w:r>
          </w:p>
        </w:tc>
      </w:tr>
      <w:tr w:rsidR="00FB0AE6" w:rsidRPr="001E5E7E" w:rsidTr="00C2051A">
        <w:trPr>
          <w:trHeight w:val="288"/>
        </w:trPr>
        <w:tc>
          <w:tcPr>
            <w:tcW w:w="2694" w:type="dxa"/>
            <w:tcBorders>
              <w:top w:val="nil"/>
              <w:left w:val="single" w:sz="4" w:space="0" w:color="auto"/>
              <w:bottom w:val="single" w:sz="4" w:space="0" w:color="auto"/>
              <w:right w:val="single" w:sz="4" w:space="0" w:color="auto"/>
            </w:tcBorders>
            <w:shd w:val="clear" w:color="auto" w:fill="auto"/>
            <w:vAlign w:val="bottom"/>
          </w:tcPr>
          <w:p w:rsidR="00FB0AE6" w:rsidRPr="001E5E7E" w:rsidRDefault="00FB0AE6" w:rsidP="00FB0AE6">
            <w:pPr>
              <w:rPr>
                <w:rFonts w:ascii="Calibri" w:hAnsi="Calibri" w:cs="Calibri"/>
                <w:color w:val="auto"/>
                <w:sz w:val="24"/>
                <w:szCs w:val="24"/>
              </w:rPr>
            </w:pPr>
            <w:r w:rsidRPr="001E5E7E">
              <w:rPr>
                <w:rFonts w:ascii="Calibri" w:hAnsi="Calibri" w:cs="Calibri"/>
                <w:sz w:val="24"/>
                <w:szCs w:val="24"/>
              </w:rPr>
              <w:t>Chen, T</w:t>
            </w:r>
            <w:r>
              <w:rPr>
                <w:rFonts w:ascii="Calibri" w:hAnsi="Calibri" w:cs="Calibri"/>
                <w:sz w:val="24"/>
                <w:szCs w:val="24"/>
              </w:rPr>
              <w:t xml:space="preserve"> (a)</w:t>
            </w:r>
          </w:p>
        </w:tc>
        <w:tc>
          <w:tcPr>
            <w:tcW w:w="992" w:type="dxa"/>
            <w:tcBorders>
              <w:top w:val="nil"/>
              <w:left w:val="single" w:sz="4" w:space="0" w:color="auto"/>
              <w:bottom w:val="single" w:sz="4" w:space="0" w:color="auto"/>
              <w:right w:val="single" w:sz="4" w:space="0" w:color="auto"/>
            </w:tcBorders>
            <w:shd w:val="clear" w:color="auto" w:fill="auto"/>
            <w:vAlign w:val="bottom"/>
          </w:tcPr>
          <w:p w:rsidR="00FB0AE6" w:rsidRPr="00BC4FA9" w:rsidRDefault="00FB0AE6" w:rsidP="00BC4FA9">
            <w:pPr>
              <w:jc w:val="right"/>
              <w:rPr>
                <w:rFonts w:ascii="Calibri" w:hAnsi="Calibri" w:cs="Calibri"/>
                <w:sz w:val="22"/>
                <w:szCs w:val="22"/>
              </w:rPr>
            </w:pPr>
            <w:r w:rsidRPr="00BC4FA9">
              <w:rPr>
                <w:rFonts w:ascii="Calibri" w:hAnsi="Calibri" w:cs="Calibri"/>
                <w:sz w:val="22"/>
                <w:szCs w:val="22"/>
              </w:rPr>
              <w:t>55</w:t>
            </w:r>
          </w:p>
        </w:tc>
        <w:tc>
          <w:tcPr>
            <w:tcW w:w="2268" w:type="dxa"/>
            <w:tcBorders>
              <w:top w:val="nil"/>
              <w:left w:val="single" w:sz="4" w:space="0" w:color="auto"/>
              <w:bottom w:val="single" w:sz="4" w:space="0" w:color="auto"/>
              <w:right w:val="single" w:sz="4" w:space="0" w:color="auto"/>
            </w:tcBorders>
            <w:shd w:val="clear" w:color="auto" w:fill="auto"/>
            <w:noWrap/>
            <w:vAlign w:val="bottom"/>
            <w:hideMark/>
          </w:tcPr>
          <w:p w:rsidR="00FB0AE6" w:rsidRPr="00BC4FA9" w:rsidRDefault="00FB0AE6"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49</w:t>
            </w:r>
          </w:p>
        </w:tc>
        <w:tc>
          <w:tcPr>
            <w:tcW w:w="2977" w:type="dxa"/>
            <w:tcBorders>
              <w:top w:val="nil"/>
              <w:left w:val="nil"/>
              <w:bottom w:val="single" w:sz="4" w:space="0" w:color="auto"/>
              <w:right w:val="single" w:sz="4" w:space="0" w:color="auto"/>
            </w:tcBorders>
            <w:shd w:val="clear" w:color="auto" w:fill="auto"/>
            <w:noWrap/>
            <w:hideMark/>
          </w:tcPr>
          <w:p w:rsidR="00FB0AE6" w:rsidRPr="00BC4FA9" w:rsidRDefault="00FB0AE6" w:rsidP="00BC4FA9">
            <w:pPr>
              <w:jc w:val="right"/>
              <w:rPr>
                <w:sz w:val="22"/>
                <w:szCs w:val="22"/>
              </w:rPr>
            </w:pPr>
            <w:r w:rsidRPr="00BC4FA9">
              <w:rPr>
                <w:rFonts w:ascii="Calibri" w:hAnsi="Calibri" w:cs="Calibri"/>
                <w:bCs/>
                <w:color w:val="auto"/>
                <w:kern w:val="0"/>
                <w:sz w:val="22"/>
                <w:szCs w:val="22"/>
                <w:lang w:val="en-IN" w:eastAsia="en-IN"/>
              </w:rPr>
              <w:t>..</w:t>
            </w:r>
          </w:p>
        </w:tc>
        <w:tc>
          <w:tcPr>
            <w:tcW w:w="3402" w:type="dxa"/>
            <w:tcBorders>
              <w:top w:val="nil"/>
              <w:left w:val="nil"/>
              <w:bottom w:val="single" w:sz="4" w:space="0" w:color="auto"/>
              <w:right w:val="single" w:sz="4" w:space="0" w:color="auto"/>
            </w:tcBorders>
            <w:vAlign w:val="bottom"/>
          </w:tcPr>
          <w:p w:rsidR="00FB0AE6" w:rsidRPr="00BC4FA9" w:rsidRDefault="00FB0AE6"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24</w:t>
            </w:r>
          </w:p>
        </w:tc>
      </w:tr>
      <w:tr w:rsidR="007A269C" w:rsidRPr="001E5E7E" w:rsidTr="00C2051A">
        <w:trPr>
          <w:trHeight w:val="288"/>
        </w:trPr>
        <w:tc>
          <w:tcPr>
            <w:tcW w:w="2694" w:type="dxa"/>
            <w:tcBorders>
              <w:top w:val="nil"/>
              <w:left w:val="single" w:sz="4" w:space="0" w:color="auto"/>
              <w:bottom w:val="single" w:sz="4" w:space="0" w:color="auto"/>
              <w:right w:val="single" w:sz="4" w:space="0" w:color="auto"/>
            </w:tcBorders>
            <w:shd w:val="clear" w:color="auto" w:fill="auto"/>
            <w:vAlign w:val="bottom"/>
          </w:tcPr>
          <w:p w:rsidR="007A269C" w:rsidRPr="001E5E7E" w:rsidRDefault="007A269C" w:rsidP="00884110">
            <w:pPr>
              <w:rPr>
                <w:rFonts w:ascii="Calibri" w:hAnsi="Calibri" w:cs="Calibri"/>
                <w:color w:val="auto"/>
                <w:sz w:val="24"/>
                <w:szCs w:val="24"/>
              </w:rPr>
            </w:pPr>
            <w:proofErr w:type="spellStart"/>
            <w:r w:rsidRPr="001E5E7E">
              <w:rPr>
                <w:rFonts w:ascii="Calibri" w:hAnsi="Calibri" w:cs="Calibri"/>
                <w:sz w:val="24"/>
                <w:szCs w:val="24"/>
              </w:rPr>
              <w:t>Fernández</w:t>
            </w:r>
            <w:proofErr w:type="spellEnd"/>
            <w:r w:rsidRPr="001E5E7E">
              <w:rPr>
                <w:rFonts w:ascii="Calibri" w:hAnsi="Calibri" w:cs="Calibri"/>
                <w:sz w:val="24"/>
                <w:szCs w:val="24"/>
              </w:rPr>
              <w:t>-Ruiz, M et al.</w:t>
            </w:r>
          </w:p>
        </w:tc>
        <w:tc>
          <w:tcPr>
            <w:tcW w:w="992" w:type="dxa"/>
            <w:tcBorders>
              <w:top w:val="nil"/>
              <w:left w:val="single" w:sz="4" w:space="0" w:color="auto"/>
              <w:bottom w:val="single" w:sz="4" w:space="0" w:color="auto"/>
              <w:right w:val="single" w:sz="4" w:space="0" w:color="auto"/>
            </w:tcBorders>
            <w:shd w:val="clear" w:color="auto" w:fill="auto"/>
            <w:vAlign w:val="bottom"/>
          </w:tcPr>
          <w:p w:rsidR="007A269C" w:rsidRPr="00BC4FA9" w:rsidRDefault="007A269C" w:rsidP="00BC4FA9">
            <w:pPr>
              <w:jc w:val="right"/>
              <w:rPr>
                <w:rFonts w:ascii="Calibri" w:hAnsi="Calibri" w:cs="Calibri"/>
                <w:sz w:val="22"/>
                <w:szCs w:val="22"/>
              </w:rPr>
            </w:pPr>
            <w:r w:rsidRPr="00BC4FA9">
              <w:rPr>
                <w:rFonts w:ascii="Calibri" w:hAnsi="Calibri" w:cs="Calibri"/>
                <w:sz w:val="22"/>
                <w:szCs w:val="22"/>
              </w:rPr>
              <w:t>15</w:t>
            </w:r>
          </w:p>
        </w:tc>
        <w:tc>
          <w:tcPr>
            <w:tcW w:w="2268" w:type="dxa"/>
            <w:tcBorders>
              <w:top w:val="nil"/>
              <w:left w:val="single" w:sz="4" w:space="0" w:color="auto"/>
              <w:bottom w:val="single" w:sz="4" w:space="0" w:color="auto"/>
              <w:right w:val="single" w:sz="4" w:space="0" w:color="auto"/>
            </w:tcBorders>
            <w:shd w:val="clear" w:color="auto" w:fill="auto"/>
            <w:noWrap/>
            <w:vAlign w:val="bottom"/>
            <w:hideMark/>
          </w:tcPr>
          <w:p w:rsidR="007A269C" w:rsidRPr="00BC4FA9" w:rsidRDefault="007A269C"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6</w:t>
            </w:r>
          </w:p>
        </w:tc>
        <w:tc>
          <w:tcPr>
            <w:tcW w:w="2977" w:type="dxa"/>
            <w:tcBorders>
              <w:top w:val="nil"/>
              <w:left w:val="nil"/>
              <w:bottom w:val="single" w:sz="4" w:space="0" w:color="auto"/>
              <w:right w:val="single" w:sz="4" w:space="0" w:color="auto"/>
            </w:tcBorders>
            <w:shd w:val="clear" w:color="auto" w:fill="auto"/>
            <w:noWrap/>
            <w:vAlign w:val="bottom"/>
            <w:hideMark/>
          </w:tcPr>
          <w:p w:rsidR="007A269C" w:rsidRPr="00BC4FA9" w:rsidRDefault="007A269C"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3</w:t>
            </w:r>
          </w:p>
        </w:tc>
        <w:tc>
          <w:tcPr>
            <w:tcW w:w="3402" w:type="dxa"/>
            <w:tcBorders>
              <w:top w:val="nil"/>
              <w:left w:val="nil"/>
              <w:bottom w:val="single" w:sz="4" w:space="0" w:color="auto"/>
              <w:right w:val="single" w:sz="4" w:space="0" w:color="auto"/>
            </w:tcBorders>
            <w:vAlign w:val="bottom"/>
          </w:tcPr>
          <w:p w:rsidR="007A269C" w:rsidRPr="00BC4FA9" w:rsidRDefault="007A269C"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2</w:t>
            </w:r>
          </w:p>
        </w:tc>
      </w:tr>
      <w:tr w:rsidR="007A269C" w:rsidRPr="001E5E7E" w:rsidTr="00C2051A">
        <w:trPr>
          <w:trHeight w:val="288"/>
        </w:trPr>
        <w:tc>
          <w:tcPr>
            <w:tcW w:w="2694" w:type="dxa"/>
            <w:tcBorders>
              <w:top w:val="nil"/>
              <w:left w:val="single" w:sz="4" w:space="0" w:color="auto"/>
              <w:bottom w:val="single" w:sz="4" w:space="0" w:color="auto"/>
              <w:right w:val="single" w:sz="4" w:space="0" w:color="auto"/>
            </w:tcBorders>
            <w:shd w:val="clear" w:color="auto" w:fill="auto"/>
            <w:vAlign w:val="bottom"/>
          </w:tcPr>
          <w:p w:rsidR="007A269C" w:rsidRPr="001E5E7E" w:rsidRDefault="007A269C" w:rsidP="00884110">
            <w:pPr>
              <w:rPr>
                <w:rFonts w:ascii="Calibri" w:hAnsi="Calibri" w:cs="Calibri"/>
                <w:color w:val="auto"/>
                <w:sz w:val="24"/>
                <w:szCs w:val="24"/>
              </w:rPr>
            </w:pPr>
            <w:proofErr w:type="spellStart"/>
            <w:r w:rsidRPr="001E5E7E">
              <w:rPr>
                <w:rFonts w:ascii="Calibri" w:hAnsi="Calibri" w:cs="Calibri"/>
                <w:sz w:val="24"/>
                <w:szCs w:val="24"/>
              </w:rPr>
              <w:t>Lian</w:t>
            </w:r>
            <w:proofErr w:type="spellEnd"/>
            <w:r w:rsidRPr="001E5E7E">
              <w:rPr>
                <w:rFonts w:ascii="Calibri" w:hAnsi="Calibri" w:cs="Calibri"/>
                <w:sz w:val="24"/>
                <w:szCs w:val="24"/>
              </w:rPr>
              <w:t>, J et al.</w:t>
            </w:r>
          </w:p>
        </w:tc>
        <w:tc>
          <w:tcPr>
            <w:tcW w:w="992" w:type="dxa"/>
            <w:tcBorders>
              <w:top w:val="nil"/>
              <w:left w:val="single" w:sz="4" w:space="0" w:color="auto"/>
              <w:bottom w:val="single" w:sz="4" w:space="0" w:color="auto"/>
              <w:right w:val="single" w:sz="4" w:space="0" w:color="auto"/>
            </w:tcBorders>
            <w:shd w:val="clear" w:color="auto" w:fill="auto"/>
            <w:vAlign w:val="bottom"/>
          </w:tcPr>
          <w:p w:rsidR="007A269C" w:rsidRPr="00BC4FA9" w:rsidRDefault="007A269C" w:rsidP="00BC4FA9">
            <w:pPr>
              <w:jc w:val="right"/>
              <w:rPr>
                <w:rFonts w:ascii="Calibri" w:hAnsi="Calibri" w:cs="Calibri"/>
                <w:sz w:val="22"/>
                <w:szCs w:val="22"/>
              </w:rPr>
            </w:pPr>
            <w:r w:rsidRPr="00BC4FA9">
              <w:rPr>
                <w:rFonts w:ascii="Calibri" w:hAnsi="Calibri" w:cs="Calibri"/>
                <w:sz w:val="22"/>
                <w:szCs w:val="22"/>
              </w:rPr>
              <w:t>136</w:t>
            </w:r>
          </w:p>
        </w:tc>
        <w:tc>
          <w:tcPr>
            <w:tcW w:w="2268" w:type="dxa"/>
            <w:tcBorders>
              <w:top w:val="nil"/>
              <w:left w:val="single" w:sz="4" w:space="0" w:color="auto"/>
              <w:bottom w:val="single" w:sz="4" w:space="0" w:color="auto"/>
              <w:right w:val="single" w:sz="4" w:space="0" w:color="auto"/>
            </w:tcBorders>
            <w:shd w:val="clear" w:color="auto" w:fill="auto"/>
            <w:noWrap/>
            <w:vAlign w:val="bottom"/>
            <w:hideMark/>
          </w:tcPr>
          <w:p w:rsidR="007A269C" w:rsidRPr="00BC4FA9" w:rsidRDefault="007A269C"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 </w:t>
            </w:r>
            <w:r w:rsidR="00FB0AE6" w:rsidRPr="00BC4FA9">
              <w:rPr>
                <w:rFonts w:ascii="Calibri" w:hAnsi="Calibri" w:cs="Calibri"/>
                <w:bCs/>
                <w:color w:val="auto"/>
                <w:kern w:val="0"/>
                <w:sz w:val="22"/>
                <w:szCs w:val="22"/>
                <w:lang w:val="en-IN" w:eastAsia="en-IN"/>
              </w:rPr>
              <w:t>..</w:t>
            </w:r>
          </w:p>
        </w:tc>
        <w:tc>
          <w:tcPr>
            <w:tcW w:w="2977" w:type="dxa"/>
            <w:tcBorders>
              <w:top w:val="nil"/>
              <w:left w:val="nil"/>
              <w:bottom w:val="single" w:sz="4" w:space="0" w:color="auto"/>
              <w:right w:val="single" w:sz="4" w:space="0" w:color="auto"/>
            </w:tcBorders>
            <w:shd w:val="clear" w:color="auto" w:fill="auto"/>
            <w:noWrap/>
            <w:vAlign w:val="bottom"/>
            <w:hideMark/>
          </w:tcPr>
          <w:p w:rsidR="007A269C" w:rsidRPr="00BC4FA9" w:rsidRDefault="007A269C"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3</w:t>
            </w:r>
          </w:p>
        </w:tc>
        <w:tc>
          <w:tcPr>
            <w:tcW w:w="3402" w:type="dxa"/>
            <w:tcBorders>
              <w:top w:val="nil"/>
              <w:left w:val="nil"/>
              <w:bottom w:val="single" w:sz="4" w:space="0" w:color="auto"/>
              <w:right w:val="single" w:sz="4" w:space="0" w:color="auto"/>
            </w:tcBorders>
            <w:vAlign w:val="bottom"/>
          </w:tcPr>
          <w:p w:rsidR="007A269C" w:rsidRPr="00BC4FA9" w:rsidRDefault="007A269C"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6</w:t>
            </w:r>
          </w:p>
        </w:tc>
      </w:tr>
      <w:tr w:rsidR="007A269C" w:rsidRPr="001E5E7E" w:rsidTr="00C2051A">
        <w:trPr>
          <w:trHeight w:val="288"/>
        </w:trPr>
        <w:tc>
          <w:tcPr>
            <w:tcW w:w="2694" w:type="dxa"/>
            <w:tcBorders>
              <w:top w:val="nil"/>
              <w:left w:val="single" w:sz="4" w:space="0" w:color="auto"/>
              <w:bottom w:val="single" w:sz="4" w:space="0" w:color="auto"/>
              <w:right w:val="single" w:sz="4" w:space="0" w:color="auto"/>
            </w:tcBorders>
            <w:shd w:val="clear" w:color="auto" w:fill="auto"/>
            <w:vAlign w:val="bottom"/>
          </w:tcPr>
          <w:p w:rsidR="007A269C" w:rsidRPr="001E5E7E" w:rsidRDefault="007A269C" w:rsidP="00884110">
            <w:pPr>
              <w:rPr>
                <w:rFonts w:ascii="Calibri" w:hAnsi="Calibri" w:cs="Calibri"/>
                <w:color w:val="auto"/>
                <w:sz w:val="24"/>
                <w:szCs w:val="24"/>
              </w:rPr>
            </w:pPr>
            <w:r w:rsidRPr="001E5E7E">
              <w:rPr>
                <w:rFonts w:ascii="Calibri" w:hAnsi="Calibri" w:cs="Calibri"/>
                <w:sz w:val="24"/>
                <w:szCs w:val="24"/>
              </w:rPr>
              <w:t>Liu, K et al.</w:t>
            </w:r>
          </w:p>
        </w:tc>
        <w:tc>
          <w:tcPr>
            <w:tcW w:w="992" w:type="dxa"/>
            <w:tcBorders>
              <w:top w:val="nil"/>
              <w:left w:val="single" w:sz="4" w:space="0" w:color="auto"/>
              <w:bottom w:val="single" w:sz="4" w:space="0" w:color="auto"/>
              <w:right w:val="single" w:sz="4" w:space="0" w:color="auto"/>
            </w:tcBorders>
            <w:shd w:val="clear" w:color="auto" w:fill="auto"/>
            <w:vAlign w:val="bottom"/>
          </w:tcPr>
          <w:p w:rsidR="007A269C" w:rsidRPr="00BC4FA9" w:rsidRDefault="007A269C" w:rsidP="00BC4FA9">
            <w:pPr>
              <w:jc w:val="right"/>
              <w:rPr>
                <w:rFonts w:ascii="Calibri" w:hAnsi="Calibri" w:cs="Calibri"/>
                <w:sz w:val="22"/>
                <w:szCs w:val="22"/>
              </w:rPr>
            </w:pPr>
            <w:r w:rsidRPr="00BC4FA9">
              <w:rPr>
                <w:rFonts w:ascii="Calibri" w:hAnsi="Calibri" w:cs="Calibri"/>
                <w:sz w:val="22"/>
                <w:szCs w:val="22"/>
              </w:rPr>
              <w:t>18</w:t>
            </w:r>
          </w:p>
        </w:tc>
        <w:tc>
          <w:tcPr>
            <w:tcW w:w="2268" w:type="dxa"/>
            <w:tcBorders>
              <w:top w:val="nil"/>
              <w:left w:val="single" w:sz="4" w:space="0" w:color="auto"/>
              <w:bottom w:val="single" w:sz="4" w:space="0" w:color="auto"/>
              <w:right w:val="single" w:sz="4" w:space="0" w:color="auto"/>
            </w:tcBorders>
            <w:shd w:val="clear" w:color="auto" w:fill="auto"/>
            <w:noWrap/>
            <w:vAlign w:val="bottom"/>
            <w:hideMark/>
          </w:tcPr>
          <w:p w:rsidR="007A269C" w:rsidRPr="00BC4FA9" w:rsidRDefault="007A269C"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17</w:t>
            </w:r>
          </w:p>
        </w:tc>
        <w:tc>
          <w:tcPr>
            <w:tcW w:w="2977" w:type="dxa"/>
            <w:tcBorders>
              <w:top w:val="nil"/>
              <w:left w:val="nil"/>
              <w:bottom w:val="single" w:sz="4" w:space="0" w:color="auto"/>
              <w:right w:val="single" w:sz="4" w:space="0" w:color="auto"/>
            </w:tcBorders>
            <w:shd w:val="clear" w:color="auto" w:fill="auto"/>
            <w:noWrap/>
            <w:vAlign w:val="bottom"/>
            <w:hideMark/>
          </w:tcPr>
          <w:p w:rsidR="007A269C" w:rsidRPr="00BC4FA9" w:rsidRDefault="007A269C"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1</w:t>
            </w:r>
          </w:p>
        </w:tc>
        <w:tc>
          <w:tcPr>
            <w:tcW w:w="3402" w:type="dxa"/>
            <w:tcBorders>
              <w:top w:val="nil"/>
              <w:left w:val="nil"/>
              <w:bottom w:val="single" w:sz="4" w:space="0" w:color="auto"/>
              <w:right w:val="single" w:sz="4" w:space="0" w:color="auto"/>
            </w:tcBorders>
            <w:vAlign w:val="bottom"/>
          </w:tcPr>
          <w:p w:rsidR="007A269C" w:rsidRPr="00BC4FA9" w:rsidRDefault="007A269C"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4</w:t>
            </w:r>
          </w:p>
        </w:tc>
      </w:tr>
      <w:tr w:rsidR="00FB0AE6" w:rsidRPr="001E5E7E" w:rsidTr="00C2051A">
        <w:trPr>
          <w:trHeight w:val="288"/>
        </w:trPr>
        <w:tc>
          <w:tcPr>
            <w:tcW w:w="2694" w:type="dxa"/>
            <w:tcBorders>
              <w:top w:val="nil"/>
              <w:left w:val="single" w:sz="4" w:space="0" w:color="auto"/>
              <w:bottom w:val="single" w:sz="4" w:space="0" w:color="auto"/>
              <w:right w:val="single" w:sz="4" w:space="0" w:color="auto"/>
            </w:tcBorders>
            <w:shd w:val="clear" w:color="auto" w:fill="auto"/>
            <w:vAlign w:val="bottom"/>
          </w:tcPr>
          <w:p w:rsidR="00FB0AE6" w:rsidRPr="001E5E7E" w:rsidRDefault="00FB0AE6" w:rsidP="00FB0AE6">
            <w:pPr>
              <w:rPr>
                <w:rFonts w:ascii="Calibri" w:hAnsi="Calibri" w:cs="Calibri"/>
                <w:color w:val="auto"/>
                <w:sz w:val="24"/>
                <w:szCs w:val="24"/>
              </w:rPr>
            </w:pPr>
            <w:r w:rsidRPr="001E5E7E">
              <w:rPr>
                <w:rFonts w:ascii="Calibri" w:hAnsi="Calibri" w:cs="Calibri"/>
                <w:sz w:val="24"/>
                <w:szCs w:val="24"/>
              </w:rPr>
              <w:t>Richardson, S et al.</w:t>
            </w:r>
          </w:p>
        </w:tc>
        <w:tc>
          <w:tcPr>
            <w:tcW w:w="992" w:type="dxa"/>
            <w:tcBorders>
              <w:top w:val="nil"/>
              <w:left w:val="single" w:sz="4" w:space="0" w:color="auto"/>
              <w:bottom w:val="single" w:sz="4" w:space="0" w:color="auto"/>
              <w:right w:val="single" w:sz="4" w:space="0" w:color="auto"/>
            </w:tcBorders>
            <w:shd w:val="clear" w:color="auto" w:fill="auto"/>
            <w:vAlign w:val="bottom"/>
          </w:tcPr>
          <w:p w:rsidR="00FB0AE6" w:rsidRPr="00BC4FA9" w:rsidRDefault="00FB0AE6" w:rsidP="00BC4FA9">
            <w:pPr>
              <w:jc w:val="right"/>
              <w:rPr>
                <w:rFonts w:ascii="Calibri" w:hAnsi="Calibri" w:cs="Calibri"/>
                <w:sz w:val="22"/>
                <w:szCs w:val="22"/>
              </w:rPr>
            </w:pPr>
            <w:r w:rsidRPr="00BC4FA9">
              <w:rPr>
                <w:rFonts w:ascii="Calibri" w:hAnsi="Calibri" w:cs="Calibri"/>
                <w:sz w:val="22"/>
                <w:szCs w:val="22"/>
              </w:rPr>
              <w:t>2582</w:t>
            </w:r>
          </w:p>
        </w:tc>
        <w:tc>
          <w:tcPr>
            <w:tcW w:w="2268" w:type="dxa"/>
            <w:tcBorders>
              <w:top w:val="nil"/>
              <w:left w:val="single" w:sz="4" w:space="0" w:color="auto"/>
              <w:bottom w:val="single" w:sz="4" w:space="0" w:color="auto"/>
              <w:right w:val="single" w:sz="4" w:space="0" w:color="auto"/>
            </w:tcBorders>
            <w:shd w:val="clear" w:color="auto" w:fill="auto"/>
            <w:noWrap/>
            <w:hideMark/>
          </w:tcPr>
          <w:p w:rsidR="00FB0AE6" w:rsidRPr="00BC4FA9" w:rsidRDefault="00FB0AE6" w:rsidP="00BC4FA9">
            <w:pPr>
              <w:jc w:val="right"/>
              <w:rPr>
                <w:sz w:val="22"/>
                <w:szCs w:val="22"/>
              </w:rPr>
            </w:pPr>
            <w:r w:rsidRPr="00BC4FA9">
              <w:rPr>
                <w:rFonts w:ascii="Calibri" w:hAnsi="Calibri" w:cs="Calibri"/>
                <w:bCs/>
                <w:color w:val="auto"/>
                <w:kern w:val="0"/>
                <w:sz w:val="22"/>
                <w:szCs w:val="22"/>
                <w:lang w:val="en-IN" w:eastAsia="en-IN"/>
              </w:rPr>
              <w:t>..</w:t>
            </w:r>
          </w:p>
        </w:tc>
        <w:tc>
          <w:tcPr>
            <w:tcW w:w="2977" w:type="dxa"/>
            <w:tcBorders>
              <w:top w:val="nil"/>
              <w:left w:val="nil"/>
              <w:bottom w:val="single" w:sz="4" w:space="0" w:color="auto"/>
              <w:right w:val="single" w:sz="4" w:space="0" w:color="auto"/>
            </w:tcBorders>
            <w:shd w:val="clear" w:color="auto" w:fill="auto"/>
            <w:noWrap/>
            <w:hideMark/>
          </w:tcPr>
          <w:p w:rsidR="00FB0AE6" w:rsidRPr="00BC4FA9" w:rsidRDefault="00FB0AE6" w:rsidP="00BC4FA9">
            <w:pPr>
              <w:jc w:val="right"/>
              <w:rPr>
                <w:sz w:val="22"/>
                <w:szCs w:val="22"/>
              </w:rPr>
            </w:pPr>
            <w:r w:rsidRPr="00BC4FA9">
              <w:rPr>
                <w:rFonts w:ascii="Calibri" w:hAnsi="Calibri" w:cs="Calibri"/>
                <w:bCs/>
                <w:color w:val="auto"/>
                <w:kern w:val="0"/>
                <w:sz w:val="22"/>
                <w:szCs w:val="22"/>
                <w:lang w:val="en-IN" w:eastAsia="en-IN"/>
              </w:rPr>
              <w:t>..</w:t>
            </w:r>
          </w:p>
        </w:tc>
        <w:tc>
          <w:tcPr>
            <w:tcW w:w="3402" w:type="dxa"/>
            <w:tcBorders>
              <w:top w:val="nil"/>
              <w:left w:val="nil"/>
              <w:bottom w:val="single" w:sz="4" w:space="0" w:color="auto"/>
              <w:right w:val="single" w:sz="4" w:space="0" w:color="auto"/>
            </w:tcBorders>
            <w:vAlign w:val="bottom"/>
          </w:tcPr>
          <w:p w:rsidR="00FB0AE6" w:rsidRPr="00BC4FA9" w:rsidRDefault="00FB0AE6" w:rsidP="00BC4FA9">
            <w:pPr>
              <w:jc w:val="right"/>
              <w:rPr>
                <w:rFonts w:ascii="Calibri" w:hAnsi="Calibri" w:cs="Calibri"/>
                <w:kern w:val="0"/>
                <w:sz w:val="22"/>
                <w:szCs w:val="22"/>
                <w:lang w:val="en-IN" w:eastAsia="en-IN"/>
              </w:rPr>
            </w:pPr>
            <w:r w:rsidRPr="00BC4FA9">
              <w:rPr>
                <w:rFonts w:ascii="Calibri" w:hAnsi="Calibri" w:cs="Calibri"/>
                <w:kern w:val="0"/>
                <w:sz w:val="22"/>
                <w:szCs w:val="22"/>
                <w:lang w:val="en-IN" w:eastAsia="en-IN"/>
              </w:rPr>
              <w:t>558</w:t>
            </w:r>
          </w:p>
        </w:tc>
      </w:tr>
    </w:tbl>
    <w:p w:rsidR="007A269C" w:rsidRDefault="007A269C" w:rsidP="007A269C">
      <w:pPr>
        <w:tabs>
          <w:tab w:val="left" w:pos="2292"/>
        </w:tabs>
        <w:rPr>
          <w:rFonts w:ascii="Calibri" w:hAnsi="Calibri" w:cs="Calibri"/>
          <w:sz w:val="24"/>
          <w:szCs w:val="24"/>
        </w:rPr>
      </w:pPr>
      <w:r>
        <w:rPr>
          <w:rFonts w:ascii="Calibri" w:hAnsi="Calibri" w:cs="Calibri"/>
          <w:sz w:val="24"/>
          <w:szCs w:val="24"/>
        </w:rPr>
        <w:t xml:space="preserve">KCDC - </w:t>
      </w:r>
      <w:r w:rsidRPr="00890408">
        <w:rPr>
          <w:rFonts w:ascii="Calibri" w:hAnsi="Calibri" w:cs="Calibri"/>
          <w:sz w:val="24"/>
          <w:szCs w:val="24"/>
        </w:rPr>
        <w:t>Korea Centers for Disease Control and Prevention</w:t>
      </w:r>
    </w:p>
    <w:p w:rsidR="00C2051A" w:rsidRDefault="00C2051A">
      <w:pPr>
        <w:spacing w:after="160" w:line="259" w:lineRule="auto"/>
        <w:rPr>
          <w:rFonts w:ascii="Calibri" w:hAnsi="Calibri" w:cs="Calibri"/>
          <w:sz w:val="22"/>
          <w:szCs w:val="22"/>
        </w:rPr>
      </w:pPr>
    </w:p>
    <w:p w:rsidR="00C2051A" w:rsidRDefault="00C2051A">
      <w:pPr>
        <w:spacing w:after="160" w:line="259" w:lineRule="auto"/>
        <w:rPr>
          <w:rFonts w:ascii="Calibri" w:hAnsi="Calibri" w:cs="Calibri"/>
          <w:sz w:val="24"/>
          <w:szCs w:val="24"/>
        </w:rPr>
      </w:pPr>
      <w:r>
        <w:rPr>
          <w:rFonts w:ascii="Calibri" w:hAnsi="Calibri" w:cs="Calibri"/>
          <w:sz w:val="24"/>
          <w:szCs w:val="24"/>
        </w:rPr>
        <w:br w:type="page"/>
      </w:r>
    </w:p>
    <w:p w:rsidR="00C2051A" w:rsidRDefault="00C2051A" w:rsidP="00C2051A">
      <w:pPr>
        <w:spacing w:line="259" w:lineRule="auto"/>
        <w:rPr>
          <w:rFonts w:ascii="Calibri" w:hAnsi="Calibri" w:cs="Calibri"/>
          <w:sz w:val="24"/>
          <w:szCs w:val="24"/>
        </w:rPr>
      </w:pPr>
      <w:bookmarkStart w:id="2" w:name="_GoBack"/>
      <w:r>
        <w:rPr>
          <w:rFonts w:ascii="Calibri" w:hAnsi="Calibri" w:cs="Calibri"/>
          <w:sz w:val="24"/>
          <w:szCs w:val="24"/>
        </w:rPr>
        <w:lastRenderedPageBreak/>
        <w:t>Supplementary Table S7</w:t>
      </w:r>
      <w:r>
        <w:rPr>
          <w:rFonts w:ascii="Calibri" w:hAnsi="Calibri" w:cs="Calibri"/>
          <w:sz w:val="24"/>
          <w:szCs w:val="24"/>
        </w:rPr>
        <w:t>.</w:t>
      </w:r>
      <w:r w:rsidRPr="001E5E7E">
        <w:rPr>
          <w:rFonts w:ascii="Calibri" w:hAnsi="Calibri" w:cs="Calibri"/>
          <w:sz w:val="24"/>
          <w:szCs w:val="24"/>
        </w:rPr>
        <w:t xml:space="preserve"> </w:t>
      </w:r>
      <w:r w:rsidRPr="004F16F2">
        <w:rPr>
          <w:rFonts w:ascii="Calibri" w:hAnsi="Calibri" w:cs="Calibri"/>
          <w:sz w:val="24"/>
          <w:szCs w:val="24"/>
        </w:rPr>
        <w:t>Weighted pooled prevalence (WPP) of</w:t>
      </w:r>
      <w:r>
        <w:rPr>
          <w:rFonts w:ascii="Calibri" w:hAnsi="Calibri" w:cs="Calibri"/>
          <w:sz w:val="24"/>
          <w:szCs w:val="24"/>
        </w:rPr>
        <w:t xml:space="preserve"> laboratory, </w:t>
      </w:r>
      <w:r w:rsidRPr="004F16F2">
        <w:rPr>
          <w:rFonts w:ascii="Calibri" w:hAnsi="Calibri" w:cs="Calibri"/>
          <w:sz w:val="24"/>
          <w:szCs w:val="24"/>
        </w:rPr>
        <w:t>radiological findings</w:t>
      </w:r>
      <w:r>
        <w:rPr>
          <w:rFonts w:ascii="Calibri" w:hAnsi="Calibri" w:cs="Calibri"/>
          <w:sz w:val="24"/>
          <w:szCs w:val="24"/>
        </w:rPr>
        <w:t>, complications and respiratory support in older patients with COVID-19</w:t>
      </w:r>
    </w:p>
    <w:bookmarkEnd w:id="2"/>
    <w:p w:rsidR="00C2051A" w:rsidRPr="00C2051A" w:rsidRDefault="00C2051A" w:rsidP="00C2051A">
      <w:pPr>
        <w:spacing w:line="259" w:lineRule="auto"/>
        <w:rPr>
          <w:rFonts w:ascii="Calibri" w:hAnsi="Calibri" w:cs="Calibri"/>
          <w:sz w:val="24"/>
          <w:szCs w:val="24"/>
        </w:rPr>
      </w:pPr>
    </w:p>
    <w:tbl>
      <w:tblPr>
        <w:tblW w:w="12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1446"/>
        <w:gridCol w:w="2126"/>
        <w:gridCol w:w="1134"/>
        <w:gridCol w:w="1276"/>
        <w:gridCol w:w="1559"/>
        <w:gridCol w:w="709"/>
        <w:gridCol w:w="1559"/>
      </w:tblGrid>
      <w:tr w:rsidR="00C2051A" w:rsidRPr="004F16F2" w:rsidTr="00C2051A">
        <w:tc>
          <w:tcPr>
            <w:tcW w:w="2660" w:type="dxa"/>
            <w:shd w:val="clear" w:color="auto" w:fill="auto"/>
          </w:tcPr>
          <w:p w:rsidR="00C2051A" w:rsidRPr="004F16F2" w:rsidRDefault="00C2051A" w:rsidP="00C2051A">
            <w:pPr>
              <w:tabs>
                <w:tab w:val="left" w:pos="2292"/>
              </w:tabs>
              <w:rPr>
                <w:rFonts w:ascii="Calibri" w:hAnsi="Calibri" w:cs="Calibri"/>
                <w:b/>
                <w:sz w:val="24"/>
                <w:szCs w:val="24"/>
              </w:rPr>
            </w:pPr>
            <w:r w:rsidRPr="004F16F2">
              <w:rPr>
                <w:rFonts w:ascii="Calibri" w:hAnsi="Calibri" w:cs="Calibri"/>
                <w:b/>
                <w:sz w:val="24"/>
                <w:szCs w:val="24"/>
              </w:rPr>
              <w:t>Variable</w:t>
            </w:r>
          </w:p>
        </w:tc>
        <w:tc>
          <w:tcPr>
            <w:tcW w:w="1446" w:type="dxa"/>
            <w:shd w:val="clear" w:color="auto" w:fill="auto"/>
          </w:tcPr>
          <w:p w:rsidR="00C2051A" w:rsidRPr="004F16F2" w:rsidRDefault="00C2051A" w:rsidP="00C2051A">
            <w:pPr>
              <w:tabs>
                <w:tab w:val="left" w:pos="2292"/>
              </w:tabs>
              <w:rPr>
                <w:rFonts w:ascii="Calibri" w:hAnsi="Calibri" w:cs="Calibri"/>
                <w:b/>
                <w:sz w:val="24"/>
                <w:szCs w:val="24"/>
              </w:rPr>
            </w:pPr>
            <w:r w:rsidRPr="004F16F2">
              <w:rPr>
                <w:rFonts w:ascii="Calibri" w:hAnsi="Calibri" w:cs="Calibri"/>
                <w:b/>
                <w:sz w:val="24"/>
                <w:szCs w:val="24"/>
              </w:rPr>
              <w:t>Number of studies</w:t>
            </w:r>
          </w:p>
        </w:tc>
        <w:tc>
          <w:tcPr>
            <w:tcW w:w="2126" w:type="dxa"/>
            <w:shd w:val="clear" w:color="auto" w:fill="auto"/>
          </w:tcPr>
          <w:p w:rsidR="00C2051A" w:rsidRPr="004F16F2" w:rsidRDefault="00C2051A" w:rsidP="00C2051A">
            <w:pPr>
              <w:tabs>
                <w:tab w:val="left" w:pos="2292"/>
              </w:tabs>
              <w:rPr>
                <w:rFonts w:ascii="Calibri" w:hAnsi="Calibri" w:cs="Calibri"/>
                <w:b/>
                <w:sz w:val="24"/>
                <w:szCs w:val="24"/>
              </w:rPr>
            </w:pPr>
            <w:r w:rsidRPr="004F16F2">
              <w:rPr>
                <w:rFonts w:ascii="Calibri" w:hAnsi="Calibri" w:cs="Calibri"/>
                <w:b/>
                <w:sz w:val="24"/>
                <w:szCs w:val="24"/>
              </w:rPr>
              <w:t>Number of patients</w:t>
            </w:r>
          </w:p>
        </w:tc>
        <w:tc>
          <w:tcPr>
            <w:tcW w:w="1134" w:type="dxa"/>
            <w:shd w:val="clear" w:color="auto" w:fill="auto"/>
          </w:tcPr>
          <w:p w:rsidR="00C2051A" w:rsidRPr="004F16F2" w:rsidRDefault="00C2051A" w:rsidP="00C2051A">
            <w:pPr>
              <w:tabs>
                <w:tab w:val="left" w:pos="2292"/>
              </w:tabs>
              <w:rPr>
                <w:rFonts w:ascii="Calibri" w:hAnsi="Calibri" w:cs="Calibri"/>
                <w:b/>
                <w:sz w:val="24"/>
                <w:szCs w:val="24"/>
              </w:rPr>
            </w:pPr>
            <w:r w:rsidRPr="004F16F2">
              <w:rPr>
                <w:rFonts w:ascii="Calibri" w:hAnsi="Calibri" w:cs="Calibri"/>
                <w:b/>
                <w:sz w:val="24"/>
                <w:szCs w:val="24"/>
              </w:rPr>
              <w:t>WPP</w:t>
            </w:r>
          </w:p>
        </w:tc>
        <w:tc>
          <w:tcPr>
            <w:tcW w:w="1276" w:type="dxa"/>
            <w:shd w:val="clear" w:color="auto" w:fill="auto"/>
          </w:tcPr>
          <w:p w:rsidR="00C2051A" w:rsidRPr="004F16F2" w:rsidRDefault="00C2051A" w:rsidP="00C2051A">
            <w:pPr>
              <w:tabs>
                <w:tab w:val="left" w:pos="2292"/>
              </w:tabs>
              <w:rPr>
                <w:rFonts w:ascii="Calibri" w:hAnsi="Calibri" w:cs="Calibri"/>
                <w:b/>
                <w:sz w:val="24"/>
                <w:szCs w:val="24"/>
              </w:rPr>
            </w:pPr>
            <w:r w:rsidRPr="004F16F2">
              <w:rPr>
                <w:rFonts w:ascii="Calibri" w:hAnsi="Calibri" w:cs="Calibri"/>
                <w:b/>
                <w:sz w:val="24"/>
                <w:szCs w:val="24"/>
              </w:rPr>
              <w:t>95% CI</w:t>
            </w:r>
          </w:p>
        </w:tc>
        <w:tc>
          <w:tcPr>
            <w:tcW w:w="1559" w:type="dxa"/>
            <w:shd w:val="clear" w:color="auto" w:fill="auto"/>
          </w:tcPr>
          <w:p w:rsidR="00C2051A" w:rsidRPr="004F16F2" w:rsidRDefault="00C2051A" w:rsidP="00C2051A">
            <w:pPr>
              <w:tabs>
                <w:tab w:val="left" w:pos="2292"/>
              </w:tabs>
              <w:rPr>
                <w:rFonts w:ascii="Calibri" w:hAnsi="Calibri" w:cs="Calibri"/>
                <w:b/>
                <w:sz w:val="24"/>
                <w:szCs w:val="24"/>
              </w:rPr>
            </w:pPr>
            <w:r w:rsidRPr="004F16F2">
              <w:rPr>
                <w:rFonts w:ascii="Calibri" w:hAnsi="Calibri" w:cs="Calibri"/>
                <w:b/>
                <w:sz w:val="24"/>
                <w:szCs w:val="24"/>
              </w:rPr>
              <w:t>p-value for Cochran’s Q</w:t>
            </w:r>
          </w:p>
        </w:tc>
        <w:tc>
          <w:tcPr>
            <w:tcW w:w="709" w:type="dxa"/>
            <w:shd w:val="clear" w:color="auto" w:fill="auto"/>
          </w:tcPr>
          <w:p w:rsidR="00C2051A" w:rsidRPr="004F16F2" w:rsidRDefault="00C2051A" w:rsidP="00C2051A">
            <w:pPr>
              <w:tabs>
                <w:tab w:val="left" w:pos="2292"/>
              </w:tabs>
              <w:rPr>
                <w:rFonts w:ascii="Calibri" w:hAnsi="Calibri" w:cs="Calibri"/>
                <w:b/>
                <w:sz w:val="24"/>
                <w:szCs w:val="24"/>
                <w:vertAlign w:val="superscript"/>
              </w:rPr>
            </w:pPr>
            <w:r w:rsidRPr="004F16F2">
              <w:rPr>
                <w:rFonts w:ascii="Calibri" w:hAnsi="Calibri" w:cs="Calibri"/>
                <w:b/>
                <w:sz w:val="24"/>
                <w:szCs w:val="24"/>
              </w:rPr>
              <w:t>I</w:t>
            </w:r>
            <w:r w:rsidRPr="004F16F2">
              <w:rPr>
                <w:rFonts w:ascii="Calibri" w:hAnsi="Calibri" w:cs="Calibri"/>
                <w:b/>
                <w:sz w:val="24"/>
                <w:szCs w:val="24"/>
                <w:vertAlign w:val="superscript"/>
              </w:rPr>
              <w:t>2</w:t>
            </w:r>
          </w:p>
        </w:tc>
        <w:tc>
          <w:tcPr>
            <w:tcW w:w="1559" w:type="dxa"/>
            <w:shd w:val="clear" w:color="auto" w:fill="auto"/>
          </w:tcPr>
          <w:p w:rsidR="00C2051A" w:rsidRPr="004F16F2" w:rsidRDefault="00C2051A" w:rsidP="00C2051A">
            <w:pPr>
              <w:tabs>
                <w:tab w:val="left" w:pos="2292"/>
              </w:tabs>
              <w:rPr>
                <w:rFonts w:ascii="Calibri" w:hAnsi="Calibri" w:cs="Calibri"/>
                <w:b/>
                <w:sz w:val="24"/>
                <w:szCs w:val="24"/>
              </w:rPr>
            </w:pPr>
            <w:r w:rsidRPr="004F16F2">
              <w:rPr>
                <w:rFonts w:ascii="Calibri" w:hAnsi="Calibri" w:cs="Calibri"/>
                <w:b/>
                <w:sz w:val="24"/>
                <w:szCs w:val="24"/>
              </w:rPr>
              <w:t>Egger’s test</w:t>
            </w:r>
            <w:r>
              <w:rPr>
                <w:rFonts w:ascii="Calibri" w:hAnsi="Calibri" w:cs="Calibri"/>
                <w:b/>
                <w:sz w:val="24"/>
                <w:szCs w:val="24"/>
              </w:rPr>
              <w:t xml:space="preserve"> </w:t>
            </w:r>
            <w:r w:rsidRPr="004F16F2">
              <w:rPr>
                <w:rFonts w:ascii="Calibri" w:hAnsi="Calibri" w:cs="Calibri"/>
                <w:b/>
                <w:sz w:val="24"/>
                <w:szCs w:val="24"/>
              </w:rPr>
              <w:t>(p-value)</w:t>
            </w:r>
          </w:p>
        </w:tc>
      </w:tr>
      <w:tr w:rsidR="00C2051A" w:rsidRPr="004F16F2" w:rsidTr="00C2051A">
        <w:tc>
          <w:tcPr>
            <w:tcW w:w="12469" w:type="dxa"/>
            <w:gridSpan w:val="8"/>
            <w:shd w:val="clear" w:color="auto" w:fill="auto"/>
          </w:tcPr>
          <w:p w:rsidR="00C2051A" w:rsidRPr="004F16F2" w:rsidRDefault="00C2051A" w:rsidP="00A3032E">
            <w:pPr>
              <w:tabs>
                <w:tab w:val="left" w:pos="2292"/>
              </w:tabs>
              <w:rPr>
                <w:rFonts w:ascii="Calibri" w:hAnsi="Calibri" w:cs="Calibri"/>
                <w:bCs/>
                <w:color w:val="auto"/>
                <w:kern w:val="0"/>
                <w:sz w:val="24"/>
                <w:szCs w:val="24"/>
                <w:lang w:val="en-IN" w:eastAsia="en-IN"/>
              </w:rPr>
            </w:pPr>
            <w:r w:rsidRPr="004F16F2">
              <w:rPr>
                <w:rFonts w:ascii="Calibri" w:hAnsi="Calibri" w:cs="Calibri"/>
                <w:b/>
                <w:sz w:val="24"/>
                <w:szCs w:val="24"/>
              </w:rPr>
              <w:t>Laboratory findings</w:t>
            </w:r>
          </w:p>
        </w:tc>
      </w:tr>
      <w:tr w:rsidR="00C2051A" w:rsidRPr="004F16F2" w:rsidTr="00C2051A">
        <w:tc>
          <w:tcPr>
            <w:tcW w:w="2660" w:type="dxa"/>
            <w:shd w:val="clear" w:color="auto" w:fill="auto"/>
          </w:tcPr>
          <w:p w:rsidR="00C2051A" w:rsidRPr="004F16F2" w:rsidRDefault="00C2051A" w:rsidP="00C2051A">
            <w:pPr>
              <w:tabs>
                <w:tab w:val="left" w:pos="2292"/>
              </w:tabs>
              <w:rPr>
                <w:rFonts w:ascii="Calibri" w:hAnsi="Calibri" w:cs="Calibri"/>
                <w:sz w:val="24"/>
                <w:szCs w:val="24"/>
              </w:rPr>
            </w:pPr>
            <w:r w:rsidRPr="004F16F2">
              <w:rPr>
                <w:rFonts w:ascii="Calibri" w:hAnsi="Calibri" w:cs="Calibri"/>
                <w:sz w:val="24"/>
                <w:szCs w:val="24"/>
              </w:rPr>
              <w:t>Leukocytosis</w:t>
            </w:r>
          </w:p>
        </w:tc>
        <w:tc>
          <w:tcPr>
            <w:tcW w:w="1446" w:type="dxa"/>
            <w:shd w:val="clear" w:color="auto" w:fill="auto"/>
          </w:tcPr>
          <w:p w:rsidR="00C2051A" w:rsidRPr="004F16F2" w:rsidRDefault="00C2051A" w:rsidP="00C2051A">
            <w:pPr>
              <w:tabs>
                <w:tab w:val="left" w:pos="2292"/>
              </w:tabs>
              <w:rPr>
                <w:rFonts w:ascii="Calibri" w:hAnsi="Calibri" w:cs="Calibri"/>
                <w:sz w:val="24"/>
                <w:szCs w:val="24"/>
              </w:rPr>
            </w:pPr>
            <w:r w:rsidRPr="004F16F2">
              <w:rPr>
                <w:rFonts w:ascii="Calibri" w:hAnsi="Calibri" w:cs="Calibri"/>
                <w:sz w:val="24"/>
                <w:szCs w:val="24"/>
              </w:rPr>
              <w:t>4</w:t>
            </w:r>
          </w:p>
        </w:tc>
        <w:tc>
          <w:tcPr>
            <w:tcW w:w="2126" w:type="dxa"/>
            <w:shd w:val="clear" w:color="auto" w:fill="auto"/>
          </w:tcPr>
          <w:p w:rsidR="00C2051A" w:rsidRPr="004F16F2" w:rsidRDefault="00C2051A" w:rsidP="00C2051A">
            <w:pPr>
              <w:tabs>
                <w:tab w:val="left" w:pos="2292"/>
              </w:tabs>
              <w:rPr>
                <w:rFonts w:ascii="Calibri" w:hAnsi="Calibri" w:cs="Calibri"/>
                <w:sz w:val="24"/>
                <w:szCs w:val="24"/>
              </w:rPr>
            </w:pPr>
            <w:r w:rsidRPr="004F16F2">
              <w:rPr>
                <w:rFonts w:ascii="Calibri" w:hAnsi="Calibri" w:cs="Calibri"/>
                <w:sz w:val="24"/>
                <w:szCs w:val="24"/>
              </w:rPr>
              <w:t>327</w:t>
            </w:r>
          </w:p>
        </w:tc>
        <w:tc>
          <w:tcPr>
            <w:tcW w:w="1134" w:type="dxa"/>
            <w:shd w:val="clear" w:color="auto" w:fill="auto"/>
          </w:tcPr>
          <w:p w:rsidR="00C2051A" w:rsidRPr="004F16F2" w:rsidRDefault="00C2051A" w:rsidP="00C2051A">
            <w:pPr>
              <w:tabs>
                <w:tab w:val="left" w:pos="2292"/>
              </w:tabs>
              <w:rPr>
                <w:rFonts w:ascii="Calibri" w:hAnsi="Calibri" w:cs="Calibri"/>
                <w:sz w:val="24"/>
                <w:szCs w:val="24"/>
              </w:rPr>
            </w:pPr>
            <w:r w:rsidRPr="004F16F2">
              <w:rPr>
                <w:rFonts w:ascii="Calibri" w:hAnsi="Calibri" w:cs="Calibri"/>
                <w:sz w:val="24"/>
                <w:szCs w:val="24"/>
              </w:rPr>
              <w:t>0.13</w:t>
            </w:r>
          </w:p>
        </w:tc>
        <w:tc>
          <w:tcPr>
            <w:tcW w:w="1276" w:type="dxa"/>
            <w:shd w:val="clear" w:color="auto" w:fill="auto"/>
          </w:tcPr>
          <w:p w:rsidR="00C2051A" w:rsidRPr="004F16F2" w:rsidRDefault="00C2051A" w:rsidP="00C2051A">
            <w:pPr>
              <w:tabs>
                <w:tab w:val="left" w:pos="2292"/>
              </w:tabs>
              <w:rPr>
                <w:rFonts w:ascii="Calibri" w:hAnsi="Calibri" w:cs="Calibri"/>
                <w:sz w:val="24"/>
                <w:szCs w:val="24"/>
              </w:rPr>
            </w:pPr>
            <w:r w:rsidRPr="004F16F2">
              <w:rPr>
                <w:rFonts w:ascii="Calibri" w:hAnsi="Calibri" w:cs="Calibri"/>
                <w:sz w:val="24"/>
                <w:szCs w:val="24"/>
              </w:rPr>
              <w:t>0.05-0.23</w:t>
            </w:r>
          </w:p>
        </w:tc>
        <w:tc>
          <w:tcPr>
            <w:tcW w:w="1559" w:type="dxa"/>
            <w:shd w:val="clear" w:color="auto" w:fill="auto"/>
          </w:tcPr>
          <w:p w:rsidR="00C2051A" w:rsidRPr="004F16F2" w:rsidRDefault="00C2051A" w:rsidP="00C2051A">
            <w:pPr>
              <w:tabs>
                <w:tab w:val="left" w:pos="2292"/>
              </w:tabs>
              <w:rPr>
                <w:rFonts w:ascii="Calibri" w:hAnsi="Calibri" w:cs="Calibri"/>
                <w:sz w:val="24"/>
                <w:szCs w:val="24"/>
              </w:rPr>
            </w:pPr>
            <w:r w:rsidRPr="004F16F2">
              <w:rPr>
                <w:rFonts w:ascii="Calibri" w:hAnsi="Calibri" w:cs="Calibri"/>
                <w:sz w:val="24"/>
                <w:szCs w:val="24"/>
              </w:rPr>
              <w:t>0.01</w:t>
            </w:r>
          </w:p>
        </w:tc>
        <w:tc>
          <w:tcPr>
            <w:tcW w:w="709" w:type="dxa"/>
            <w:shd w:val="clear" w:color="auto" w:fill="auto"/>
          </w:tcPr>
          <w:p w:rsidR="00C2051A" w:rsidRPr="004F16F2" w:rsidRDefault="00C2051A" w:rsidP="00C2051A">
            <w:pPr>
              <w:tabs>
                <w:tab w:val="left" w:pos="2292"/>
              </w:tabs>
              <w:rPr>
                <w:rFonts w:ascii="Calibri" w:hAnsi="Calibri" w:cs="Calibri"/>
                <w:sz w:val="24"/>
                <w:szCs w:val="24"/>
              </w:rPr>
            </w:pPr>
            <w:r w:rsidRPr="004F16F2">
              <w:rPr>
                <w:rFonts w:ascii="Calibri" w:hAnsi="Calibri" w:cs="Calibri"/>
                <w:sz w:val="24"/>
                <w:szCs w:val="24"/>
              </w:rPr>
              <w:t>75</w:t>
            </w:r>
          </w:p>
        </w:tc>
        <w:tc>
          <w:tcPr>
            <w:tcW w:w="1559" w:type="dxa"/>
            <w:shd w:val="clear" w:color="auto" w:fill="auto"/>
          </w:tcPr>
          <w:p w:rsidR="00C2051A" w:rsidRPr="004F16F2" w:rsidRDefault="00C2051A" w:rsidP="00C2051A">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Leukopenia</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4</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327</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0.20</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0.06-0.38</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89</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Lymphopenia</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4</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326</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0.52</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0.24-0.81</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94</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Thrombocytopenia</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3</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208</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0.10</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0.00-0.30</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88</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12469" w:type="dxa"/>
            <w:gridSpan w:val="8"/>
            <w:shd w:val="clear" w:color="auto" w:fill="auto"/>
          </w:tcPr>
          <w:p w:rsidR="00C2051A" w:rsidRPr="004F16F2" w:rsidRDefault="00C2051A" w:rsidP="00A3032E">
            <w:pPr>
              <w:tabs>
                <w:tab w:val="left" w:pos="2292"/>
              </w:tabs>
              <w:rPr>
                <w:rFonts w:ascii="Calibri" w:hAnsi="Calibri" w:cs="Calibri"/>
                <w:b/>
                <w:sz w:val="24"/>
                <w:szCs w:val="24"/>
              </w:rPr>
            </w:pPr>
            <w:r w:rsidRPr="004F16F2">
              <w:rPr>
                <w:rFonts w:ascii="Calibri" w:hAnsi="Calibri" w:cs="Calibri"/>
                <w:b/>
                <w:sz w:val="24"/>
                <w:szCs w:val="24"/>
              </w:rPr>
              <w:t>Radiological findings</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Single lobe infiltrates</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4</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287</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0.16</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0.00-0.46</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94</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Multiple lobe infiltrates</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3</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169</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0.38</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0.09-0.69</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0.01</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80</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Bilateral infiltrates</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5</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409</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0.76</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0.44-1.00</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97</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12469" w:type="dxa"/>
            <w:gridSpan w:val="8"/>
            <w:shd w:val="clear" w:color="auto" w:fill="auto"/>
          </w:tcPr>
          <w:p w:rsidR="00C2051A" w:rsidRPr="004F16F2" w:rsidRDefault="00C2051A" w:rsidP="00A3032E">
            <w:pPr>
              <w:tabs>
                <w:tab w:val="left" w:pos="2292"/>
              </w:tabs>
              <w:rPr>
                <w:rFonts w:ascii="Calibri" w:hAnsi="Calibri" w:cs="Calibri"/>
                <w:b/>
                <w:sz w:val="24"/>
                <w:szCs w:val="24"/>
              </w:rPr>
            </w:pPr>
            <w:r w:rsidRPr="004F16F2">
              <w:rPr>
                <w:rFonts w:ascii="Calibri" w:hAnsi="Calibri" w:cs="Calibri"/>
                <w:b/>
                <w:sz w:val="24"/>
                <w:szCs w:val="24"/>
              </w:rPr>
              <w:t>Complications</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Secondary Infection</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4</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457</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0.34</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0.06-0.66</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91</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Acute Kidney Injury</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5</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3085</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0.26</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0.00-0.65</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98</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Pr>
                <w:rFonts w:ascii="Calibri" w:hAnsi="Calibri" w:cs="Calibri"/>
                <w:sz w:val="24"/>
                <w:szCs w:val="24"/>
              </w:rPr>
              <w:t>Acute Respiratory Distress Syndrome</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4</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508</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0.20</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0.17-0.24</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0.44</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Acute Liver Injury</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5</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2823</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0.04</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0.00-0.34</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99</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12469" w:type="dxa"/>
            <w:gridSpan w:val="8"/>
            <w:shd w:val="clear" w:color="auto" w:fill="auto"/>
          </w:tcPr>
          <w:p w:rsidR="00C2051A" w:rsidRPr="004F16F2" w:rsidRDefault="00C2051A" w:rsidP="00A3032E">
            <w:pPr>
              <w:tabs>
                <w:tab w:val="left" w:pos="2292"/>
              </w:tabs>
              <w:rPr>
                <w:rFonts w:ascii="Calibri" w:hAnsi="Calibri" w:cs="Calibri"/>
                <w:b/>
                <w:sz w:val="24"/>
                <w:szCs w:val="24"/>
              </w:rPr>
            </w:pPr>
            <w:r w:rsidRPr="004F16F2">
              <w:rPr>
                <w:rFonts w:ascii="Calibri" w:hAnsi="Calibri" w:cs="Calibri"/>
                <w:b/>
                <w:sz w:val="24"/>
                <w:szCs w:val="24"/>
              </w:rPr>
              <w:t>Respiratory support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Oxygen Therapy</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4</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104</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0.84</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0.60-1.00</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81</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Non-invasive ventilation</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 xml:space="preserve">3 </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169</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0.04</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0.00-0.16</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0.04</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69</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r w:rsidR="00C2051A" w:rsidRPr="004F16F2" w:rsidTr="00C2051A">
        <w:tc>
          <w:tcPr>
            <w:tcW w:w="2660"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Invasive ventilation</w:t>
            </w:r>
          </w:p>
        </w:tc>
        <w:tc>
          <w:tcPr>
            <w:tcW w:w="144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 xml:space="preserve"> 5</w:t>
            </w:r>
          </w:p>
        </w:tc>
        <w:tc>
          <w:tcPr>
            <w:tcW w:w="212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2806</w:t>
            </w:r>
          </w:p>
        </w:tc>
        <w:tc>
          <w:tcPr>
            <w:tcW w:w="1134"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0.21</w:t>
            </w:r>
          </w:p>
        </w:tc>
        <w:tc>
          <w:tcPr>
            <w:tcW w:w="1276"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0.00-0.49</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0.00</w:t>
            </w:r>
          </w:p>
        </w:tc>
        <w:tc>
          <w:tcPr>
            <w:tcW w:w="70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sz w:val="24"/>
                <w:szCs w:val="24"/>
              </w:rPr>
              <w:t>91</w:t>
            </w:r>
          </w:p>
        </w:tc>
        <w:tc>
          <w:tcPr>
            <w:tcW w:w="1559" w:type="dxa"/>
            <w:shd w:val="clear" w:color="auto" w:fill="auto"/>
          </w:tcPr>
          <w:p w:rsidR="00C2051A" w:rsidRPr="004F16F2" w:rsidRDefault="00C2051A" w:rsidP="00A3032E">
            <w:pPr>
              <w:tabs>
                <w:tab w:val="left" w:pos="2292"/>
              </w:tabs>
              <w:rPr>
                <w:rFonts w:ascii="Calibri" w:hAnsi="Calibri" w:cs="Calibri"/>
                <w:sz w:val="24"/>
                <w:szCs w:val="24"/>
              </w:rPr>
            </w:pPr>
            <w:r w:rsidRPr="004F16F2">
              <w:rPr>
                <w:rFonts w:ascii="Calibri" w:hAnsi="Calibri" w:cs="Calibri"/>
                <w:bCs/>
                <w:color w:val="auto"/>
                <w:kern w:val="0"/>
                <w:sz w:val="24"/>
                <w:szCs w:val="24"/>
                <w:lang w:val="en-IN" w:eastAsia="en-IN"/>
              </w:rPr>
              <w:t>..</w:t>
            </w:r>
          </w:p>
        </w:tc>
      </w:tr>
    </w:tbl>
    <w:p w:rsidR="00C2051A" w:rsidRDefault="00AF6D0E">
      <w:pPr>
        <w:spacing w:after="160" w:line="259" w:lineRule="auto"/>
        <w:rPr>
          <w:rFonts w:ascii="Calibri" w:hAnsi="Calibri" w:cs="Calibri"/>
          <w:sz w:val="22"/>
          <w:szCs w:val="22"/>
        </w:rPr>
      </w:pPr>
      <w:r>
        <w:rPr>
          <w:rFonts w:ascii="Calibri" w:hAnsi="Calibri" w:cs="Calibri"/>
          <w:sz w:val="22"/>
          <w:szCs w:val="22"/>
        </w:rPr>
        <w:br w:type="page"/>
      </w:r>
    </w:p>
    <w:p w:rsidR="00C2051A" w:rsidRDefault="00C2051A" w:rsidP="007A269C">
      <w:pPr>
        <w:tabs>
          <w:tab w:val="left" w:pos="2292"/>
        </w:tabs>
        <w:rPr>
          <w:rFonts w:ascii="Calibri" w:hAnsi="Calibri" w:cs="Calibri"/>
          <w:sz w:val="22"/>
          <w:szCs w:val="22"/>
        </w:rPr>
        <w:sectPr w:rsidR="00C2051A" w:rsidSect="00CF00D9">
          <w:pgSz w:w="15840" w:h="12240" w:orient="landscape" w:code="1"/>
          <w:pgMar w:top="1440" w:right="1440" w:bottom="1440" w:left="1440" w:header="708" w:footer="708" w:gutter="0"/>
          <w:cols w:space="708"/>
          <w:docGrid w:linePitch="360"/>
        </w:sectPr>
      </w:pPr>
    </w:p>
    <w:p w:rsidR="00AF6D0E" w:rsidRDefault="00AF6D0E" w:rsidP="00AF6D0E">
      <w:pPr>
        <w:rPr>
          <w:rFonts w:eastAsiaTheme="minorEastAsia" w:hAnsi="Calibri"/>
          <w:color w:val="000000" w:themeColor="text1"/>
          <w:kern w:val="24"/>
          <w:sz w:val="36"/>
          <w:szCs w:val="36"/>
          <w:lang w:eastAsia="en-IN"/>
        </w:rPr>
      </w:pPr>
      <w:r w:rsidRPr="00166DFD">
        <w:rPr>
          <w:rFonts w:eastAsiaTheme="minorEastAsia" w:hAnsi="Calibri"/>
          <w:noProof/>
          <w:color w:val="000000" w:themeColor="text1"/>
          <w:kern w:val="24"/>
          <w:sz w:val="36"/>
          <w:szCs w:val="36"/>
          <w:lang w:val="en-IN" w:eastAsia="en-IN"/>
        </w:rPr>
        <w:lastRenderedPageBreak/>
        <w:drawing>
          <wp:inline distT="0" distB="0" distL="0" distR="0" wp14:anchorId="1C59B6F3" wp14:editId="38CC4917">
            <wp:extent cx="4542009" cy="6010969"/>
            <wp:effectExtent l="0" t="0" r="0" b="889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
                    <a:stretch>
                      <a:fillRect/>
                    </a:stretch>
                  </pic:blipFill>
                  <pic:spPr>
                    <a:xfrm>
                      <a:off x="0" y="0"/>
                      <a:ext cx="4542009" cy="6010969"/>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S1. Weighted pooled prevalence of severe illness among older patients with COVID-19</w:t>
      </w:r>
    </w:p>
    <w:p w:rsidR="00AF6D0E" w:rsidRDefault="00AF6D0E" w:rsidP="00AF6D0E">
      <w:pPr>
        <w:rPr>
          <w:rFonts w:eastAsiaTheme="minorEastAsia" w:hAnsi="Calibri"/>
          <w:color w:val="000000" w:themeColor="text1"/>
          <w:kern w:val="24"/>
          <w:sz w:val="36"/>
          <w:szCs w:val="36"/>
          <w:lang w:eastAsia="en-IN"/>
        </w:rPr>
      </w:pPr>
      <w:r>
        <w:rPr>
          <w:rFonts w:eastAsiaTheme="minorEastAsia" w:hAnsi="Calibri"/>
          <w:color w:val="000000" w:themeColor="text1"/>
          <w:kern w:val="24"/>
          <w:sz w:val="36"/>
          <w:szCs w:val="36"/>
          <w:lang w:eastAsia="en-IN"/>
        </w:rPr>
        <w:br w:type="page"/>
      </w:r>
    </w:p>
    <w:p w:rsidR="00AF6D0E" w:rsidRDefault="00AF6D0E" w:rsidP="00AF6D0E">
      <w:pPr>
        <w:rPr>
          <w:rFonts w:eastAsiaTheme="minorEastAsia" w:hAnsi="Calibri"/>
          <w:color w:val="000000" w:themeColor="text1"/>
          <w:kern w:val="24"/>
          <w:sz w:val="36"/>
          <w:szCs w:val="36"/>
          <w:lang w:eastAsia="en-IN"/>
        </w:rPr>
      </w:pPr>
      <w:r w:rsidRPr="00166DFD">
        <w:rPr>
          <w:rFonts w:eastAsiaTheme="minorEastAsia" w:hAnsi="Calibri"/>
          <w:noProof/>
          <w:color w:val="000000" w:themeColor="text1"/>
          <w:kern w:val="24"/>
          <w:sz w:val="36"/>
          <w:szCs w:val="36"/>
          <w:lang w:val="en-IN" w:eastAsia="en-IN"/>
        </w:rPr>
        <w:lastRenderedPageBreak/>
        <w:drawing>
          <wp:inline distT="0" distB="0" distL="0" distR="0" wp14:anchorId="101CD5C5" wp14:editId="3D4194F3">
            <wp:extent cx="4523877" cy="4919719"/>
            <wp:effectExtent l="0" t="0" r="0" b="0"/>
            <wp:docPr id="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8"/>
                    <a:stretch>
                      <a:fillRect/>
                    </a:stretch>
                  </pic:blipFill>
                  <pic:spPr>
                    <a:xfrm>
                      <a:off x="0" y="0"/>
                      <a:ext cx="4523877" cy="4919719"/>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S2. Weighted pooled prevalence of critical illness among older patients with COVID-19</w:t>
      </w:r>
    </w:p>
    <w:p w:rsidR="00AF6D0E" w:rsidRDefault="00AF6D0E" w:rsidP="00AF6D0E">
      <w:pPr>
        <w:rPr>
          <w:rFonts w:eastAsiaTheme="minorEastAsia" w:hAnsi="Calibri"/>
          <w:color w:val="000000" w:themeColor="text1"/>
          <w:kern w:val="24"/>
          <w:sz w:val="36"/>
          <w:szCs w:val="36"/>
          <w:lang w:eastAsia="en-IN"/>
        </w:rPr>
      </w:pPr>
      <w:r>
        <w:rPr>
          <w:rFonts w:eastAsiaTheme="minorEastAsia" w:hAnsi="Calibri"/>
          <w:color w:val="000000" w:themeColor="text1"/>
          <w:kern w:val="24"/>
          <w:sz w:val="36"/>
          <w:szCs w:val="36"/>
          <w:lang w:eastAsia="en-IN"/>
        </w:rPr>
        <w:br w:type="page"/>
      </w:r>
    </w:p>
    <w:p w:rsidR="00AF6D0E" w:rsidRDefault="00AF6D0E" w:rsidP="00AF6D0E">
      <w:pPr>
        <w:rPr>
          <w:rFonts w:eastAsiaTheme="minorEastAsia" w:hAnsi="Calibri"/>
          <w:color w:val="000000" w:themeColor="text1"/>
          <w:kern w:val="24"/>
          <w:sz w:val="36"/>
          <w:szCs w:val="36"/>
          <w:lang w:eastAsia="en-IN"/>
        </w:rPr>
      </w:pPr>
      <w:r w:rsidRPr="0084633A">
        <w:rPr>
          <w:rFonts w:eastAsiaTheme="minorEastAsia" w:hAnsi="Calibri"/>
          <w:color w:val="000000" w:themeColor="text1"/>
          <w:kern w:val="24"/>
          <w:sz w:val="36"/>
          <w:szCs w:val="36"/>
          <w:lang w:eastAsia="en-IN"/>
        </w:rPr>
        <w:lastRenderedPageBreak/>
        <w:t xml:space="preserve"> </w:t>
      </w:r>
    </w:p>
    <w:p w:rsidR="00AF6D0E" w:rsidRDefault="00AF6D0E" w:rsidP="00AF6D0E">
      <w:r w:rsidRPr="00A03E71">
        <w:rPr>
          <w:noProof/>
          <w:lang w:val="en-IN" w:eastAsia="en-IN"/>
        </w:rPr>
        <w:drawing>
          <wp:inline distT="0" distB="0" distL="0" distR="0" wp14:anchorId="17FBF277" wp14:editId="37917DF2">
            <wp:extent cx="4913711" cy="5738156"/>
            <wp:effectExtent l="0" t="0" r="127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a:stretch>
                      <a:fillRect/>
                    </a:stretch>
                  </pic:blipFill>
                  <pic:spPr>
                    <a:xfrm>
                      <a:off x="0" y="0"/>
                      <a:ext cx="4913711" cy="5738156"/>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S3. Weighted pooled prevalence of hypertension among older patients with COVID-19</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63998806" wp14:editId="14044997">
            <wp:extent cx="4832118" cy="5738156"/>
            <wp:effectExtent l="0" t="0" r="698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0"/>
                    <a:stretch>
                      <a:fillRect/>
                    </a:stretch>
                  </pic:blipFill>
                  <pic:spPr>
                    <a:xfrm>
                      <a:off x="0" y="0"/>
                      <a:ext cx="4832118" cy="5738156"/>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S4. Weighted pooled prevalence of diabetes mellitus among older patients with COVID-19</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0387DF8E" wp14:editId="0E97F8D2">
            <wp:extent cx="4777722" cy="4646906"/>
            <wp:effectExtent l="0" t="0" r="444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a:stretch>
                      <a:fillRect/>
                    </a:stretch>
                  </pic:blipFill>
                  <pic:spPr>
                    <a:xfrm>
                      <a:off x="0" y="0"/>
                      <a:ext cx="4777722" cy="4646906"/>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S5. Weighted pooled prevalence of cardiovascular disease among older patients with COVID-19</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77314689" wp14:editId="386BE317">
            <wp:extent cx="4696129" cy="4101281"/>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2"/>
                    <a:stretch>
                      <a:fillRect/>
                    </a:stretch>
                  </pic:blipFill>
                  <pic:spPr>
                    <a:xfrm>
                      <a:off x="0" y="0"/>
                      <a:ext cx="4696129" cy="4101281"/>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S6. Weighted pooled prevalence of fever among older patients with COVID-19</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1DF3C3CC" wp14:editId="2BAB25CE">
            <wp:extent cx="4641734" cy="4101281"/>
            <wp:effectExtent l="0" t="0" r="698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3"/>
                    <a:stretch>
                      <a:fillRect/>
                    </a:stretch>
                  </pic:blipFill>
                  <pic:spPr>
                    <a:xfrm>
                      <a:off x="0" y="0"/>
                      <a:ext cx="4641734" cy="4101281"/>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S7. Weighted pooled prevalence of cough among older patients with COVID-19</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5FD60841" wp14:editId="31079D33">
            <wp:extent cx="4659866" cy="4101281"/>
            <wp:effectExtent l="0" t="0" r="762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4"/>
                    <a:stretch>
                      <a:fillRect/>
                    </a:stretch>
                  </pic:blipFill>
                  <pic:spPr>
                    <a:xfrm>
                      <a:off x="0" y="0"/>
                      <a:ext cx="4659866" cy="4101281"/>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S8. Weighted pooled prevalence of dyspnoea among older patients with COVID-19</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0C268379" wp14:editId="3C8E798C">
            <wp:extent cx="4705195" cy="5465344"/>
            <wp:effectExtent l="0" t="0" r="635" b="254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5"/>
                    <a:stretch>
                      <a:fillRect/>
                    </a:stretch>
                  </pic:blipFill>
                  <pic:spPr>
                    <a:xfrm>
                      <a:off x="0" y="0"/>
                      <a:ext cx="4705195" cy="5465344"/>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S9. Weighted pooled prevalence of deaths among older patients with COVID-19 in China</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40D9B95D" wp14:editId="7BA905E4">
            <wp:extent cx="4505746" cy="4919719"/>
            <wp:effectExtent l="0" t="0" r="9525"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6"/>
                    <a:stretch>
                      <a:fillRect/>
                    </a:stretch>
                  </pic:blipFill>
                  <pic:spPr>
                    <a:xfrm>
                      <a:off x="0" y="0"/>
                      <a:ext cx="4505746" cy="4919719"/>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S10. Weighted pooled prevalence of deaths among older patients with COVID-19 outside China</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1E53E541" wp14:editId="138EB7F9">
            <wp:extent cx="5731510" cy="2606040"/>
            <wp:effectExtent l="0" t="0" r="2540" b="381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7"/>
                    <a:stretch>
                      <a:fillRect/>
                    </a:stretch>
                  </pic:blipFill>
                  <pic:spPr>
                    <a:xfrm>
                      <a:off x="0" y="0"/>
                      <a:ext cx="5731510" cy="2606040"/>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S11. Funnel plot depicting publication bias in meta‐analyses for the prevalence of severe illness among older patients with COVID-19</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65347843" wp14:editId="28F69402">
            <wp:extent cx="5731510" cy="2605405"/>
            <wp:effectExtent l="0" t="0" r="2540" b="4445"/>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8"/>
                    <a:stretch>
                      <a:fillRect/>
                    </a:stretch>
                  </pic:blipFill>
                  <pic:spPr>
                    <a:xfrm>
                      <a:off x="0" y="0"/>
                      <a:ext cx="5731510" cy="2605405"/>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S12. Funnel plot depicting publication bias in meta‐analyses for the prevalence of critical illness among older patients with COVID-19</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1698D943" wp14:editId="00D38C3A">
            <wp:extent cx="5731510" cy="2605405"/>
            <wp:effectExtent l="0" t="0" r="2540" b="4445"/>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9"/>
                    <a:stretch>
                      <a:fillRect/>
                    </a:stretch>
                  </pic:blipFill>
                  <pic:spPr>
                    <a:xfrm>
                      <a:off x="0" y="0"/>
                      <a:ext cx="5731510" cy="2605405"/>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S13. Funnel plot depicting publication bias in meta‐analyses for the prevalence of deaths among older patients with COVID-19</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4EB738FA" wp14:editId="6611B998">
            <wp:extent cx="5731510" cy="2606040"/>
            <wp:effectExtent l="0" t="0" r="2540" b="381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0"/>
                    <a:stretch>
                      <a:fillRect/>
                    </a:stretch>
                  </pic:blipFill>
                  <pic:spPr>
                    <a:xfrm>
                      <a:off x="0" y="0"/>
                      <a:ext cx="5731510" cy="2606040"/>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S14. Funnel plot depicting publication bias in meta‐analyses for the prevalence of hypertension among older patients with COVID-19</w:t>
      </w:r>
    </w:p>
    <w:p w:rsidR="00AF6D0E" w:rsidRDefault="00AF6D0E" w:rsidP="00AF6D0E">
      <w:r>
        <w:br w:type="page"/>
      </w:r>
    </w:p>
    <w:p w:rsidR="00AF6D0E" w:rsidRPr="0084633A" w:rsidRDefault="00AF6D0E" w:rsidP="00AF6D0E"/>
    <w:p w:rsidR="00AF6D0E" w:rsidRDefault="00AF6D0E" w:rsidP="00AF6D0E">
      <w:r w:rsidRPr="00A03E71">
        <w:rPr>
          <w:noProof/>
          <w:lang w:val="en-IN" w:eastAsia="en-IN"/>
        </w:rPr>
        <w:drawing>
          <wp:inline distT="0" distB="0" distL="0" distR="0" wp14:anchorId="5109DB4D" wp14:editId="022F0613">
            <wp:extent cx="5731510" cy="2606040"/>
            <wp:effectExtent l="0" t="0" r="2540" b="381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1"/>
                    <a:stretch>
                      <a:fillRect/>
                    </a:stretch>
                  </pic:blipFill>
                  <pic:spPr>
                    <a:xfrm>
                      <a:off x="0" y="0"/>
                      <a:ext cx="5731510" cy="2606040"/>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S15. Funnel plot depicting publication bias in meta‐analyses for the prevalence of diabetes mellitus among older patients with COVID-19</w:t>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br w:type="page"/>
      </w:r>
    </w:p>
    <w:p w:rsidR="00AF6D0E" w:rsidRDefault="00AF6D0E" w:rsidP="00AF6D0E">
      <w:r w:rsidRPr="00A03E71">
        <w:rPr>
          <w:noProof/>
          <w:lang w:val="en-IN" w:eastAsia="en-IN"/>
        </w:rPr>
        <w:lastRenderedPageBreak/>
        <w:drawing>
          <wp:inline distT="0" distB="0" distL="0" distR="0" wp14:anchorId="6108A5FF" wp14:editId="23D51017">
            <wp:extent cx="5731510" cy="2606040"/>
            <wp:effectExtent l="0" t="0" r="2540" b="381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2"/>
                    <a:stretch>
                      <a:fillRect/>
                    </a:stretch>
                  </pic:blipFill>
                  <pic:spPr>
                    <a:xfrm>
                      <a:off x="0" y="0"/>
                      <a:ext cx="5731510" cy="2606040"/>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S16. Funnel plot depicting publication bias in meta‐analyses for the prevalence of fever among older patients with COVID-19</w:t>
      </w:r>
    </w:p>
    <w:p w:rsidR="00AF6D0E" w:rsidRDefault="00AF6D0E" w:rsidP="00AF6D0E">
      <w:r>
        <w:br w:type="page"/>
      </w:r>
    </w:p>
    <w:p w:rsidR="00AF6D0E" w:rsidRDefault="00AF6D0E" w:rsidP="00AF6D0E">
      <w:r w:rsidRPr="00A03E71">
        <w:rPr>
          <w:noProof/>
          <w:lang w:val="en-IN" w:eastAsia="en-IN"/>
        </w:rPr>
        <w:lastRenderedPageBreak/>
        <w:drawing>
          <wp:inline distT="0" distB="0" distL="0" distR="0" wp14:anchorId="3FD714C7" wp14:editId="3944E8A4">
            <wp:extent cx="5731510" cy="2606040"/>
            <wp:effectExtent l="0" t="0" r="2540" b="381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3"/>
                    <a:stretch>
                      <a:fillRect/>
                    </a:stretch>
                  </pic:blipFill>
                  <pic:spPr>
                    <a:xfrm>
                      <a:off x="0" y="0"/>
                      <a:ext cx="5731510" cy="2606040"/>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S17. Funnel plot depicting publication bias in meta‐analyses for the prevalence of cough among older patients with COVID-19</w:t>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br w:type="page"/>
      </w:r>
    </w:p>
    <w:p w:rsidR="00AF6D0E" w:rsidRDefault="00AF6D0E" w:rsidP="00AF6D0E">
      <w:r w:rsidRPr="00A03E71">
        <w:rPr>
          <w:noProof/>
          <w:lang w:val="en-IN" w:eastAsia="en-IN"/>
        </w:rPr>
        <w:lastRenderedPageBreak/>
        <w:drawing>
          <wp:inline distT="0" distB="0" distL="0" distR="0" wp14:anchorId="239DA6F5" wp14:editId="721AD480">
            <wp:extent cx="5731510" cy="2606040"/>
            <wp:effectExtent l="0" t="0" r="2540" b="381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4"/>
                    <a:stretch>
                      <a:fillRect/>
                    </a:stretch>
                  </pic:blipFill>
                  <pic:spPr>
                    <a:xfrm>
                      <a:off x="0" y="0"/>
                      <a:ext cx="5731510" cy="2606040"/>
                    </a:xfrm>
                    <a:prstGeom prst="rect">
                      <a:avLst/>
                    </a:prstGeom>
                  </pic:spPr>
                </pic:pic>
              </a:graphicData>
            </a:graphic>
          </wp:inline>
        </w:drawing>
      </w:r>
    </w:p>
    <w:p w:rsidR="00AF6D0E" w:rsidRPr="00AF6D0E" w:rsidRDefault="00AF6D0E" w:rsidP="00AF6D0E">
      <w:pPr>
        <w:rPr>
          <w:rFonts w:asciiTheme="minorHAnsi" w:hAnsiTheme="minorHAnsi" w:cstheme="minorHAnsi"/>
          <w:sz w:val="24"/>
        </w:rPr>
      </w:pPr>
      <w:r w:rsidRPr="00AF6D0E">
        <w:rPr>
          <w:rFonts w:asciiTheme="minorHAnsi" w:hAnsiTheme="minorHAnsi" w:cstheme="minorHAnsi"/>
          <w:sz w:val="24"/>
        </w:rPr>
        <w:t>Supplementary Figure S18. Funnel plot depicting publication bias in meta‐analyses for the prevalence of dyspnoea among older patients with COVID-19</w:t>
      </w:r>
    </w:p>
    <w:p w:rsidR="00AF6D0E" w:rsidRDefault="00AF6D0E" w:rsidP="00AF6D0E"/>
    <w:p w:rsidR="00AF6D0E" w:rsidRDefault="00AF6D0E">
      <w:pPr>
        <w:spacing w:after="160" w:line="259" w:lineRule="auto"/>
        <w:rPr>
          <w:rFonts w:ascii="Calibri" w:hAnsi="Calibri" w:cs="Calibri"/>
          <w:sz w:val="22"/>
          <w:szCs w:val="22"/>
        </w:rPr>
      </w:pPr>
    </w:p>
    <w:sectPr w:rsidR="00AF6D0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2EDF" w:rsidRDefault="006A2EDF">
      <w:r>
        <w:separator/>
      </w:r>
    </w:p>
  </w:endnote>
  <w:endnote w:type="continuationSeparator" w:id="0">
    <w:p w:rsidR="006A2EDF" w:rsidRDefault="006A2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00D9" w:rsidRDefault="00CF00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2EDF" w:rsidRDefault="006A2EDF">
      <w:r>
        <w:separator/>
      </w:r>
    </w:p>
  </w:footnote>
  <w:footnote w:type="continuationSeparator" w:id="0">
    <w:p w:rsidR="006A2EDF" w:rsidRDefault="006A2E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AD0"/>
    <w:rsid w:val="001A2C1B"/>
    <w:rsid w:val="002063D2"/>
    <w:rsid w:val="003B75E7"/>
    <w:rsid w:val="003D5E05"/>
    <w:rsid w:val="00526770"/>
    <w:rsid w:val="005C59C2"/>
    <w:rsid w:val="005F0499"/>
    <w:rsid w:val="00697330"/>
    <w:rsid w:val="006A2EDF"/>
    <w:rsid w:val="00716EE2"/>
    <w:rsid w:val="007A269C"/>
    <w:rsid w:val="00857AD0"/>
    <w:rsid w:val="00884110"/>
    <w:rsid w:val="00AF6D0E"/>
    <w:rsid w:val="00B863D3"/>
    <w:rsid w:val="00BC4FA9"/>
    <w:rsid w:val="00BE3FEF"/>
    <w:rsid w:val="00C2051A"/>
    <w:rsid w:val="00CF00D9"/>
    <w:rsid w:val="00D967ED"/>
    <w:rsid w:val="00EB2FD2"/>
    <w:rsid w:val="00FB0AE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CE1DB4-EB85-48E3-A10D-A80F908B4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67ED"/>
    <w:pPr>
      <w:spacing w:after="0" w:line="240" w:lineRule="auto"/>
    </w:pPr>
    <w:rPr>
      <w:rFonts w:ascii="Times New Roman" w:eastAsia="Times New Roman" w:hAnsi="Times New Roman" w:cs="Times New Roman"/>
      <w:color w:val="000000"/>
      <w:kern w:val="28"/>
      <w:sz w:val="20"/>
      <w:szCs w:val="20"/>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rsid w:val="00D967ED"/>
    <w:rPr>
      <w:sz w:val="16"/>
      <w:szCs w:val="16"/>
    </w:rPr>
  </w:style>
  <w:style w:type="paragraph" w:styleId="CommentText">
    <w:name w:val="annotation text"/>
    <w:basedOn w:val="Normal"/>
    <w:link w:val="CommentTextChar"/>
    <w:rsid w:val="00D967ED"/>
  </w:style>
  <w:style w:type="character" w:customStyle="1" w:styleId="CommentTextChar">
    <w:name w:val="Comment Text Char"/>
    <w:basedOn w:val="DefaultParagraphFont"/>
    <w:link w:val="CommentText"/>
    <w:rsid w:val="00D967ED"/>
    <w:rPr>
      <w:rFonts w:ascii="Times New Roman" w:eastAsia="Times New Roman" w:hAnsi="Times New Roman" w:cs="Times New Roman"/>
      <w:color w:val="000000"/>
      <w:kern w:val="28"/>
      <w:sz w:val="20"/>
      <w:szCs w:val="20"/>
      <w:lang w:val="en-CA" w:eastAsia="en-CA"/>
    </w:rPr>
  </w:style>
  <w:style w:type="paragraph" w:styleId="BalloonText">
    <w:name w:val="Balloon Text"/>
    <w:basedOn w:val="Normal"/>
    <w:link w:val="BalloonTextChar"/>
    <w:uiPriority w:val="99"/>
    <w:semiHidden/>
    <w:unhideWhenUsed/>
    <w:rsid w:val="00D967E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67ED"/>
    <w:rPr>
      <w:rFonts w:ascii="Segoe UI" w:eastAsia="Times New Roman" w:hAnsi="Segoe UI" w:cs="Segoe UI"/>
      <w:color w:val="000000"/>
      <w:kern w:val="28"/>
      <w:sz w:val="18"/>
      <w:szCs w:val="18"/>
      <w:lang w:val="en-CA" w:eastAsia="en-CA"/>
    </w:rPr>
  </w:style>
  <w:style w:type="paragraph" w:styleId="ListParagraph">
    <w:name w:val="List Paragraph"/>
    <w:basedOn w:val="Normal"/>
    <w:uiPriority w:val="34"/>
    <w:qFormat/>
    <w:rsid w:val="00EB2FD2"/>
    <w:pPr>
      <w:ind w:left="720"/>
      <w:contextualSpacing/>
    </w:pPr>
  </w:style>
  <w:style w:type="paragraph" w:styleId="Revision">
    <w:name w:val="Revision"/>
    <w:hidden/>
    <w:uiPriority w:val="99"/>
    <w:semiHidden/>
    <w:rsid w:val="00716EE2"/>
    <w:pPr>
      <w:spacing w:after="0" w:line="240" w:lineRule="auto"/>
    </w:pPr>
    <w:rPr>
      <w:rFonts w:ascii="Times New Roman" w:eastAsia="Times New Roman" w:hAnsi="Times New Roman" w:cs="Times New Roman"/>
      <w:color w:val="000000"/>
      <w:kern w:val="28"/>
      <w:sz w:val="20"/>
      <w:szCs w:val="20"/>
      <w:lang w:val="en-CA" w:eastAsia="en-CA"/>
    </w:rPr>
  </w:style>
  <w:style w:type="paragraph" w:styleId="Footer">
    <w:name w:val="footer"/>
    <w:basedOn w:val="Normal"/>
    <w:link w:val="FooterChar"/>
    <w:rsid w:val="00CF00D9"/>
    <w:pPr>
      <w:tabs>
        <w:tab w:val="center" w:pos="4320"/>
        <w:tab w:val="right" w:pos="8640"/>
      </w:tabs>
    </w:pPr>
  </w:style>
  <w:style w:type="character" w:customStyle="1" w:styleId="FooterChar">
    <w:name w:val="Footer Char"/>
    <w:basedOn w:val="DefaultParagraphFont"/>
    <w:link w:val="Footer"/>
    <w:rsid w:val="00CF00D9"/>
    <w:rPr>
      <w:rFonts w:ascii="Times New Roman" w:eastAsia="Times New Roman" w:hAnsi="Times New Roman" w:cs="Times New Roman"/>
      <w:color w:val="000000"/>
      <w:kern w:val="28"/>
      <w:sz w:val="20"/>
      <w:szCs w:val="20"/>
      <w:lang w:val="en-CA" w:eastAsia="en-CA"/>
    </w:rPr>
  </w:style>
  <w:style w:type="paragraph" w:styleId="Bibliography">
    <w:name w:val="Bibliography"/>
    <w:basedOn w:val="Normal"/>
    <w:next w:val="Normal"/>
    <w:uiPriority w:val="37"/>
    <w:unhideWhenUsed/>
    <w:rsid w:val="00AF6D0E"/>
    <w:pPr>
      <w:tabs>
        <w:tab w:val="left" w:pos="504"/>
      </w:tabs>
      <w:spacing w:after="240"/>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5.emf"/><Relationship Id="rId24" Type="http://schemas.openxmlformats.org/officeDocument/2006/relationships/image" Target="media/image18.emf"/><Relationship Id="rId5"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7.emf"/><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38</Pages>
  <Words>24412</Words>
  <Characters>139155</Characters>
  <Application>Microsoft Office Word</Application>
  <DocSecurity>0</DocSecurity>
  <Lines>1159</Lines>
  <Paragraphs>326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163241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Sunny Singhal</dc:creator>
  <cp:keywords/>
  <dc:description/>
  <cp:lastModifiedBy>Sunny Singhal</cp:lastModifiedBy>
  <cp:revision>11</cp:revision>
  <dcterms:created xsi:type="dcterms:W3CDTF">2020-06-06T14:01:00Z</dcterms:created>
  <dcterms:modified xsi:type="dcterms:W3CDTF">2020-06-10T18:59:00Z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zotero-version="5.0.87"&gt;&lt;session id="7OSz8RFe"/&gt;&lt;style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ies>
</file>