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reporting-checklist-for-randomised-trial."/>
      <w:bookmarkEnd w:id="0"/>
      <w:r>
        <w:t>Reporting checklist for randomised trial.</w:t>
      </w:r>
    </w:p>
    <w:p>
      <w:r>
        <w:t>Based on the CONSORT guidelines.</w:t>
      </w:r>
    </w:p>
    <w:p>
      <w:pPr>
        <w:pStyle w:val="4"/>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CONSORTreporting guidelines, and cite them as:</w:t>
      </w:r>
    </w:p>
    <w:p>
      <w:r>
        <w:t>Schulz KF, Altman DG, Moher D, for the CONSORT Group. CONSORT 2010 Statement: updated guidelines for reporting parallel group randomised trials</w:t>
      </w:r>
    </w:p>
    <w:tbl>
      <w:tblPr>
        <w:tblStyle w:val="14"/>
        <w:tblW w:w="5000" w:type="pct"/>
        <w:tblInd w:w="0" w:type="dxa"/>
        <w:tblLayout w:type="autofit"/>
        <w:tblCellMar>
          <w:top w:w="0" w:type="dxa"/>
          <w:left w:w="108" w:type="dxa"/>
          <w:bottom w:w="0" w:type="dxa"/>
          <w:right w:w="108" w:type="dxa"/>
        </w:tblCellMar>
      </w:tblPr>
      <w:tblGrid>
        <w:gridCol w:w="2582"/>
        <w:gridCol w:w="750"/>
        <w:gridCol w:w="2307"/>
        <w:gridCol w:w="5377"/>
      </w:tblGrid>
      <w:tr>
        <w:tblPrEx>
          <w:tblCellMar>
            <w:top w:w="0" w:type="dxa"/>
            <w:left w:w="108" w:type="dxa"/>
            <w:bottom w:w="0" w:type="dxa"/>
            <w:right w:w="108" w:type="dxa"/>
          </w:tblCellMar>
        </w:tblPrEx>
        <w:tc>
          <w:tcPr>
            <w:tcW w:w="1173" w:type="pct"/>
            <w:tcBorders>
              <w:bottom w:val="single" w:color="auto" w:sz="0" w:space="0"/>
            </w:tcBorders>
            <w:vAlign w:val="bottom"/>
          </w:tcPr>
          <w:p/>
        </w:tc>
        <w:tc>
          <w:tcPr>
            <w:tcW w:w="340" w:type="pct"/>
            <w:tcBorders>
              <w:bottom w:val="single" w:color="auto" w:sz="0" w:space="0"/>
            </w:tcBorders>
            <w:vAlign w:val="bottom"/>
          </w:tcPr>
          <w:p/>
        </w:tc>
        <w:tc>
          <w:tcPr>
            <w:tcW w:w="1048" w:type="pct"/>
            <w:tcBorders>
              <w:bottom w:val="single" w:color="auto" w:sz="0" w:space="0"/>
            </w:tcBorders>
            <w:vAlign w:val="bottom"/>
          </w:tcPr>
          <w:p>
            <w:pPr>
              <w:jc w:val="left"/>
            </w:pPr>
            <w:r>
              <w:t>Reporting Item</w:t>
            </w:r>
          </w:p>
        </w:tc>
        <w:tc>
          <w:tcPr>
            <w:tcW w:w="2436" w:type="pct"/>
            <w:tcBorders>
              <w:bottom w:val="single" w:color="auto" w:sz="0" w:space="0"/>
            </w:tcBorders>
            <w:vAlign w:val="bottom"/>
          </w:tcPr>
          <w:p>
            <w:pPr>
              <w:jc w:val="left"/>
            </w:pPr>
            <w:r>
              <w:t>Page Number</w:t>
            </w:r>
          </w:p>
        </w:tc>
      </w:tr>
      <w:tr>
        <w:tblPrEx>
          <w:tblCellMar>
            <w:top w:w="0" w:type="dxa"/>
            <w:left w:w="108" w:type="dxa"/>
            <w:bottom w:w="0" w:type="dxa"/>
            <w:right w:w="108" w:type="dxa"/>
          </w:tblCellMar>
        </w:tblPrEx>
        <w:tc>
          <w:tcPr>
            <w:tcW w:w="1173" w:type="pct"/>
          </w:tcPr>
          <w:p>
            <w:pPr>
              <w:jc w:val="left"/>
            </w:pPr>
            <w:r>
              <w:rPr>
                <w:b/>
              </w:rPr>
              <w:t>Title and Abstract</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Title</w:t>
            </w:r>
          </w:p>
        </w:tc>
        <w:tc>
          <w:tcPr>
            <w:tcW w:w="340" w:type="pct"/>
          </w:tcPr>
          <w:p>
            <w:pPr>
              <w:jc w:val="left"/>
            </w:pPr>
            <w:r>
              <w:fldChar w:fldCharType="begin"/>
            </w:r>
            <w:r>
              <w:instrText xml:space="preserve"> HYPERLINK "https://www.goodreports.org/reporting-checklists/consort/info/#1a" \h </w:instrText>
            </w:r>
            <w:r>
              <w:fldChar w:fldCharType="separate"/>
            </w:r>
            <w:r>
              <w:rPr>
                <w:rStyle w:val="16"/>
              </w:rPr>
              <w:t>#1a</w:t>
            </w:r>
            <w:r>
              <w:rPr>
                <w:rStyle w:val="16"/>
              </w:rPr>
              <w:fldChar w:fldCharType="end"/>
            </w:r>
          </w:p>
        </w:tc>
        <w:tc>
          <w:tcPr>
            <w:tcW w:w="1048" w:type="pct"/>
          </w:tcPr>
          <w:p>
            <w:pPr>
              <w:jc w:val="left"/>
            </w:pPr>
            <w:r>
              <w:t>Identification as a randomized trial in the title.</w:t>
            </w:r>
          </w:p>
        </w:tc>
        <w:tc>
          <w:tcPr>
            <w:tcW w:w="2436" w:type="pct"/>
          </w:tcPr>
          <w:p>
            <w:pPr>
              <w:jc w:val="left"/>
            </w:pPr>
            <w:r>
              <w:t>page 1:The "tonifying the kidneys, resolving blood stasis and clearing collaterals" method in polycystic ovary syndrome (PCOS) research: study protocol for a multicentre cohort study nested randomised controlled trials</w:t>
            </w:r>
          </w:p>
        </w:tc>
      </w:tr>
      <w:tr>
        <w:tblPrEx>
          <w:tblCellMar>
            <w:top w:w="0" w:type="dxa"/>
            <w:left w:w="108" w:type="dxa"/>
            <w:bottom w:w="0" w:type="dxa"/>
            <w:right w:w="108" w:type="dxa"/>
          </w:tblCellMar>
        </w:tblPrEx>
        <w:tc>
          <w:tcPr>
            <w:tcW w:w="1173" w:type="pct"/>
          </w:tcPr>
          <w:p>
            <w:pPr>
              <w:jc w:val="left"/>
            </w:pPr>
            <w:r>
              <w:t>Abstract</w:t>
            </w:r>
          </w:p>
        </w:tc>
        <w:tc>
          <w:tcPr>
            <w:tcW w:w="340" w:type="pct"/>
          </w:tcPr>
          <w:p>
            <w:pPr>
              <w:jc w:val="left"/>
            </w:pPr>
            <w:r>
              <w:fldChar w:fldCharType="begin"/>
            </w:r>
            <w:r>
              <w:instrText xml:space="preserve"> HYPERLINK "https://www.goodreports.org/reporting-checklists/consort/info/#1b" \h </w:instrText>
            </w:r>
            <w:r>
              <w:fldChar w:fldCharType="separate"/>
            </w:r>
            <w:r>
              <w:rPr>
                <w:rStyle w:val="16"/>
              </w:rPr>
              <w:t>#1b</w:t>
            </w:r>
            <w:r>
              <w:rPr>
                <w:rStyle w:val="16"/>
              </w:rPr>
              <w:fldChar w:fldCharType="end"/>
            </w:r>
          </w:p>
        </w:tc>
        <w:tc>
          <w:tcPr>
            <w:tcW w:w="1048" w:type="pct"/>
          </w:tcPr>
          <w:p>
            <w:pPr>
              <w:jc w:val="left"/>
            </w:pPr>
            <w:r>
              <w:t>Structured summary of trial design, methods, results, and conclusions</w:t>
            </w:r>
          </w:p>
        </w:tc>
        <w:tc>
          <w:tcPr>
            <w:tcW w:w="2436" w:type="pct"/>
          </w:tcPr>
          <w:p>
            <w:pPr>
              <w:jc w:val="left"/>
            </w:pPr>
            <w:r>
              <w:t>page2-3:Abstract Introduction: Polycystic ovary syndrome (PCOS) presents as a multi-complicated syndrome and increases the risk of other diseases. Life management is clinically ineffective as a first-line basic treatment for polycystic ovary syndrome. Acupuncture and Chinese herbal medicine (CHM) have excellent clinical efficacy for PCOS. however,there is currently a dearth of high-quality data demonstrating its efficacy.The purpose of this experiment is to assess the safety and efficacy, especially the long-term efficacy,of individualized life management、CHM, acupoint thread-embedding therapy for treating PCOS. Methods and analysis: We present a multicentre, prospective, combined randomised clinical trial and observational cohort study design, with a target sample size of 316 patients with PCOS of the kidney deficiency and blood stasis type aged between 18-45years. Patients were divided into an observational cohort with a renal supplementation and blood-stasis-restoration cohort based on whether or not they were exposed to the tonifying-kidney, resolving-blood stasis-and-tongue method. Based on the examination results, the observation cohort received individualised life management and appropriate pharmacological interventions and was followed up for 6 months. The kidney tonifying and resolving stasis through the channels cohort was randomly divided into A) Kidney tonifying and resolving stasis traditional Chinese medicine group, B) Kidney tonifying and resolving stasis buried under ultrasound in the musculoskeletal bone group, and C) Kidney tonifying and resolving stasis traditional Chinese medicine combined with burying group by the method of randomised numerical table based on the above. The kidney tonifying and resolving stasis through the channels cohort treatment cycle was 3 months, and the follow-up period was 3 months. Main results: (1) the change of menstrual of PCOS patients before and after treatment ; (2) the efficacy of traditional Chinese medicine symptoms. Secondary results: Sex hormones, AMH, ultrasound;changes in scores such as polycystic cognition,PCOSQ-50 score,menstruation,hirsutism,Ffq168,IPAQ-SFHADS etc.All assessments were followed up with redcap questionnaires at baseline at weeks 4, 8, and 12 after the start of the intervention and at weeks 16, 20, and 24 after the end of the intervention.</w:t>
            </w:r>
          </w:p>
        </w:tc>
      </w:tr>
      <w:tr>
        <w:tblPrEx>
          <w:tblCellMar>
            <w:top w:w="0" w:type="dxa"/>
            <w:left w:w="108" w:type="dxa"/>
            <w:bottom w:w="0" w:type="dxa"/>
            <w:right w:w="108" w:type="dxa"/>
          </w:tblCellMar>
        </w:tblPrEx>
        <w:tc>
          <w:tcPr>
            <w:tcW w:w="1173" w:type="pct"/>
          </w:tcPr>
          <w:p>
            <w:pPr>
              <w:jc w:val="left"/>
            </w:pPr>
            <w:r>
              <w:rPr>
                <w:b/>
              </w:rPr>
              <w:t>Introduction</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Background and objectives</w:t>
            </w:r>
          </w:p>
        </w:tc>
        <w:tc>
          <w:tcPr>
            <w:tcW w:w="340" w:type="pct"/>
          </w:tcPr>
          <w:p>
            <w:pPr>
              <w:jc w:val="left"/>
            </w:pPr>
            <w:r>
              <w:fldChar w:fldCharType="begin"/>
            </w:r>
            <w:r>
              <w:instrText xml:space="preserve"> HYPERLINK "https://www.goodreports.org/reporting-checklists/consort/info/#2a" \h </w:instrText>
            </w:r>
            <w:r>
              <w:fldChar w:fldCharType="separate"/>
            </w:r>
            <w:r>
              <w:rPr>
                <w:rStyle w:val="16"/>
              </w:rPr>
              <w:t>#2a</w:t>
            </w:r>
            <w:r>
              <w:rPr>
                <w:rStyle w:val="16"/>
              </w:rPr>
              <w:fldChar w:fldCharType="end"/>
            </w:r>
          </w:p>
        </w:tc>
        <w:tc>
          <w:tcPr>
            <w:tcW w:w="1048" w:type="pct"/>
          </w:tcPr>
          <w:p>
            <w:pPr>
              <w:jc w:val="left"/>
            </w:pPr>
            <w:r>
              <w:t>Scientific background and explanation of rationale</w:t>
            </w:r>
          </w:p>
        </w:tc>
        <w:tc>
          <w:tcPr>
            <w:tcW w:w="2436" w:type="pct"/>
          </w:tcPr>
          <w:p>
            <w:pPr>
              <w:jc w:val="left"/>
            </w:pPr>
            <w:r>
              <w:t>page 2: Polycystic ovary syndrome (PCOS) presents as a multi-complicated syndrome and increases the risk of other diseases. Life management is clinically ineffective as a first-line basic treatment for polycystic ovary syndrome. Acupuncture and Chinese herbal medicine (CHM) have excellent clinical efficacy for PCOS. however,there is currently a dearth of high-quality data demonstrating its efficacy.The purpose of this experiment is to assess the safety and efficacy, especially the long-term efficacy,of individualized life management、CHM, acupoint thread-embedding therapy for treating PCOS.</w:t>
            </w:r>
          </w:p>
        </w:tc>
      </w:tr>
      <w:tr>
        <w:tblPrEx>
          <w:tblCellMar>
            <w:top w:w="0" w:type="dxa"/>
            <w:left w:w="108" w:type="dxa"/>
            <w:bottom w:w="0" w:type="dxa"/>
            <w:right w:w="108" w:type="dxa"/>
          </w:tblCellMar>
        </w:tblPrEx>
        <w:tc>
          <w:tcPr>
            <w:tcW w:w="1173" w:type="pct"/>
          </w:tcPr>
          <w:p>
            <w:pPr>
              <w:jc w:val="left"/>
            </w:pPr>
            <w:r>
              <w:t>Background and objectives</w:t>
            </w:r>
          </w:p>
        </w:tc>
        <w:tc>
          <w:tcPr>
            <w:tcW w:w="340" w:type="pct"/>
          </w:tcPr>
          <w:p>
            <w:pPr>
              <w:jc w:val="left"/>
            </w:pPr>
            <w:r>
              <w:fldChar w:fldCharType="begin"/>
            </w:r>
            <w:r>
              <w:instrText xml:space="preserve"> HYPERLINK "https://www.goodreports.org/reporting-checklists/consort/info/#2b" \h </w:instrText>
            </w:r>
            <w:r>
              <w:fldChar w:fldCharType="separate"/>
            </w:r>
            <w:r>
              <w:rPr>
                <w:rStyle w:val="16"/>
              </w:rPr>
              <w:t>#2b</w:t>
            </w:r>
            <w:r>
              <w:rPr>
                <w:rStyle w:val="16"/>
              </w:rPr>
              <w:fldChar w:fldCharType="end"/>
            </w:r>
          </w:p>
        </w:tc>
        <w:tc>
          <w:tcPr>
            <w:tcW w:w="1048" w:type="pct"/>
          </w:tcPr>
          <w:p>
            <w:pPr>
              <w:jc w:val="left"/>
            </w:pPr>
            <w:r>
              <w:t>Specific objectives or hypothesis</w:t>
            </w:r>
          </w:p>
        </w:tc>
        <w:tc>
          <w:tcPr>
            <w:tcW w:w="2436" w:type="pct"/>
          </w:tcPr>
          <w:p>
            <w:pPr>
              <w:jc w:val="left"/>
            </w:pPr>
            <w:r>
              <w:t>page 5-6:Acupuncture and Chinese herb medicines (CHMs) have significant efficacy in improving menstruation[7], ovulation[6][8], pregnancy[7][8][9][21], body weight[9], insulin resistance[9][10][11][24], sex hormones[7][23][24] regulation of intestinal flora[9][20], mood[12], and sleep in patients with PCOS. Therefore, Chinese medicine treatments have a wide range of positive significance for patients with polycystic ovary syndrome. Currently, basic studies and META analyses exist on applying TCM in PCOS. However, fewer high-quality clinical observation protocols and no published articles compare the advantages of the two treatments of TCM and buried threads and the efficacy of their combined treatments. Thus, this study will look at the advantages of implementing individualised life management for patients with PCOS through a combination of randomised clinical trials and observational cohort studies. It will also study the safety, efficacy, and long-term efficacy of herbal medicine and buried threads in PCOS. he purpose of this experiment is to assess the safety and efficacy, especially the long-term efficacy,of individualized life management、CHM, acupoint thread-embedding therapy for treating PCOS.</w:t>
            </w:r>
          </w:p>
        </w:tc>
      </w:tr>
      <w:tr>
        <w:tblPrEx>
          <w:tblCellMar>
            <w:top w:w="0" w:type="dxa"/>
            <w:left w:w="108" w:type="dxa"/>
            <w:bottom w:w="0" w:type="dxa"/>
            <w:right w:w="108" w:type="dxa"/>
          </w:tblCellMar>
        </w:tblPrEx>
        <w:tc>
          <w:tcPr>
            <w:tcW w:w="1173" w:type="pct"/>
          </w:tcPr>
          <w:p>
            <w:pPr>
              <w:jc w:val="left"/>
            </w:pPr>
            <w:r>
              <w:rPr>
                <w:b/>
              </w:rPr>
              <w:t>Methods</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Trial design</w:t>
            </w:r>
          </w:p>
        </w:tc>
        <w:tc>
          <w:tcPr>
            <w:tcW w:w="340" w:type="pct"/>
          </w:tcPr>
          <w:p>
            <w:pPr>
              <w:jc w:val="left"/>
            </w:pPr>
            <w:r>
              <w:fldChar w:fldCharType="begin"/>
            </w:r>
            <w:r>
              <w:instrText xml:space="preserve"> HYPERLINK "https://www.goodreports.org/reporting-checklists/consort/info/#3a" \h </w:instrText>
            </w:r>
            <w:r>
              <w:fldChar w:fldCharType="separate"/>
            </w:r>
            <w:r>
              <w:rPr>
                <w:rStyle w:val="16"/>
              </w:rPr>
              <w:t>#3a</w:t>
            </w:r>
            <w:r>
              <w:rPr>
                <w:rStyle w:val="16"/>
              </w:rPr>
              <w:fldChar w:fldCharType="end"/>
            </w:r>
          </w:p>
        </w:tc>
        <w:tc>
          <w:tcPr>
            <w:tcW w:w="1048" w:type="pct"/>
          </w:tcPr>
          <w:p>
            <w:pPr>
              <w:jc w:val="left"/>
            </w:pPr>
            <w:r>
              <w:t>Description of trial design (such as parallel, factorial) including allocation ratio.</w:t>
            </w:r>
          </w:p>
        </w:tc>
        <w:tc>
          <w:tcPr>
            <w:tcW w:w="2436" w:type="pct"/>
          </w:tcPr>
          <w:p>
            <w:pPr>
              <w:jc w:val="left"/>
            </w:pPr>
            <w:r>
              <w:t>page1,3:study protocol for a multicentre cohort study nested randomised controlled trials,Methods and analysis: We present a multicentre, prospective, combined randomised clinical trial and observational cohort study design,</w:t>
            </w:r>
          </w:p>
        </w:tc>
      </w:tr>
      <w:tr>
        <w:tblPrEx>
          <w:tblCellMar>
            <w:top w:w="0" w:type="dxa"/>
            <w:left w:w="108" w:type="dxa"/>
            <w:bottom w:w="0" w:type="dxa"/>
            <w:right w:w="108" w:type="dxa"/>
          </w:tblCellMar>
        </w:tblPrEx>
        <w:tc>
          <w:tcPr>
            <w:tcW w:w="1173" w:type="pct"/>
          </w:tcPr>
          <w:p>
            <w:pPr>
              <w:jc w:val="left"/>
            </w:pPr>
            <w:r>
              <w:t>Trial design</w:t>
            </w:r>
          </w:p>
        </w:tc>
        <w:tc>
          <w:tcPr>
            <w:tcW w:w="340" w:type="pct"/>
          </w:tcPr>
          <w:p>
            <w:pPr>
              <w:jc w:val="left"/>
            </w:pPr>
            <w:r>
              <w:fldChar w:fldCharType="begin"/>
            </w:r>
            <w:r>
              <w:instrText xml:space="preserve"> HYPERLINK "https://www.goodreports.org/reporting-checklists/consort/info/#3b" \h </w:instrText>
            </w:r>
            <w:r>
              <w:fldChar w:fldCharType="separate"/>
            </w:r>
            <w:r>
              <w:rPr>
                <w:rStyle w:val="16"/>
              </w:rPr>
              <w:t>#3b</w:t>
            </w:r>
            <w:r>
              <w:rPr>
                <w:rStyle w:val="16"/>
              </w:rPr>
              <w:fldChar w:fldCharType="end"/>
            </w:r>
          </w:p>
        </w:tc>
        <w:tc>
          <w:tcPr>
            <w:tcW w:w="1048" w:type="pct"/>
          </w:tcPr>
          <w:p>
            <w:pPr>
              <w:jc w:val="left"/>
            </w:pPr>
            <w:r>
              <w:t>Important changes to methods after trial commencement (such as eligibility criteria), with reasons</w:t>
            </w:r>
          </w:p>
        </w:tc>
        <w:tc>
          <w:tcPr>
            <w:tcW w:w="2436" w:type="pct"/>
          </w:tcPr>
          <w:p>
            <w:pPr>
              <w:jc w:val="left"/>
            </w:pPr>
            <w:r>
              <w:t>page3:Methods and analysis: a target sample size of 316 patients with PCOS of the kidney deficiency and blood stasis type aged between 18-45years. Patients were divided into an observational cohort with a renal supplementation and blood-stasis-restoration cohort based on whether or not they were exposed to the tonifying-kidney, resolving-blood stasis-and-tongue method. Based on the examination results, the observation cohort received individualised life management and appropriate pharmacological interventions and was followed up for 6 months. The kidney tonifying and resolving stasis through the channels cohort was randomly divided into A) Kidney tonifying and resolving stasis traditional Chinese medicine group, B) Kidney tonifying and resolving stasis buried under ultrasound in the musculoskeletal bone group, and C) Kidney tonifying and resolving stasis traditional Chinese medicine combined with burying group by the method of randomised numerical table based on the above. The kidney tonifying and resolving stasis through the channels cohort treatment cycle was 3 months, and the follow-up period was 3 months.</w:t>
            </w:r>
          </w:p>
        </w:tc>
      </w:tr>
      <w:tr>
        <w:tblPrEx>
          <w:tblCellMar>
            <w:top w:w="0" w:type="dxa"/>
            <w:left w:w="108" w:type="dxa"/>
            <w:bottom w:w="0" w:type="dxa"/>
            <w:right w:w="108" w:type="dxa"/>
          </w:tblCellMar>
        </w:tblPrEx>
        <w:tc>
          <w:tcPr>
            <w:tcW w:w="1173" w:type="pct"/>
          </w:tcPr>
          <w:p>
            <w:pPr>
              <w:jc w:val="left"/>
            </w:pPr>
            <w:r>
              <w:t>Participants</w:t>
            </w:r>
          </w:p>
        </w:tc>
        <w:tc>
          <w:tcPr>
            <w:tcW w:w="340" w:type="pct"/>
          </w:tcPr>
          <w:p>
            <w:pPr>
              <w:jc w:val="left"/>
            </w:pPr>
            <w:r>
              <w:fldChar w:fldCharType="begin"/>
            </w:r>
            <w:r>
              <w:instrText xml:space="preserve"> HYPERLINK "https://www.goodreports.org/reporting-checklists/consort/info/#4a" \h </w:instrText>
            </w:r>
            <w:r>
              <w:fldChar w:fldCharType="separate"/>
            </w:r>
            <w:r>
              <w:rPr>
                <w:rStyle w:val="16"/>
              </w:rPr>
              <w:t>#4a</w:t>
            </w:r>
            <w:r>
              <w:rPr>
                <w:rStyle w:val="16"/>
              </w:rPr>
              <w:fldChar w:fldCharType="end"/>
            </w:r>
          </w:p>
        </w:tc>
        <w:tc>
          <w:tcPr>
            <w:tcW w:w="1048" w:type="pct"/>
          </w:tcPr>
          <w:p>
            <w:pPr>
              <w:jc w:val="left"/>
            </w:pPr>
            <w:r>
              <w:t>Eligibility criteria for participants</w:t>
            </w:r>
          </w:p>
        </w:tc>
        <w:tc>
          <w:tcPr>
            <w:tcW w:w="2436" w:type="pct"/>
          </w:tcPr>
          <w:p>
            <w:pPr>
              <w:jc w:val="left"/>
            </w:pPr>
            <w:r>
              <w:t>page9-12:Diagnostic indicators 1. Adopt the diagnostic criteria in the Chinese Diagnostic and Treatment Guidelines for PCOS formulated by the Endocrinology Group of the Obstetrics and Gynaecology Section of the Chinese Medical Association and guideline experts in 2018[13]: (1) Scarce menstruation, amenorrhea, or irregular uterine bleeding; (2) Clinical manifestations of hyperandrogenism or hyperandrogenemia; (3) Polycystic ovaries on ultrasound (≥12 follicles with a diameter of 2-9 mm and/or an ovarian volume of ≥10 ml in one or both ovaries on ultrasound). Of the above 3 conditions, (1) is necessary, (2) and (3) have 1 or more. Other diseases that may cause hyperandrogenism and ovulation abnormalities are ruled out one by one before the diagnosis of PCOS is made. 1.1 Judgment criteria for scanty menstruation, amenorrhoea, and irregular bleeding: Regarding the relevant contents of the 9th edition of the textbook Obstetrics and Gynaecology, edited by Xie Xing, Kong Beihua, and Duan Tao, the criteria are formulated as follows[14]: (1) Scarcity of menstruation: the menstrual cycle is 35 days-6 months; (2) Secondary amenorrhoea: cessation of menstruation for more than 6 months after the establishment of normal menstruation or for more than 3 cycles according to one's original menstrual cycle. 1.2 Refer to the guidelines of integrated Chinese and Western medicine for the diagnosis and treatment of abnormal uterine bleeding with ovulatory disorders[15]: Irregular bleeding: irregular menstruation, menstrual cycle, menstrual period, frequency, and amount of menstruation can be abnormal. Determination of ovulation disorder: basal body temperature (BBT), monophasic suggests anovulation, biphasic suggests ovulation; or blood test for progesterone 5-7 days before menstruation, less than 15μg/L suggests ovulation disorder. 2. Chinese medicine diagnosis and identification criteria: (1) Formulate the Chinese evidence score with reference to the Quantitative Table of Symptom Grading of the Guiding Principles for Clinical Research of New Chinese Medicines for Malefactors; (2) China Traditional Chinese Medicine Press, Chinese Medicine and Gynaecology, 6th edition textbook, Zhang Yuzhen, Science of Traditional Chinese Medicine. Beijing: China Press of Traditional Chinese Medicine, 2002.9 The identification criteria of kidney deficiency and blood stasis in PCOS, primary symptoms: disorders of the menstrual cycle (menstruation at the beginning, at the end, or irregular intervals), menstruation stopping and shutting down. Secondary symptoms: (1) lumbosacral pain; (2) cold pain in the abdomen, especially during menstruation; (3) distension and pain in the lesser abdomen; (4) lack of warmth in the hands and feet; (5) dull tongue or petechiae; (6) fine stringy pulse. Inclusion criteria (1) Compliance with the above Western medical diagnostic criteria: the diagnostic criteria in the Chinese Diagnostic and Treatment Guidelines for Polycystic Ovary Syndrome[13] developed by the Endocrinology Group of the Obstetrics and Gynaecology Section of the Chinese Medical Association and the Guidelines Expert Group in 2018 were adopted: (2) Complying with the diagnostic criteria of TCM, identifying the type of kidney deficiency and blood stasis, primary symptoms: menstrual cycle disorders (menstrual cycle at the beginning, at the end, or irregular intervals), menstrual shutdown. Secondary symptoms: (1) lumbosacral pain; (2) cold pain in the abdomen, especially during menstruation; (3) distension and pain in the abdomen; (4) lack of warmth in the hands and feet; (5) dull tongue or petechiae; (6) fine stringy pulse. (3) Be 18-45 years old. (4) Understand the nature and purpose of the study, be willing to participate, cooperate with follow-up, examination, and treatment, and sign the informed consent form. Exclusion criteria (1) Those with menstrual irregularities caused by congenital or acquired organic lesions of the reproductive organs; (2) The presence of endocrine diseases similar to PCOS, such as hyperprolact</w:t>
            </w:r>
            <w:r>
              <w:t>inaemia, thyroid disease, Cushing's syndrome, atypical congenital adrenal hyperplasia, tumours of the ovaries or adrenal glands that release testosterone, functional hypothalamic amenorrhea, and early-onset ovarian insufficiency; (3) Excluding patients with uterine bleeding caused by pregnancy, coagulation disorders, endometrial polyps and local anomalies, adenomyosis, fibroids, endometrial malignancy and atypical hyperplasia; (4) Patients with combined serious heart, liver, kidney, blood, oncological system, and other primary diseases; patients with severe anaemia requiring blood transfusion; and patients with mental illness; (5) Those who have taken hormone drugs or drugs affecting sex hormones, blood sugar, insulin, lipid metabolism, etc. in the past 3 months. (6) Those who are allergic to proteins and those who have broken or ulcerated skin at the site of the proposed buried thread to affect the operation; (7) Those who participate in other clinical studies simultaneously affect the results of this study.</w:t>
            </w:r>
          </w:p>
        </w:tc>
      </w:tr>
      <w:tr>
        <w:tblPrEx>
          <w:tblCellMar>
            <w:top w:w="0" w:type="dxa"/>
            <w:left w:w="108" w:type="dxa"/>
            <w:bottom w:w="0" w:type="dxa"/>
            <w:right w:w="108" w:type="dxa"/>
          </w:tblCellMar>
        </w:tblPrEx>
        <w:tc>
          <w:tcPr>
            <w:tcW w:w="1173" w:type="pct"/>
          </w:tcPr>
          <w:p>
            <w:pPr>
              <w:jc w:val="left"/>
            </w:pPr>
            <w:r>
              <w:t>Participants</w:t>
            </w:r>
          </w:p>
        </w:tc>
        <w:tc>
          <w:tcPr>
            <w:tcW w:w="340" w:type="pct"/>
          </w:tcPr>
          <w:p>
            <w:pPr>
              <w:jc w:val="left"/>
            </w:pPr>
            <w:r>
              <w:fldChar w:fldCharType="begin"/>
            </w:r>
            <w:r>
              <w:instrText xml:space="preserve"> HYPERLINK "https://www.goodreports.org/reporting-checklists/consort/info/#4b" \h </w:instrText>
            </w:r>
            <w:r>
              <w:fldChar w:fldCharType="separate"/>
            </w:r>
            <w:r>
              <w:rPr>
                <w:rStyle w:val="16"/>
              </w:rPr>
              <w:t>#4b</w:t>
            </w:r>
            <w:r>
              <w:rPr>
                <w:rStyle w:val="16"/>
              </w:rPr>
              <w:fldChar w:fldCharType="end"/>
            </w:r>
          </w:p>
        </w:tc>
        <w:tc>
          <w:tcPr>
            <w:tcW w:w="1048" w:type="pct"/>
          </w:tcPr>
          <w:p>
            <w:pPr>
              <w:jc w:val="left"/>
            </w:pPr>
            <w:r>
              <w:t>Settings and locations where the data were collected</w:t>
            </w:r>
          </w:p>
        </w:tc>
        <w:tc>
          <w:tcPr>
            <w:tcW w:w="2436" w:type="pct"/>
          </w:tcPr>
          <w:p>
            <w:pPr>
              <w:jc w:val="left"/>
            </w:pPr>
            <w:r>
              <w:t>page9:Participants Participants recruit from outpatient gynaecology, endocrinology, and TCM clinics at Shaanxi Provincial Hospital of Traditional Chinese Medicine and the First Affiliated Hospital of Xi'an Jiaotong University. In addition, posters, newspapers, and online advertisements were used for recruitment.</w:t>
            </w:r>
          </w:p>
        </w:tc>
      </w:tr>
      <w:tr>
        <w:tblPrEx>
          <w:tblCellMar>
            <w:top w:w="0" w:type="dxa"/>
            <w:left w:w="108" w:type="dxa"/>
            <w:bottom w:w="0" w:type="dxa"/>
            <w:right w:w="108" w:type="dxa"/>
          </w:tblCellMar>
        </w:tblPrEx>
        <w:tc>
          <w:tcPr>
            <w:tcW w:w="1173" w:type="pct"/>
          </w:tcPr>
          <w:p>
            <w:pPr>
              <w:jc w:val="left"/>
            </w:pPr>
            <w:r>
              <w:t>Interventions</w:t>
            </w:r>
          </w:p>
        </w:tc>
        <w:tc>
          <w:tcPr>
            <w:tcW w:w="340" w:type="pct"/>
          </w:tcPr>
          <w:p>
            <w:pPr>
              <w:jc w:val="left"/>
            </w:pPr>
            <w:r>
              <w:fldChar w:fldCharType="begin"/>
            </w:r>
            <w:r>
              <w:instrText xml:space="preserve"> HYPERLINK "https://www.goodreports.org/reporting-checklists/consort/info/#5" \h </w:instrText>
            </w:r>
            <w:r>
              <w:fldChar w:fldCharType="separate"/>
            </w:r>
            <w:r>
              <w:rPr>
                <w:rStyle w:val="16"/>
              </w:rPr>
              <w:t>#5</w:t>
            </w:r>
            <w:r>
              <w:rPr>
                <w:rStyle w:val="16"/>
              </w:rPr>
              <w:fldChar w:fldCharType="end"/>
            </w:r>
          </w:p>
        </w:tc>
        <w:tc>
          <w:tcPr>
            <w:tcW w:w="1048" w:type="pct"/>
          </w:tcPr>
          <w:p>
            <w:pPr>
              <w:jc w:val="left"/>
            </w:pPr>
            <w:r>
              <w:t>The experimental and control interventions for each group with sufficient details to allow replication, including how and when they were actually administered</w:t>
            </w:r>
          </w:p>
        </w:tc>
        <w:tc>
          <w:tcPr>
            <w:tcW w:w="2436" w:type="pct"/>
          </w:tcPr>
          <w:p>
            <w:pPr>
              <w:jc w:val="left"/>
            </w:pPr>
            <w:r>
              <w:t>page12-14:Intervention Kidney tonifying and stasis removing cohort A: Kidney tonifying and stasis removing herbal medicine group: herbal medicine provided by the herbal pharmacy of Shaanxi Provincial Hospital of Traditional Chinese Medicine and the First Affiliated Hospital of Xi'an Jiaotong University Formula for tonifying the kidneys and eliminating stasis: Rehmanniae radix praeparata (Shoudihuang)15g, Angelicae sinensis radix(Danggui)15g,  Paeoniae Radix Alba (Baishao)15g, Poria(Fuling)15g, Cortex Moutan(Mudanpi)15g, Epimedium brevicornu（Yinyanghuo）15g, Salvia miltiorrhiza(Danshen)15g, Achyranthis bidentatae radix (Niuxi)15g, Leonurus japonicus (Yimucao)15g, Rhizoma Cyperi(Xiangfu)15g. Dosage: 400ml of Chinese herbal medicines in water, 1 dose daily, 200ml in the morning and 200ml in the evening, warm, 3 consecutive courses of treatment (1 menstrual cycle is 1 course of treatment), stop the medicine during menstruation. B: Burying threads under ultrasound for tonifying the kidney and resolving stasis in the muscles and bones: Preparatory equipment: absorbable surgical suture, collagen material, specification 4-0-2cm (Shandong Boda Medical Supplies Co.Ltd.), needle with sterile disposable injection needle, specification: 0.7</w:t>
            </w:r>
            <w:r>
              <w:rPr>
                <w:i/>
              </w:rPr>
              <w:t>30TWLB (Jiangsu Suyun Medical Instrument Co.Ltd.), aseptic medication change kit (Zhende Medical), medical infusion bottle mouth sticker specification: 28mm</w:t>
            </w:r>
            <w:r>
              <w:t>16mm (Yangzhou Fleury Biotechnology Co.Ltd.). Medical Infusion Vial Paste Specification: 28mm*16mm (Yangzhou Fleury Biotechnology Co. Ltd.) Selection of acupuncture points (tonifying the kidney, eliminating blood stasis, and promoting circulation): BL23 (bilateral), EX-CA1 (bilateral), uterus(bilateral), RN4, SP10 (bilateral), ST36 (bilateral), SP6 (bilateral), ST25 (bilateral). After the patient emptied the bladder, according to the location of the acupoints, the patient was placed in the position (supine/post-prone) to perform the acupoint burrowing. Specific operation process: open the single-use sterile dressing change bag, disinfect both hands with sterile gloves, local disinfection of acupoints, ultrasonographers using Neusoft N7 ultrasound equipment, select C2-5 ultrasound probe, set the frequency of 1.5Hz, respectively, aligned with the selected acupoints, acupuncturist use cotton swabs to wipe off excess coupling agent on the skin surface at the acupoints and disinfect the skin with iodine povidone, iodine swabs to disinfect the acupoints from the inside to the outside twice, hold the disposable No.5 buried needle in the left hand, hold sterile tweezers with the right hand to clip and put absorbable surgical suture into the buried sterile injecting needles, and then send the collagen threads into the acupoints and leave it behind under the ultrasound guidance of the acupuncturist with at least 5 years of experience, and then withdraw the sterile injecting needles. This procedure was done 1 time per 14 days, with an overall treatment for 3 months. The needle was withdrawn, and the acupuncture point was fixed with a disposable infusion bottle mouth sticker.14 Treatment was once a day for 3 months. C: Kidney tonifying and blood stasis removing traditional Chinese medicine combined with burying the thread group: the above two groups of programmes were combined, taking medication and burying the thread time treatment and operation as the above two groups. Control group Individualised life management: according to the patient's polycystic treatment goal, multidisciplinary doctors made a joint decision to formulate a plan based on the patient's current problems and needs, self-set goals, acceptable plan, willingness to accept feedback and communication frequency, combined with the patient's previous examination, combined with the guidelines, and high-quality meta-analysis for the correction of the plan. Communicate and develop a detailed individualised management plan with the patient. Necessary basic western medicine includes: 1. adjustment of menstrual cycle, 2. treatment of hyperandrogenism, 3. metabolic adjustment, 4. induction of ovulation, 5. in vitro fertilisation-embryo transfer, etc.</w:t>
            </w:r>
          </w:p>
        </w:tc>
      </w:tr>
      <w:tr>
        <w:tblPrEx>
          <w:tblCellMar>
            <w:top w:w="0" w:type="dxa"/>
            <w:left w:w="108" w:type="dxa"/>
            <w:bottom w:w="0" w:type="dxa"/>
            <w:right w:w="108" w:type="dxa"/>
          </w:tblCellMar>
        </w:tblPrEx>
        <w:tc>
          <w:tcPr>
            <w:tcW w:w="1173" w:type="pct"/>
          </w:tcPr>
          <w:p>
            <w:pPr>
              <w:jc w:val="left"/>
            </w:pPr>
            <w:r>
              <w:t>Outcomes</w:t>
            </w:r>
          </w:p>
        </w:tc>
        <w:tc>
          <w:tcPr>
            <w:tcW w:w="340" w:type="pct"/>
          </w:tcPr>
          <w:p>
            <w:pPr>
              <w:jc w:val="left"/>
            </w:pPr>
            <w:r>
              <w:fldChar w:fldCharType="begin"/>
            </w:r>
            <w:r>
              <w:instrText xml:space="preserve"> HYPERLINK "https://www.goodreports.org/reporting-checklists/consort/info/#6a" \h </w:instrText>
            </w:r>
            <w:r>
              <w:fldChar w:fldCharType="separate"/>
            </w:r>
            <w:r>
              <w:rPr>
                <w:rStyle w:val="16"/>
              </w:rPr>
              <w:t>#6a</w:t>
            </w:r>
            <w:r>
              <w:rPr>
                <w:rStyle w:val="16"/>
              </w:rPr>
              <w:fldChar w:fldCharType="end"/>
            </w:r>
          </w:p>
        </w:tc>
        <w:tc>
          <w:tcPr>
            <w:tcW w:w="1048" w:type="pct"/>
          </w:tcPr>
          <w:p>
            <w:pPr>
              <w:jc w:val="left"/>
            </w:pPr>
            <w:r>
              <w:t>Completely defined prespecified primary and secondary outcome measures, including how and when they were assessed</w:t>
            </w:r>
          </w:p>
        </w:tc>
        <w:tc>
          <w:tcPr>
            <w:tcW w:w="2436" w:type="pct"/>
          </w:tcPr>
          <w:p>
            <w:pPr>
              <w:jc w:val="left"/>
            </w:pPr>
            <w:r>
              <w:t>page15-16:Outcomes Main outcome indicators (1)Pre- and post-treatment improvement of menstruation in PCOS patients,Referring to the Guiding Principles for Clinical Research of New Chinese Medicines in the evidence ratings.Evaluation in terms of menstrual cycle, menstrual flow, menstrual period with a maximum score of 18 points; the more severe the symptoms, the higher the score ; (2) Determination of the efficacy of Chinese medicine symptoms: Referring to the Guiding Principles for the Clinical Research of New Chinese Medicines issued by the State Drug Administration in 2002 (trial version), the efficacy index was calculated according to the points of Chinese medicine symptoms before and after the treatment (evaluating in terms of the menstrual cycle, menstrual volume, the colour of menstruation, dark red tongue, and dull and astringent pulse, with a maximum score of 56 points; the more severe the symptoms, the higher the score), and the formula (Nimodipine method) was as follows: efficacy index (n) = (treatment period). The formula (Nimodipine method) is efficacy index (n) = (pre-treatment symptom score - post-treatment symptom score) / pre-treatment symptom score X 100%. Symptoms basically disappeared, n&gt;95%; apparent effect: Symptoms are significantly reduced after treatment, 95%&gt;n&gt;70%; Effective: reduction of symptoms after treatment, 70%&gt;n&gt;30%; Ineffective: no reduction or aggravation of symptoms after treatment, n&lt;30%. Secondary outcome indicators Sex hormones, AMH(anti-Müllerianhormone), ultrasound; changes in scores on the remaining scales such as polycystic cognition, PCOSQ-50 score, menstruation, hirsutism, Ffq168, IPAQ-SFHADS, etc., were reviewed at week 12 after discontinuation of medication and week 24 of follow up. Fasting insulin, glycaemia, lipids, liver, and renal function were reviewed for the presence of metabolic problems, and follow-up on the pregnancy rate and the incidence of spontaneous abortions was carried out.</w:t>
            </w:r>
          </w:p>
        </w:tc>
      </w:tr>
      <w:tr>
        <w:tblPrEx>
          <w:tblCellMar>
            <w:top w:w="0" w:type="dxa"/>
            <w:left w:w="108" w:type="dxa"/>
            <w:bottom w:w="0" w:type="dxa"/>
            <w:right w:w="108" w:type="dxa"/>
          </w:tblCellMar>
        </w:tblPrEx>
        <w:tc>
          <w:tcPr>
            <w:tcW w:w="1173" w:type="pct"/>
          </w:tcPr>
          <w:p>
            <w:pPr>
              <w:jc w:val="left"/>
            </w:pPr>
            <w:r>
              <w:t>Sample size</w:t>
            </w:r>
          </w:p>
        </w:tc>
        <w:tc>
          <w:tcPr>
            <w:tcW w:w="340" w:type="pct"/>
          </w:tcPr>
          <w:p>
            <w:pPr>
              <w:jc w:val="left"/>
            </w:pPr>
            <w:r>
              <w:fldChar w:fldCharType="begin"/>
            </w:r>
            <w:r>
              <w:instrText xml:space="preserve"> HYPERLINK "https://www.goodreports.org/reporting-checklists/consort/info/#7a" \h </w:instrText>
            </w:r>
            <w:r>
              <w:fldChar w:fldCharType="separate"/>
            </w:r>
            <w:r>
              <w:rPr>
                <w:rStyle w:val="16"/>
              </w:rPr>
              <w:t>#7a</w:t>
            </w:r>
            <w:r>
              <w:rPr>
                <w:rStyle w:val="16"/>
              </w:rPr>
              <w:fldChar w:fldCharType="end"/>
            </w:r>
          </w:p>
        </w:tc>
        <w:tc>
          <w:tcPr>
            <w:tcW w:w="1048" w:type="pct"/>
          </w:tcPr>
          <w:p>
            <w:pPr>
              <w:jc w:val="left"/>
            </w:pPr>
            <w:r>
              <w:t>How sample size was determined.</w:t>
            </w:r>
          </w:p>
        </w:tc>
        <w:tc>
          <w:tcPr>
            <w:tcW w:w="2436" w:type="pct"/>
          </w:tcPr>
          <w:p>
            <w:pPr>
              <w:jc w:val="left"/>
            </w:pPr>
            <w:r>
              <w:t>page14:Sample size In this study, previous studies[18], and our observational study, we chose the changes in menstrual evidence points of the three treatment groups of buried threads, traditional Chinese medicine, and buried threads combined with traditional Chinese medicine, with a test level of α=0.05 (bilateral) and a test efficacy of 1-β=0.9. The sample size of the three groups was calculated to require a total sample size of 93 cases by the PASS 15 software. The randomised controlled sample size was about 117 cases, considering a lapse rate of 20%. According to the sample size estimation formula of the cohort study, taking into account the dropout rate of 20%, the total sample size of this study is about 316 cases.</w:t>
            </w:r>
          </w:p>
        </w:tc>
      </w:tr>
      <w:tr>
        <w:tblPrEx>
          <w:tblCellMar>
            <w:top w:w="0" w:type="dxa"/>
            <w:left w:w="108" w:type="dxa"/>
            <w:bottom w:w="0" w:type="dxa"/>
            <w:right w:w="108" w:type="dxa"/>
          </w:tblCellMar>
        </w:tblPrEx>
        <w:tc>
          <w:tcPr>
            <w:tcW w:w="1173" w:type="pct"/>
          </w:tcPr>
          <w:p>
            <w:pPr>
              <w:jc w:val="left"/>
            </w:pPr>
            <w:r>
              <w:t>Sample size</w:t>
            </w:r>
          </w:p>
        </w:tc>
        <w:tc>
          <w:tcPr>
            <w:tcW w:w="340" w:type="pct"/>
          </w:tcPr>
          <w:p>
            <w:pPr>
              <w:jc w:val="left"/>
            </w:pPr>
            <w:r>
              <w:fldChar w:fldCharType="begin"/>
            </w:r>
            <w:r>
              <w:instrText xml:space="preserve"> HYPERLINK "https://www.goodreports.org/reporting-checklists/consort/info/#7b" \h </w:instrText>
            </w:r>
            <w:r>
              <w:fldChar w:fldCharType="separate"/>
            </w:r>
            <w:r>
              <w:rPr>
                <w:rStyle w:val="16"/>
              </w:rPr>
              <w:t>#7b</w:t>
            </w:r>
            <w:r>
              <w:rPr>
                <w:rStyle w:val="16"/>
              </w:rPr>
              <w:fldChar w:fldCharType="end"/>
            </w:r>
          </w:p>
        </w:tc>
        <w:tc>
          <w:tcPr>
            <w:tcW w:w="1048" w:type="pct"/>
          </w:tcPr>
          <w:p>
            <w:pPr>
              <w:jc w:val="left"/>
            </w:pPr>
            <w:r>
              <w:t>When applicable, explanation of any interim analyses and stopping guidelines</w:t>
            </w:r>
          </w:p>
        </w:tc>
        <w:tc>
          <w:tcPr>
            <w:tcW w:w="2436" w:type="pct"/>
          </w:tcPr>
          <w:p>
            <w:pPr>
              <w:jc w:val="left"/>
            </w:pPr>
            <w:r>
              <w:t>study protocol for a multicentre cohort study nested randomised controlled trials,part of cohort study No false positives involved，we use Redcap easy to follow up with regular emails,and Preliminary research on the efficacy of Chinese medicine and the choice of treatment protocols can help to reduce loss and ineffectiveness.</w:t>
            </w:r>
          </w:p>
        </w:tc>
      </w:tr>
      <w:tr>
        <w:tblPrEx>
          <w:tblCellMar>
            <w:top w:w="0" w:type="dxa"/>
            <w:left w:w="108" w:type="dxa"/>
            <w:bottom w:w="0" w:type="dxa"/>
            <w:right w:w="108" w:type="dxa"/>
          </w:tblCellMar>
        </w:tblPrEx>
        <w:trPr>
          <w:gridAfter w:val="1"/>
          <w:wAfter w:w="2436" w:type="pct"/>
        </w:trPr>
        <w:tc>
          <w:tcPr>
            <w:tcW w:w="1173" w:type="pct"/>
          </w:tcPr>
          <w:p>
            <w:pPr>
              <w:jc w:val="left"/>
            </w:pPr>
            <w:r>
              <w:t>Randomization - Sequence generation</w:t>
            </w:r>
          </w:p>
        </w:tc>
        <w:tc>
          <w:tcPr>
            <w:tcW w:w="340" w:type="pct"/>
          </w:tcPr>
          <w:p>
            <w:pPr>
              <w:jc w:val="left"/>
            </w:pPr>
            <w:r>
              <w:fldChar w:fldCharType="begin"/>
            </w:r>
            <w:r>
              <w:instrText xml:space="preserve"> HYPERLINK "https://www.goodreports.org/reporting-checklists/consort/info/#8a" \h </w:instrText>
            </w:r>
            <w:r>
              <w:fldChar w:fldCharType="separate"/>
            </w:r>
            <w:r>
              <w:rPr>
                <w:rStyle w:val="16"/>
              </w:rPr>
              <w:t>#8a</w:t>
            </w:r>
            <w:r>
              <w:rPr>
                <w:rStyle w:val="16"/>
              </w:rPr>
              <w:fldChar w:fldCharType="end"/>
            </w:r>
          </w:p>
        </w:tc>
        <w:tc>
          <w:tcPr>
            <w:tcW w:w="1048" w:type="pct"/>
          </w:tcPr>
          <w:p>
            <w:pPr>
              <w:jc w:val="left"/>
            </w:pPr>
            <w:r>
              <w:t>Method used to generate the random allocation sequence.</w:t>
            </w:r>
          </w:p>
        </w:tc>
      </w:tr>
      <w:tr>
        <w:tblPrEx>
          <w:tblCellMar>
            <w:top w:w="0" w:type="dxa"/>
            <w:left w:w="108" w:type="dxa"/>
            <w:bottom w:w="0" w:type="dxa"/>
            <w:right w:w="108" w:type="dxa"/>
          </w:tblCellMar>
        </w:tblPrEx>
        <w:trPr>
          <w:gridAfter w:val="2"/>
          <w:wAfter w:w="3485" w:type="pct"/>
        </w:trPr>
        <w:tc>
          <w:tcPr>
            <w:tcW w:w="1173" w:type="pct"/>
          </w:tcPr>
          <w:p>
            <w:pPr>
              <w:jc w:val="left"/>
            </w:pPr>
            <w:r>
              <w:t>page7:It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tc>
        <w:tc>
          <w:tcPr>
            <w:tcW w:w="340" w:type="pct"/>
          </w:tcPr>
          <w:p/>
        </w:tc>
      </w:tr>
      <w:tr>
        <w:tblPrEx>
          <w:tblCellMar>
            <w:top w:w="0" w:type="dxa"/>
            <w:left w:w="108" w:type="dxa"/>
            <w:bottom w:w="0" w:type="dxa"/>
            <w:right w:w="108" w:type="dxa"/>
          </w:tblCellMar>
        </w:tblPrEx>
        <w:trPr>
          <w:gridAfter w:val="1"/>
          <w:wAfter w:w="2436" w:type="pct"/>
        </w:trPr>
        <w:tc>
          <w:tcPr>
            <w:tcW w:w="1173" w:type="pct"/>
          </w:tcPr>
          <w:p>
            <w:pPr>
              <w:jc w:val="left"/>
            </w:pPr>
            <w:r>
              <w:t>Randomization - Sequence generation</w:t>
            </w:r>
          </w:p>
        </w:tc>
        <w:tc>
          <w:tcPr>
            <w:tcW w:w="340" w:type="pct"/>
          </w:tcPr>
          <w:p>
            <w:pPr>
              <w:jc w:val="left"/>
            </w:pPr>
            <w:r>
              <w:fldChar w:fldCharType="begin"/>
            </w:r>
            <w:r>
              <w:instrText xml:space="preserve"> HYPERLINK "https://www.goodreports.org/reporting-checklists/consort/info/#8b" \h </w:instrText>
            </w:r>
            <w:r>
              <w:fldChar w:fldCharType="separate"/>
            </w:r>
            <w:r>
              <w:rPr>
                <w:rStyle w:val="16"/>
              </w:rPr>
              <w:t>#8b</w:t>
            </w:r>
            <w:r>
              <w:rPr>
                <w:rStyle w:val="16"/>
              </w:rPr>
              <w:fldChar w:fldCharType="end"/>
            </w:r>
          </w:p>
        </w:tc>
        <w:tc>
          <w:tcPr>
            <w:tcW w:w="1048" w:type="pct"/>
          </w:tcPr>
          <w:p>
            <w:pPr>
              <w:jc w:val="left"/>
            </w:pPr>
            <w:r>
              <w:t>Type of randomization; details of any restriction (such as blocking and block size)</w:t>
            </w:r>
          </w:p>
        </w:tc>
      </w:tr>
      <w:tr>
        <w:tblPrEx>
          <w:tblCellMar>
            <w:top w:w="0" w:type="dxa"/>
            <w:left w:w="108" w:type="dxa"/>
            <w:bottom w:w="0" w:type="dxa"/>
            <w:right w:w="108" w:type="dxa"/>
          </w:tblCellMar>
        </w:tblPrEx>
        <w:trPr>
          <w:gridAfter w:val="2"/>
          <w:wAfter w:w="3485" w:type="pct"/>
        </w:trPr>
        <w:tc>
          <w:tcPr>
            <w:tcW w:w="1173" w:type="pct"/>
          </w:tcPr>
          <w:p>
            <w:pPr>
              <w:jc w:val="left"/>
            </w:pPr>
            <w:r>
              <w:t>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tc>
        <w:tc>
          <w:tcPr>
            <w:tcW w:w="340" w:type="pct"/>
          </w:tcPr>
          <w:p/>
        </w:tc>
      </w:tr>
      <w:tr>
        <w:tblPrEx>
          <w:tblCellMar>
            <w:top w:w="0" w:type="dxa"/>
            <w:left w:w="108" w:type="dxa"/>
            <w:bottom w:w="0" w:type="dxa"/>
            <w:right w:w="108" w:type="dxa"/>
          </w:tblCellMar>
        </w:tblPrEx>
        <w:tc>
          <w:tcPr>
            <w:tcW w:w="1173" w:type="pct"/>
          </w:tcPr>
          <w:p>
            <w:pPr>
              <w:jc w:val="left"/>
            </w:pPr>
            <w:r>
              <w:t>Randomization - Allocation concealment mechanism</w:t>
            </w:r>
          </w:p>
        </w:tc>
        <w:tc>
          <w:tcPr>
            <w:tcW w:w="340" w:type="pct"/>
          </w:tcPr>
          <w:p>
            <w:pPr>
              <w:jc w:val="left"/>
            </w:pPr>
            <w:r>
              <w:fldChar w:fldCharType="begin"/>
            </w:r>
            <w:r>
              <w:instrText xml:space="preserve"> HYPERLINK "https://www.goodreports.org/reporting-checklists/consort/info/#9" \h </w:instrText>
            </w:r>
            <w:r>
              <w:fldChar w:fldCharType="separate"/>
            </w:r>
            <w:r>
              <w:rPr>
                <w:rStyle w:val="16"/>
              </w:rPr>
              <w:t>#9</w:t>
            </w:r>
            <w:r>
              <w:rPr>
                <w:rStyle w:val="16"/>
              </w:rPr>
              <w:fldChar w:fldCharType="end"/>
            </w:r>
          </w:p>
        </w:tc>
        <w:tc>
          <w:tcPr>
            <w:tcW w:w="1048" w:type="pct"/>
          </w:tcPr>
          <w:p>
            <w:pPr>
              <w:jc w:val="left"/>
            </w:pPr>
            <w:r>
              <w:t>Mechanism used to implement the random allocation sequence (such as sequentially numbered containers), describing any steps taken to conceal the sequence until interventions were assigned</w:t>
            </w:r>
          </w:p>
        </w:tc>
        <w:tc>
          <w:tcPr>
            <w:tcW w:w="2436" w:type="pct"/>
          </w:tcPr>
          <w:p>
            <w:pPr>
              <w:jc w:val="left"/>
            </w:pPr>
            <w:r>
              <w:t>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tc>
      </w:tr>
      <w:tr>
        <w:tblPrEx>
          <w:tblCellMar>
            <w:top w:w="0" w:type="dxa"/>
            <w:left w:w="108" w:type="dxa"/>
            <w:bottom w:w="0" w:type="dxa"/>
            <w:right w:w="108" w:type="dxa"/>
          </w:tblCellMar>
        </w:tblPrEx>
        <w:tc>
          <w:tcPr>
            <w:tcW w:w="1173" w:type="pct"/>
          </w:tcPr>
          <w:p>
            <w:pPr>
              <w:jc w:val="left"/>
            </w:pPr>
            <w:r>
              <w:t>Randomization - Implementation</w:t>
            </w:r>
          </w:p>
        </w:tc>
        <w:tc>
          <w:tcPr>
            <w:tcW w:w="340" w:type="pct"/>
          </w:tcPr>
          <w:p>
            <w:pPr>
              <w:jc w:val="left"/>
            </w:pPr>
            <w:r>
              <w:fldChar w:fldCharType="begin"/>
            </w:r>
            <w:r>
              <w:instrText xml:space="preserve"> HYPERLINK "https://www.goodreports.org/reporting-checklists/consort/info/#10" \h </w:instrText>
            </w:r>
            <w:r>
              <w:fldChar w:fldCharType="separate"/>
            </w:r>
            <w:r>
              <w:rPr>
                <w:rStyle w:val="16"/>
              </w:rPr>
              <w:t>#10</w:t>
            </w:r>
            <w:r>
              <w:rPr>
                <w:rStyle w:val="16"/>
              </w:rPr>
              <w:fldChar w:fldCharType="end"/>
            </w:r>
          </w:p>
        </w:tc>
        <w:tc>
          <w:tcPr>
            <w:tcW w:w="1048" w:type="pct"/>
          </w:tcPr>
          <w:p>
            <w:pPr>
              <w:jc w:val="left"/>
            </w:pPr>
            <w:r>
              <w:t>Who generated the allocation sequence, who enrolled participants, and who assigned participants to interventions</w:t>
            </w:r>
          </w:p>
        </w:tc>
        <w:tc>
          <w:tcPr>
            <w:tcW w:w="2436" w:type="pct"/>
          </w:tcPr>
          <w:p>
            <w:pPr>
              <w:jc w:val="left"/>
            </w:pPr>
            <w:r>
              <w:t>page24:Author contributions :RW use spss generate a table of random numbers,Participant recruitment and data entry is provided byYHL,DYY,NL,KLJ, YX, HHZ, LQS, RS</w:t>
            </w:r>
          </w:p>
        </w:tc>
      </w:tr>
      <w:tr>
        <w:tblPrEx>
          <w:tblCellMar>
            <w:top w:w="0" w:type="dxa"/>
            <w:left w:w="108" w:type="dxa"/>
            <w:bottom w:w="0" w:type="dxa"/>
            <w:right w:w="108" w:type="dxa"/>
          </w:tblCellMar>
        </w:tblPrEx>
        <w:tc>
          <w:tcPr>
            <w:tcW w:w="1173" w:type="pct"/>
          </w:tcPr>
          <w:p>
            <w:pPr>
              <w:jc w:val="left"/>
            </w:pPr>
            <w:r>
              <w:t>Blinding</w:t>
            </w:r>
          </w:p>
        </w:tc>
        <w:tc>
          <w:tcPr>
            <w:tcW w:w="340" w:type="pct"/>
          </w:tcPr>
          <w:p>
            <w:pPr>
              <w:jc w:val="left"/>
            </w:pPr>
            <w:r>
              <w:fldChar w:fldCharType="begin"/>
            </w:r>
            <w:r>
              <w:instrText xml:space="preserve"> HYPERLINK "https://www.goodreports.org/reporting-checklists/consort/info/#11a" \h </w:instrText>
            </w:r>
            <w:r>
              <w:fldChar w:fldCharType="separate"/>
            </w:r>
            <w:r>
              <w:rPr>
                <w:rStyle w:val="16"/>
              </w:rPr>
              <w:t>#11a</w:t>
            </w:r>
            <w:r>
              <w:rPr>
                <w:rStyle w:val="16"/>
              </w:rPr>
              <w:fldChar w:fldCharType="end"/>
            </w:r>
          </w:p>
        </w:tc>
        <w:tc>
          <w:tcPr>
            <w:tcW w:w="1048" w:type="pct"/>
          </w:tcPr>
          <w:p>
            <w:pPr>
              <w:jc w:val="left"/>
            </w:pPr>
            <w:r>
              <w:t>If done, who was blinded after assignment to interventions (for example, participants, care providers, those assessing outcomes) and how.</w:t>
            </w:r>
          </w:p>
        </w:tc>
        <w:tc>
          <w:tcPr>
            <w:tcW w:w="2436" w:type="pct"/>
          </w:tcPr>
          <w:p>
            <w:pPr>
              <w:jc w:val="left"/>
            </w:pPr>
            <w:r>
              <w:t>n/a,Patients Single-blind</w:t>
            </w:r>
          </w:p>
        </w:tc>
      </w:tr>
      <w:tr>
        <w:tblPrEx>
          <w:tblCellMar>
            <w:top w:w="0" w:type="dxa"/>
            <w:left w:w="108" w:type="dxa"/>
            <w:bottom w:w="0" w:type="dxa"/>
            <w:right w:w="108" w:type="dxa"/>
          </w:tblCellMar>
        </w:tblPrEx>
        <w:tc>
          <w:tcPr>
            <w:tcW w:w="1173" w:type="pct"/>
          </w:tcPr>
          <w:p>
            <w:pPr>
              <w:jc w:val="left"/>
            </w:pPr>
            <w:r>
              <w:t>Blinding</w:t>
            </w:r>
          </w:p>
        </w:tc>
        <w:tc>
          <w:tcPr>
            <w:tcW w:w="340" w:type="pct"/>
          </w:tcPr>
          <w:p>
            <w:pPr>
              <w:jc w:val="left"/>
            </w:pPr>
            <w:r>
              <w:fldChar w:fldCharType="begin"/>
            </w:r>
            <w:r>
              <w:instrText xml:space="preserve"> HYPERLINK "https://www.goodreports.org/reporting-checklists/consort/info/#11b" \h </w:instrText>
            </w:r>
            <w:r>
              <w:fldChar w:fldCharType="separate"/>
            </w:r>
            <w:r>
              <w:rPr>
                <w:rStyle w:val="16"/>
              </w:rPr>
              <w:t>#11b</w:t>
            </w:r>
            <w:r>
              <w:rPr>
                <w:rStyle w:val="16"/>
              </w:rPr>
              <w:fldChar w:fldCharType="end"/>
            </w:r>
          </w:p>
        </w:tc>
        <w:tc>
          <w:tcPr>
            <w:tcW w:w="1048" w:type="pct"/>
          </w:tcPr>
          <w:p>
            <w:pPr>
              <w:jc w:val="left"/>
            </w:pPr>
            <w:r>
              <w:t>If relevant, description of the similarity of interventions</w:t>
            </w:r>
          </w:p>
        </w:tc>
        <w:tc>
          <w:tcPr>
            <w:tcW w:w="2436" w:type="pct"/>
          </w:tcPr>
          <w:p>
            <w:pPr>
              <w:jc w:val="left"/>
            </w:pPr>
            <w:r>
              <w:t>n/a</w:t>
            </w:r>
          </w:p>
        </w:tc>
      </w:tr>
      <w:tr>
        <w:tblPrEx>
          <w:tblCellMar>
            <w:top w:w="0" w:type="dxa"/>
            <w:left w:w="108" w:type="dxa"/>
            <w:bottom w:w="0" w:type="dxa"/>
            <w:right w:w="108" w:type="dxa"/>
          </w:tblCellMar>
        </w:tblPrEx>
        <w:tc>
          <w:tcPr>
            <w:tcW w:w="1173" w:type="pct"/>
          </w:tcPr>
          <w:p>
            <w:pPr>
              <w:jc w:val="left"/>
            </w:pPr>
            <w:r>
              <w:t>Statistical methods</w:t>
            </w:r>
          </w:p>
        </w:tc>
        <w:tc>
          <w:tcPr>
            <w:tcW w:w="340" w:type="pct"/>
          </w:tcPr>
          <w:p>
            <w:pPr>
              <w:jc w:val="left"/>
            </w:pPr>
            <w:r>
              <w:fldChar w:fldCharType="begin"/>
            </w:r>
            <w:r>
              <w:instrText xml:space="preserve"> HYPERLINK "https://www.goodreports.org/reporting-checklists/consort/info/#12a" \h </w:instrText>
            </w:r>
            <w:r>
              <w:fldChar w:fldCharType="separate"/>
            </w:r>
            <w:r>
              <w:rPr>
                <w:rStyle w:val="16"/>
              </w:rPr>
              <w:t>#12a</w:t>
            </w:r>
            <w:r>
              <w:rPr>
                <w:rStyle w:val="16"/>
              </w:rPr>
              <w:fldChar w:fldCharType="end"/>
            </w:r>
          </w:p>
        </w:tc>
        <w:tc>
          <w:tcPr>
            <w:tcW w:w="1048" w:type="pct"/>
          </w:tcPr>
          <w:p>
            <w:pPr>
              <w:jc w:val="left"/>
            </w:pPr>
            <w:r>
              <w:t>Statistical methods used to compare groups for primary and secondary outcomes</w:t>
            </w:r>
          </w:p>
        </w:tc>
        <w:tc>
          <w:tcPr>
            <w:tcW w:w="2436" w:type="pct"/>
          </w:tcPr>
          <w:p>
            <w:pPr>
              <w:jc w:val="left"/>
            </w:pPr>
            <w:r>
              <w:t>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tc>
      </w:tr>
      <w:tr>
        <w:tblPrEx>
          <w:tblCellMar>
            <w:top w:w="0" w:type="dxa"/>
            <w:left w:w="108" w:type="dxa"/>
            <w:bottom w:w="0" w:type="dxa"/>
            <w:right w:w="108" w:type="dxa"/>
          </w:tblCellMar>
        </w:tblPrEx>
        <w:tc>
          <w:tcPr>
            <w:tcW w:w="1173" w:type="pct"/>
          </w:tcPr>
          <w:p>
            <w:pPr>
              <w:jc w:val="left"/>
            </w:pPr>
            <w:r>
              <w:t>Statistical methods</w:t>
            </w:r>
          </w:p>
        </w:tc>
        <w:tc>
          <w:tcPr>
            <w:tcW w:w="340" w:type="pct"/>
          </w:tcPr>
          <w:p>
            <w:pPr>
              <w:jc w:val="left"/>
            </w:pPr>
            <w:r>
              <w:fldChar w:fldCharType="begin"/>
            </w:r>
            <w:r>
              <w:instrText xml:space="preserve"> HYPERLINK "https://www.goodreports.org/reporting-checklists/consort/info/#12b" \h </w:instrText>
            </w:r>
            <w:r>
              <w:fldChar w:fldCharType="separate"/>
            </w:r>
            <w:r>
              <w:rPr>
                <w:rStyle w:val="16"/>
              </w:rPr>
              <w:t>#12b</w:t>
            </w:r>
            <w:r>
              <w:rPr>
                <w:rStyle w:val="16"/>
              </w:rPr>
              <w:fldChar w:fldCharType="end"/>
            </w:r>
          </w:p>
        </w:tc>
        <w:tc>
          <w:tcPr>
            <w:tcW w:w="1048" w:type="pct"/>
          </w:tcPr>
          <w:p>
            <w:pPr>
              <w:jc w:val="left"/>
            </w:pPr>
            <w:r>
              <w:t>Methods for additional analyses, such as subgroup analyses and adjusted analyses</w:t>
            </w:r>
          </w:p>
        </w:tc>
        <w:tc>
          <w:tcPr>
            <w:tcW w:w="2436" w:type="pct"/>
          </w:tcPr>
          <w:p>
            <w:pPr>
              <w:jc w:val="left"/>
            </w:pPr>
            <w:r>
              <w:t>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tc>
      </w:tr>
      <w:tr>
        <w:tblPrEx>
          <w:tblCellMar>
            <w:top w:w="0" w:type="dxa"/>
            <w:left w:w="108" w:type="dxa"/>
            <w:bottom w:w="0" w:type="dxa"/>
            <w:right w:w="108" w:type="dxa"/>
          </w:tblCellMar>
        </w:tblPrEx>
        <w:tc>
          <w:tcPr>
            <w:tcW w:w="1173" w:type="pct"/>
          </w:tcPr>
          <w:p>
            <w:pPr>
              <w:jc w:val="left"/>
            </w:pPr>
            <w:r>
              <w:t>Outcomes</w:t>
            </w:r>
          </w:p>
        </w:tc>
        <w:tc>
          <w:tcPr>
            <w:tcW w:w="340" w:type="pct"/>
          </w:tcPr>
          <w:p>
            <w:pPr>
              <w:jc w:val="left"/>
            </w:pPr>
            <w:r>
              <w:fldChar w:fldCharType="begin"/>
            </w:r>
            <w:r>
              <w:instrText xml:space="preserve"> HYPERLINK "https://www.goodreports.org/reporting-checklists/consort/info/#6b" \h </w:instrText>
            </w:r>
            <w:r>
              <w:fldChar w:fldCharType="separate"/>
            </w:r>
            <w:r>
              <w:rPr>
                <w:rStyle w:val="16"/>
              </w:rPr>
              <w:t>#6b</w:t>
            </w:r>
            <w:r>
              <w:rPr>
                <w:rStyle w:val="16"/>
              </w:rPr>
              <w:fldChar w:fldCharType="end"/>
            </w:r>
          </w:p>
        </w:tc>
        <w:tc>
          <w:tcPr>
            <w:tcW w:w="1048" w:type="pct"/>
          </w:tcPr>
          <w:p>
            <w:pPr>
              <w:jc w:val="left"/>
            </w:pPr>
            <w:r>
              <w:t>Any changes to trial outcomes after the trial commenced, with reasons</w:t>
            </w:r>
          </w:p>
        </w:tc>
        <w:tc>
          <w:tcPr>
            <w:tcW w:w="2436" w:type="pct"/>
          </w:tcPr>
          <w:p>
            <w:pPr>
              <w:jc w:val="left"/>
            </w:pPr>
            <w:r>
              <w:t>n/a,because page15-16:Main outcome indicators (1)Pre- and post-treatment improvement of menstruation,(2) Determination of the efficacy of Chinese medicine symptoms。There are clear marking criteria for all of the above</w:t>
            </w:r>
          </w:p>
        </w:tc>
      </w:tr>
      <w:tr>
        <w:tblPrEx>
          <w:tblCellMar>
            <w:top w:w="0" w:type="dxa"/>
            <w:left w:w="108" w:type="dxa"/>
            <w:bottom w:w="0" w:type="dxa"/>
            <w:right w:w="108" w:type="dxa"/>
          </w:tblCellMar>
        </w:tblPrEx>
        <w:trPr>
          <w:trHeight w:val="577" w:hRule="atLeast"/>
        </w:trPr>
        <w:tc>
          <w:tcPr>
            <w:tcW w:w="1173" w:type="pct"/>
          </w:tcPr>
          <w:p>
            <w:pPr>
              <w:jc w:val="left"/>
            </w:pPr>
            <w:r>
              <w:rPr>
                <w:b/>
              </w:rPr>
              <w:t>Results</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Participant flow diagram (strongly recommended)</w:t>
            </w:r>
          </w:p>
        </w:tc>
        <w:tc>
          <w:tcPr>
            <w:tcW w:w="340" w:type="pct"/>
          </w:tcPr>
          <w:p>
            <w:pPr>
              <w:jc w:val="left"/>
            </w:pPr>
            <w:r>
              <w:fldChar w:fldCharType="begin"/>
            </w:r>
            <w:r>
              <w:instrText xml:space="preserve"> HYPERLINK "https://www.goodreports.org/reporting-checklists/consort/info/#13a" \h </w:instrText>
            </w:r>
            <w:r>
              <w:fldChar w:fldCharType="separate"/>
            </w:r>
            <w:r>
              <w:rPr>
                <w:rStyle w:val="16"/>
              </w:rPr>
              <w:t>#13a</w:t>
            </w:r>
            <w:r>
              <w:rPr>
                <w:rStyle w:val="16"/>
              </w:rPr>
              <w:fldChar w:fldCharType="end"/>
            </w:r>
          </w:p>
        </w:tc>
        <w:tc>
          <w:tcPr>
            <w:tcW w:w="1048" w:type="pct"/>
          </w:tcPr>
          <w:p>
            <w:pPr>
              <w:jc w:val="left"/>
            </w:pPr>
            <w:r>
              <w:t>For each group, the numbers of participants who were randomly assigned, received intended treatment, and were analysed for the primary outcome</w:t>
            </w:r>
          </w:p>
        </w:tc>
        <w:tc>
          <w:tcPr>
            <w:tcW w:w="2436" w:type="pct"/>
          </w:tcPr>
          <w:p>
            <w:pPr>
              <w:jc w:val="left"/>
              <w:rPr>
                <w:rFonts w:hint="eastAsia" w:eastAsia="Proxima Nova"/>
                <w:lang w:eastAsia="zh-CN"/>
              </w:rPr>
            </w:pPr>
            <w:r>
              <w:t>Figure1</w:t>
            </w:r>
            <w:r>
              <w:rPr>
                <w:rFonts w:hint="eastAsia" w:eastAsia="Proxima Nova"/>
                <w:lang w:eastAsia="zh-CN"/>
              </w:rPr>
              <w:drawing>
                <wp:inline distT="0" distB="0" distL="114300" distR="114300">
                  <wp:extent cx="3272790" cy="2466340"/>
                  <wp:effectExtent l="0" t="0" r="3810" b="10160"/>
                  <wp:docPr id="1" name="图片 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pic:cNvPicPr>
                            <a:picLocks noChangeAspect="1"/>
                          </pic:cNvPicPr>
                        </pic:nvPicPr>
                        <pic:blipFill>
                          <a:blip r:embed="rId7"/>
                          <a:stretch>
                            <a:fillRect/>
                          </a:stretch>
                        </pic:blipFill>
                        <pic:spPr>
                          <a:xfrm>
                            <a:off x="0" y="0"/>
                            <a:ext cx="3272790" cy="2466340"/>
                          </a:xfrm>
                          <a:prstGeom prst="rect">
                            <a:avLst/>
                          </a:prstGeom>
                        </pic:spPr>
                      </pic:pic>
                    </a:graphicData>
                  </a:graphic>
                </wp:inline>
              </w:drawing>
            </w:r>
          </w:p>
        </w:tc>
      </w:tr>
      <w:tr>
        <w:tblPrEx>
          <w:tblCellMar>
            <w:top w:w="0" w:type="dxa"/>
            <w:left w:w="108" w:type="dxa"/>
            <w:bottom w:w="0" w:type="dxa"/>
            <w:right w:w="108" w:type="dxa"/>
          </w:tblCellMar>
        </w:tblPrEx>
        <w:tc>
          <w:tcPr>
            <w:tcW w:w="1173" w:type="pct"/>
          </w:tcPr>
          <w:p>
            <w:pPr>
              <w:jc w:val="left"/>
            </w:pPr>
            <w:r>
              <w:t>Participant flow</w:t>
            </w:r>
          </w:p>
        </w:tc>
        <w:tc>
          <w:tcPr>
            <w:tcW w:w="340" w:type="pct"/>
          </w:tcPr>
          <w:p>
            <w:pPr>
              <w:jc w:val="left"/>
            </w:pPr>
            <w:r>
              <w:fldChar w:fldCharType="begin"/>
            </w:r>
            <w:r>
              <w:instrText xml:space="preserve"> HYPERLINK "https://www.goodreports.org/reporting-checklists/consort/info/#13b" \h </w:instrText>
            </w:r>
            <w:r>
              <w:fldChar w:fldCharType="separate"/>
            </w:r>
            <w:r>
              <w:rPr>
                <w:rStyle w:val="16"/>
              </w:rPr>
              <w:t>#13b</w:t>
            </w:r>
            <w:r>
              <w:rPr>
                <w:rStyle w:val="16"/>
              </w:rPr>
              <w:fldChar w:fldCharType="end"/>
            </w:r>
          </w:p>
        </w:tc>
        <w:tc>
          <w:tcPr>
            <w:tcW w:w="1048" w:type="pct"/>
          </w:tcPr>
          <w:p>
            <w:pPr>
              <w:jc w:val="left"/>
            </w:pPr>
            <w:r>
              <w:t>For each group, losses and exclusions after randomization, together with reason</w:t>
            </w:r>
          </w:p>
        </w:tc>
        <w:tc>
          <w:tcPr>
            <w:tcW w:w="2436" w:type="pct"/>
          </w:tcPr>
          <w:p>
            <w:pPr>
              <w:jc w:val="left"/>
            </w:pPr>
            <w:r>
              <w:t>n/a</w:t>
            </w:r>
          </w:p>
        </w:tc>
      </w:tr>
      <w:tr>
        <w:tblPrEx>
          <w:tblCellMar>
            <w:top w:w="0" w:type="dxa"/>
            <w:left w:w="108" w:type="dxa"/>
            <w:bottom w:w="0" w:type="dxa"/>
            <w:right w:w="108" w:type="dxa"/>
          </w:tblCellMar>
        </w:tblPrEx>
        <w:tc>
          <w:tcPr>
            <w:tcW w:w="1173" w:type="pct"/>
          </w:tcPr>
          <w:p>
            <w:pPr>
              <w:jc w:val="left"/>
            </w:pPr>
            <w:r>
              <w:t>Recruitment</w:t>
            </w:r>
          </w:p>
        </w:tc>
        <w:tc>
          <w:tcPr>
            <w:tcW w:w="340" w:type="pct"/>
          </w:tcPr>
          <w:p>
            <w:pPr>
              <w:jc w:val="left"/>
            </w:pPr>
            <w:r>
              <w:fldChar w:fldCharType="begin"/>
            </w:r>
            <w:r>
              <w:instrText xml:space="preserve"> HYPERLINK "https://www.goodreports.org/reporting-checklists/consort/info/#14a" \h </w:instrText>
            </w:r>
            <w:r>
              <w:fldChar w:fldCharType="separate"/>
            </w:r>
            <w:r>
              <w:rPr>
                <w:rStyle w:val="16"/>
              </w:rPr>
              <w:t>#14a</w:t>
            </w:r>
            <w:r>
              <w:rPr>
                <w:rStyle w:val="16"/>
              </w:rPr>
              <w:fldChar w:fldCharType="end"/>
            </w:r>
          </w:p>
        </w:tc>
        <w:tc>
          <w:tcPr>
            <w:tcW w:w="1048" w:type="pct"/>
          </w:tcPr>
          <w:p>
            <w:pPr>
              <w:jc w:val="left"/>
            </w:pPr>
            <w:r>
              <w:t>Dates defining the periods of recruitment and follow-up</w:t>
            </w:r>
          </w:p>
        </w:tc>
        <w:tc>
          <w:tcPr>
            <w:tcW w:w="2436" w:type="pct"/>
          </w:tcPr>
          <w:p>
            <w:pPr>
              <w:jc w:val="left"/>
            </w:pPr>
            <w:r>
              <w:t>page 9:Participants Participants recruit from outpatient gynaecology, endocrinology, and TCM clinics at Shaanxi Provincial Hospital of Traditional Chinese Medicine and the First Affiliated Hospital of Xi'an Jiaotong University. In addition, posters, newspapers, and online advertisements were used for recruitment.</w:t>
            </w:r>
          </w:p>
        </w:tc>
      </w:tr>
      <w:tr>
        <w:tblPrEx>
          <w:tblCellMar>
            <w:top w:w="0" w:type="dxa"/>
            <w:left w:w="108" w:type="dxa"/>
            <w:bottom w:w="0" w:type="dxa"/>
            <w:right w:w="108" w:type="dxa"/>
          </w:tblCellMar>
        </w:tblPrEx>
        <w:tc>
          <w:tcPr>
            <w:tcW w:w="1173" w:type="pct"/>
          </w:tcPr>
          <w:p>
            <w:pPr>
              <w:jc w:val="left"/>
            </w:pPr>
            <w:r>
              <w:t>Recruitment</w:t>
            </w:r>
          </w:p>
        </w:tc>
        <w:tc>
          <w:tcPr>
            <w:tcW w:w="340" w:type="pct"/>
          </w:tcPr>
          <w:p>
            <w:pPr>
              <w:jc w:val="left"/>
            </w:pPr>
            <w:r>
              <w:fldChar w:fldCharType="begin"/>
            </w:r>
            <w:r>
              <w:instrText xml:space="preserve"> HYPERLINK "https://www.goodreports.org/reporting-checklists/consort/info/#14b" \h </w:instrText>
            </w:r>
            <w:r>
              <w:fldChar w:fldCharType="separate"/>
            </w:r>
            <w:r>
              <w:rPr>
                <w:rStyle w:val="16"/>
              </w:rPr>
              <w:t>#14b</w:t>
            </w:r>
            <w:r>
              <w:rPr>
                <w:rStyle w:val="16"/>
              </w:rPr>
              <w:fldChar w:fldCharType="end"/>
            </w:r>
          </w:p>
        </w:tc>
        <w:tc>
          <w:tcPr>
            <w:tcW w:w="1048" w:type="pct"/>
          </w:tcPr>
          <w:p>
            <w:pPr>
              <w:jc w:val="left"/>
            </w:pPr>
            <w:r>
              <w:t>Why the trial ended or was stopped</w:t>
            </w:r>
          </w:p>
        </w:tc>
        <w:tc>
          <w:tcPr>
            <w:tcW w:w="2436" w:type="pct"/>
          </w:tcPr>
          <w:p>
            <w:pPr>
              <w:jc w:val="left"/>
            </w:pPr>
            <w:r>
              <w:t>page17:Withdrawal/discontinuation of test indicator Sudden onset of heavy uterine or vaginal bleeding requiring urgent surgical or transfusion treatment; Immediate termination of the trial if pregnancy, sudden onset of other serious illness, or accident is established; Record details of serious adverse events/reactions in subjects where the investigator deems it necessary to terminate the trial; Subjects should try to complete the following items when withdrawing from the study during the follow-up phase of treatment: safety items such as the three major routine, liver and kidney function, and electrocardiogram; and perform efficacy index scores; Record the occurrence of adverse endpoint events: spontaneous abortion, haemorrhage, etc.</w:t>
            </w:r>
          </w:p>
        </w:tc>
      </w:tr>
      <w:tr>
        <w:tblPrEx>
          <w:tblCellMar>
            <w:top w:w="0" w:type="dxa"/>
            <w:left w:w="108" w:type="dxa"/>
            <w:bottom w:w="0" w:type="dxa"/>
            <w:right w:w="108" w:type="dxa"/>
          </w:tblCellMar>
        </w:tblPrEx>
        <w:tc>
          <w:tcPr>
            <w:tcW w:w="1173" w:type="pct"/>
          </w:tcPr>
          <w:p>
            <w:pPr>
              <w:jc w:val="left"/>
            </w:pPr>
            <w:r>
              <w:t>Baseline data</w:t>
            </w:r>
          </w:p>
        </w:tc>
        <w:tc>
          <w:tcPr>
            <w:tcW w:w="340" w:type="pct"/>
          </w:tcPr>
          <w:p>
            <w:pPr>
              <w:jc w:val="left"/>
            </w:pPr>
            <w:r>
              <w:fldChar w:fldCharType="begin"/>
            </w:r>
            <w:r>
              <w:instrText xml:space="preserve"> HYPERLINK "https://www.goodreports.org/reporting-checklists/consort/info/#15" \h </w:instrText>
            </w:r>
            <w:r>
              <w:fldChar w:fldCharType="separate"/>
            </w:r>
            <w:r>
              <w:rPr>
                <w:rStyle w:val="16"/>
              </w:rPr>
              <w:t>#15</w:t>
            </w:r>
            <w:r>
              <w:rPr>
                <w:rStyle w:val="16"/>
              </w:rPr>
              <w:fldChar w:fldCharType="end"/>
            </w:r>
          </w:p>
        </w:tc>
        <w:tc>
          <w:tcPr>
            <w:tcW w:w="1048" w:type="pct"/>
          </w:tcPr>
          <w:p>
            <w:pPr>
              <w:jc w:val="left"/>
            </w:pPr>
            <w:r>
              <w:t>A table showing baseline demographic and clinical characteristics for each group</w:t>
            </w:r>
          </w:p>
        </w:tc>
        <w:tc>
          <w:tcPr>
            <w:tcW w:w="2436" w:type="pct"/>
          </w:tcPr>
          <w:p>
            <w:pPr>
              <w:jc w:val="left"/>
            </w:pPr>
            <w:r>
              <w:t>page9-10:Diagnostic indicators and Inclusion criteria：(1) Compliance with the above Western medical diagnostic criteria: the diagnostic criteria in the Chinese Diagnostic and Treatment Guidelines for Polycystic Ovary Syndrome[13] developed by the Endocrinology Group of the Obstetrics and Gynaecology Section of the Chinese Medical Association and the Guidelines Expert Group in 2018 were adopted: (2) Complying with the diagnostic criteria of TCM, identifying the type of kidney deficiency and blood stasis, primary symptoms: menstrual cycle disorders (menstrual cycle at the beginning, at the end, or irregular intervals), menstrual shutdown. Secondary symptoms: (1) lumbosacral pain; (2) cold pain in the abdomen, especially during menstruation; (3) distension and pain in the abdomen; (4) lack of warmth in the hands and feet; (5) dull tongue or petechiae; (6) fine stringy pulse. (3) Be 18-45 years old. (4) Understand the nature and purpose of the study, be willing to participate, cooperate with follow-up, examination, and treatment, and sign the informed consent form.</w:t>
            </w:r>
          </w:p>
        </w:tc>
      </w:tr>
      <w:tr>
        <w:tblPrEx>
          <w:tblCellMar>
            <w:top w:w="0" w:type="dxa"/>
            <w:left w:w="108" w:type="dxa"/>
            <w:bottom w:w="0" w:type="dxa"/>
            <w:right w:w="108" w:type="dxa"/>
          </w:tblCellMar>
        </w:tblPrEx>
        <w:tc>
          <w:tcPr>
            <w:tcW w:w="1173" w:type="pct"/>
          </w:tcPr>
          <w:p>
            <w:pPr>
              <w:jc w:val="left"/>
            </w:pPr>
            <w:r>
              <w:t>Numbers analysed</w:t>
            </w:r>
          </w:p>
        </w:tc>
        <w:tc>
          <w:tcPr>
            <w:tcW w:w="340" w:type="pct"/>
          </w:tcPr>
          <w:p>
            <w:pPr>
              <w:jc w:val="left"/>
            </w:pPr>
            <w:r>
              <w:fldChar w:fldCharType="begin"/>
            </w:r>
            <w:r>
              <w:instrText xml:space="preserve"> HYPERLINK "https://www.goodreports.org/reporting-checklists/consort/info/#16" \h </w:instrText>
            </w:r>
            <w:r>
              <w:fldChar w:fldCharType="separate"/>
            </w:r>
            <w:r>
              <w:rPr>
                <w:rStyle w:val="16"/>
              </w:rPr>
              <w:t>#16</w:t>
            </w:r>
            <w:r>
              <w:rPr>
                <w:rStyle w:val="16"/>
              </w:rPr>
              <w:fldChar w:fldCharType="end"/>
            </w:r>
          </w:p>
        </w:tc>
        <w:tc>
          <w:tcPr>
            <w:tcW w:w="1048" w:type="pct"/>
          </w:tcPr>
          <w:p>
            <w:pPr>
              <w:jc w:val="left"/>
            </w:pPr>
            <w:r>
              <w:t>For each group, number of participants (denominator) included in each analysis and whether the analysis was by original assigned groups</w:t>
            </w:r>
          </w:p>
        </w:tc>
        <w:tc>
          <w:tcPr>
            <w:tcW w:w="2436" w:type="pct"/>
          </w:tcPr>
          <w:p>
            <w:pPr>
              <w:jc w:val="left"/>
            </w:pPr>
            <w:r>
              <w:t>All participants who were randomly assigned to the various treatment groups, regardless of whether they subsequently actually received the treatment, followed the trial protocol, or completed the entire study, had to be included in the final statistical analyses.</w:t>
            </w:r>
          </w:p>
        </w:tc>
      </w:tr>
      <w:tr>
        <w:tblPrEx>
          <w:tblCellMar>
            <w:top w:w="0" w:type="dxa"/>
            <w:left w:w="108" w:type="dxa"/>
            <w:bottom w:w="0" w:type="dxa"/>
            <w:right w:w="108" w:type="dxa"/>
          </w:tblCellMar>
        </w:tblPrEx>
        <w:tc>
          <w:tcPr>
            <w:tcW w:w="1173" w:type="pct"/>
          </w:tcPr>
          <w:p>
            <w:pPr>
              <w:jc w:val="left"/>
            </w:pPr>
            <w:r>
              <w:t>Outcomes and estimation</w:t>
            </w:r>
          </w:p>
        </w:tc>
        <w:tc>
          <w:tcPr>
            <w:tcW w:w="340" w:type="pct"/>
          </w:tcPr>
          <w:p>
            <w:pPr>
              <w:jc w:val="left"/>
            </w:pPr>
            <w:r>
              <w:fldChar w:fldCharType="begin"/>
            </w:r>
            <w:r>
              <w:instrText xml:space="preserve"> HYPERLINK "https://www.goodreports.org/reporting-checklists/consort/info/#17a" \h </w:instrText>
            </w:r>
            <w:r>
              <w:fldChar w:fldCharType="separate"/>
            </w:r>
            <w:r>
              <w:rPr>
                <w:rStyle w:val="16"/>
              </w:rPr>
              <w:t>#17a</w:t>
            </w:r>
            <w:r>
              <w:rPr>
                <w:rStyle w:val="16"/>
              </w:rPr>
              <w:fldChar w:fldCharType="end"/>
            </w:r>
          </w:p>
        </w:tc>
        <w:tc>
          <w:tcPr>
            <w:tcW w:w="1048" w:type="pct"/>
          </w:tcPr>
          <w:p>
            <w:pPr>
              <w:jc w:val="left"/>
            </w:pPr>
            <w:r>
              <w:t>For each primary and secondary outcome, results for each group, and the estimated effect size and its precision (such as 95% confidence interval)</w:t>
            </w:r>
          </w:p>
        </w:tc>
        <w:tc>
          <w:tcPr>
            <w:tcW w:w="2436" w:type="pct"/>
          </w:tcPr>
          <w:p>
            <w:pPr>
              <w:jc w:val="left"/>
            </w:pPr>
            <w:r>
              <w:t>page15-16:Outcomes Main outcome indicators (1)Pre- and post-treatment improvement of menstruation score ; (2) Determination of the efficacy of Chinese medicine symptoms: efficacy index (n) = (treatment period). The formula (Nimodipine method) is efficacy index (n) = (pre-treatment symptom score - post-treatment symptom score) / pre-treatment symptom score X 100%. Secondary outcome indicators Sex hormones, AMH(anti-Müllerianhormone), ultrasound; changes in scores on the remaining scales such as polycystic cognition, PCOSQ-50 score, menstruation, hirsutism, Ffq168, IPAQ-SFHADS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tc>
      </w:tr>
      <w:tr>
        <w:tblPrEx>
          <w:tblCellMar>
            <w:top w:w="0" w:type="dxa"/>
            <w:left w:w="108" w:type="dxa"/>
            <w:bottom w:w="0" w:type="dxa"/>
            <w:right w:w="108" w:type="dxa"/>
          </w:tblCellMar>
        </w:tblPrEx>
        <w:tc>
          <w:tcPr>
            <w:tcW w:w="1173" w:type="pct"/>
          </w:tcPr>
          <w:p>
            <w:pPr>
              <w:jc w:val="left"/>
            </w:pPr>
            <w:r>
              <w:t>Outcomes and estimation</w:t>
            </w:r>
          </w:p>
        </w:tc>
        <w:tc>
          <w:tcPr>
            <w:tcW w:w="340" w:type="pct"/>
          </w:tcPr>
          <w:p>
            <w:pPr>
              <w:jc w:val="left"/>
            </w:pPr>
            <w:r>
              <w:fldChar w:fldCharType="begin"/>
            </w:r>
            <w:r>
              <w:instrText xml:space="preserve"> HYPERLINK "https://www.goodreports.org/reporting-checklists/consort/info/#17b" \h </w:instrText>
            </w:r>
            <w:r>
              <w:fldChar w:fldCharType="separate"/>
            </w:r>
            <w:r>
              <w:rPr>
                <w:rStyle w:val="16"/>
              </w:rPr>
              <w:t>#17b</w:t>
            </w:r>
            <w:r>
              <w:rPr>
                <w:rStyle w:val="16"/>
              </w:rPr>
              <w:fldChar w:fldCharType="end"/>
            </w:r>
          </w:p>
        </w:tc>
        <w:tc>
          <w:tcPr>
            <w:tcW w:w="1048" w:type="pct"/>
          </w:tcPr>
          <w:p>
            <w:pPr>
              <w:jc w:val="left"/>
            </w:pPr>
            <w:r>
              <w:t>For binary outcomes, presentation of both absolute and relative effect sizes is recommended</w:t>
            </w:r>
          </w:p>
        </w:tc>
        <w:tc>
          <w:tcPr>
            <w:tcW w:w="2436" w:type="pct"/>
          </w:tcPr>
          <w:p>
            <w:pPr>
              <w:jc w:val="left"/>
            </w:pPr>
            <w:r>
              <w:t>n/a</w:t>
            </w:r>
          </w:p>
        </w:tc>
      </w:tr>
      <w:tr>
        <w:tblPrEx>
          <w:tblCellMar>
            <w:top w:w="0" w:type="dxa"/>
            <w:left w:w="108" w:type="dxa"/>
            <w:bottom w:w="0" w:type="dxa"/>
            <w:right w:w="108" w:type="dxa"/>
          </w:tblCellMar>
        </w:tblPrEx>
        <w:tc>
          <w:tcPr>
            <w:tcW w:w="1173" w:type="pct"/>
          </w:tcPr>
          <w:p>
            <w:pPr>
              <w:jc w:val="left"/>
            </w:pPr>
            <w:r>
              <w:t>Ancillary analyses</w:t>
            </w:r>
          </w:p>
        </w:tc>
        <w:tc>
          <w:tcPr>
            <w:tcW w:w="340" w:type="pct"/>
          </w:tcPr>
          <w:p>
            <w:pPr>
              <w:jc w:val="left"/>
            </w:pPr>
            <w:r>
              <w:fldChar w:fldCharType="begin"/>
            </w:r>
            <w:r>
              <w:instrText xml:space="preserve"> HYPERLINK "https://www.goodreports.org/reporting-checklists/consort/info/#18" \h </w:instrText>
            </w:r>
            <w:r>
              <w:fldChar w:fldCharType="separate"/>
            </w:r>
            <w:r>
              <w:rPr>
                <w:rStyle w:val="16"/>
              </w:rPr>
              <w:t>#18</w:t>
            </w:r>
            <w:r>
              <w:rPr>
                <w:rStyle w:val="16"/>
              </w:rPr>
              <w:fldChar w:fldCharType="end"/>
            </w:r>
          </w:p>
        </w:tc>
        <w:tc>
          <w:tcPr>
            <w:tcW w:w="1048" w:type="pct"/>
          </w:tcPr>
          <w:p>
            <w:pPr>
              <w:jc w:val="left"/>
            </w:pPr>
            <w:r>
              <w:t>Results of any other analyses performed, including subgroup analyses and adjusted analyses, distinguishing pre-specified from exploratory</w:t>
            </w:r>
          </w:p>
        </w:tc>
        <w:tc>
          <w:tcPr>
            <w:tcW w:w="2436" w:type="pct"/>
          </w:tcPr>
          <w:p>
            <w:pPr>
              <w:jc w:val="left"/>
            </w:pPr>
            <w:r>
              <w:t>page15-16:Outcomes Main outcome indicators (1)Pre- and post-treatment improvement of menstruation score ; (2) Determination of the efficacy of Chinese medicine symptoms: efficacy index (n) = (treatment period). The formula (Nimodipine method) is efficacy index (n) = (pre-treatment symptom score - post-treatment symptom score) / pre-treatment symptom score X 100%. Secondary outcome indicators Sex hormones, AMH(anti-Müllerianhormone), ultrasound; changes in scores on the remaining scales such as polycystic cognition, PCOSQ-50 score, menstruation, hirsutism, Ffq168, IPAQ-SFHADS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tc>
      </w:tr>
      <w:tr>
        <w:tblPrEx>
          <w:tblCellMar>
            <w:top w:w="0" w:type="dxa"/>
            <w:left w:w="108" w:type="dxa"/>
            <w:bottom w:w="0" w:type="dxa"/>
            <w:right w:w="108" w:type="dxa"/>
          </w:tblCellMar>
        </w:tblPrEx>
        <w:tc>
          <w:tcPr>
            <w:tcW w:w="1173" w:type="pct"/>
          </w:tcPr>
          <w:p>
            <w:pPr>
              <w:jc w:val="left"/>
            </w:pPr>
            <w:r>
              <w:t>Harms</w:t>
            </w:r>
          </w:p>
        </w:tc>
        <w:tc>
          <w:tcPr>
            <w:tcW w:w="340" w:type="pct"/>
          </w:tcPr>
          <w:p>
            <w:pPr>
              <w:jc w:val="left"/>
            </w:pPr>
            <w:r>
              <w:fldChar w:fldCharType="begin"/>
            </w:r>
            <w:r>
              <w:instrText xml:space="preserve"> HYPERLINK "https://www.goodreports.org/reporting-checklists/consort/info/#19" \h </w:instrText>
            </w:r>
            <w:r>
              <w:fldChar w:fldCharType="separate"/>
            </w:r>
            <w:r>
              <w:rPr>
                <w:rStyle w:val="16"/>
              </w:rPr>
              <w:t>#19</w:t>
            </w:r>
            <w:r>
              <w:rPr>
                <w:rStyle w:val="16"/>
              </w:rPr>
              <w:fldChar w:fldCharType="end"/>
            </w:r>
          </w:p>
        </w:tc>
        <w:tc>
          <w:tcPr>
            <w:tcW w:w="1048" w:type="pct"/>
          </w:tcPr>
          <w:p>
            <w:pPr>
              <w:jc w:val="left"/>
            </w:pPr>
            <w:r>
              <w:t>All important harms or unintended effects in each group (For specific guidance see CONSORT for harms)</w:t>
            </w:r>
          </w:p>
        </w:tc>
        <w:tc>
          <w:tcPr>
            <w:tcW w:w="2436" w:type="pct"/>
          </w:tcPr>
          <w:p>
            <w:pPr>
              <w:jc w:val="left"/>
            </w:pPr>
            <w:r>
              <w:t>page16:Safety Observations Subjects were analysed once a month during the trial for the occurrence of the primary target endpoint event completion during the treatment period. Attention was paid to the presence or absence of adverse reactions, such as allergy, needle sickness, fever, haemorrhage, infection, etc. Detailed records were kept of the time of occurrence and disappearance, clinical symptoms, duration, treatment measures of the adverse reactions to evaluate their safety further and determine whether to continue the treatment.</w:t>
            </w:r>
          </w:p>
        </w:tc>
      </w:tr>
      <w:tr>
        <w:tblPrEx>
          <w:tblCellMar>
            <w:top w:w="0" w:type="dxa"/>
            <w:left w:w="108" w:type="dxa"/>
            <w:bottom w:w="0" w:type="dxa"/>
            <w:right w:w="108" w:type="dxa"/>
          </w:tblCellMar>
        </w:tblPrEx>
        <w:tc>
          <w:tcPr>
            <w:tcW w:w="1173" w:type="pct"/>
          </w:tcPr>
          <w:p>
            <w:pPr>
              <w:jc w:val="left"/>
            </w:pPr>
            <w:r>
              <w:rPr>
                <w:b/>
              </w:rPr>
              <w:t>Discussion</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Limitations</w:t>
            </w:r>
          </w:p>
        </w:tc>
        <w:tc>
          <w:tcPr>
            <w:tcW w:w="340" w:type="pct"/>
          </w:tcPr>
          <w:p>
            <w:pPr>
              <w:jc w:val="left"/>
            </w:pPr>
            <w:r>
              <w:fldChar w:fldCharType="begin"/>
            </w:r>
            <w:r>
              <w:instrText xml:space="preserve"> HYPERLINK "https://www.goodreports.org/reporting-checklists/consort/info/#20" \h </w:instrText>
            </w:r>
            <w:r>
              <w:fldChar w:fldCharType="separate"/>
            </w:r>
            <w:r>
              <w:rPr>
                <w:rStyle w:val="16"/>
              </w:rPr>
              <w:t>#20</w:t>
            </w:r>
            <w:r>
              <w:rPr>
                <w:rStyle w:val="16"/>
              </w:rPr>
              <w:fldChar w:fldCharType="end"/>
            </w:r>
          </w:p>
        </w:tc>
        <w:tc>
          <w:tcPr>
            <w:tcW w:w="1048" w:type="pct"/>
          </w:tcPr>
          <w:p>
            <w:pPr>
              <w:jc w:val="left"/>
            </w:pPr>
            <w:r>
              <w:t>Trial limitations, addressing sources of potential bias, imprecision, and, if relevant, multiplicity of analyses</w:t>
            </w:r>
          </w:p>
        </w:tc>
        <w:tc>
          <w:tcPr>
            <w:tcW w:w="2436" w:type="pct"/>
          </w:tcPr>
          <w:p>
            <w:pPr>
              <w:jc w:val="left"/>
            </w:pPr>
            <w:r>
              <w:t>page4：the rationale for the action of acupoint burrowing therapy in polycystic ovary syndrome is unclear.</w:t>
            </w:r>
          </w:p>
        </w:tc>
      </w:tr>
      <w:tr>
        <w:tblPrEx>
          <w:tblCellMar>
            <w:top w:w="0" w:type="dxa"/>
            <w:left w:w="108" w:type="dxa"/>
            <w:bottom w:w="0" w:type="dxa"/>
            <w:right w:w="108" w:type="dxa"/>
          </w:tblCellMar>
        </w:tblPrEx>
        <w:tc>
          <w:tcPr>
            <w:tcW w:w="1173" w:type="pct"/>
          </w:tcPr>
          <w:p>
            <w:pPr>
              <w:jc w:val="left"/>
            </w:pPr>
            <w:r>
              <w:t>Interpretation</w:t>
            </w:r>
          </w:p>
        </w:tc>
        <w:tc>
          <w:tcPr>
            <w:tcW w:w="340" w:type="pct"/>
          </w:tcPr>
          <w:p>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1048" w:type="pct"/>
          </w:tcPr>
          <w:p>
            <w:pPr>
              <w:jc w:val="left"/>
            </w:pPr>
            <w:r>
              <w:t>Interpretation consistent with results, balancing benefits and harms, and considering other relevant evidence</w:t>
            </w:r>
          </w:p>
        </w:tc>
        <w:tc>
          <w:tcPr>
            <w:tcW w:w="2436" w:type="pct"/>
          </w:tcPr>
          <w:p>
            <w:pPr>
              <w:jc w:val="left"/>
            </w:pPr>
            <w:r>
              <w:t>n/a,the present trial’s results may relate to those of other RCTs.the discussion should be as systematic as possible</w:t>
            </w:r>
          </w:p>
        </w:tc>
      </w:tr>
      <w:tr>
        <w:tblPrEx>
          <w:tblCellMar>
            <w:top w:w="0" w:type="dxa"/>
            <w:left w:w="108" w:type="dxa"/>
            <w:bottom w:w="0" w:type="dxa"/>
            <w:right w:w="108" w:type="dxa"/>
          </w:tblCellMar>
        </w:tblPrEx>
        <w:tc>
          <w:tcPr>
            <w:tcW w:w="1173" w:type="pct"/>
          </w:tcPr>
          <w:p>
            <w:pPr>
              <w:jc w:val="left"/>
            </w:pPr>
            <w:r>
              <w:t>Registration</w:t>
            </w:r>
          </w:p>
        </w:tc>
        <w:tc>
          <w:tcPr>
            <w:tcW w:w="340" w:type="pct"/>
          </w:tcPr>
          <w:p>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1048" w:type="pct"/>
          </w:tcPr>
          <w:p>
            <w:pPr>
              <w:jc w:val="left"/>
            </w:pPr>
            <w:r>
              <w:t>Registration number and name of trial registry</w:t>
            </w:r>
          </w:p>
        </w:tc>
        <w:tc>
          <w:tcPr>
            <w:tcW w:w="2436" w:type="pct"/>
          </w:tcPr>
          <w:p>
            <w:pPr>
              <w:jc w:val="left"/>
            </w:pPr>
            <w:r>
              <w:t>page3:Trial registration number: (2023) Lun Shen No.41; Pre-results.The trial was launched on July 2023 through https://www.chictr.org.cn/ Registrationnumber:ChiCTR2300073832.</w:t>
            </w:r>
          </w:p>
        </w:tc>
      </w:tr>
      <w:tr>
        <w:tblPrEx>
          <w:tblCellMar>
            <w:top w:w="0" w:type="dxa"/>
            <w:left w:w="108" w:type="dxa"/>
            <w:bottom w:w="0" w:type="dxa"/>
            <w:right w:w="108" w:type="dxa"/>
          </w:tblCellMar>
        </w:tblPrEx>
        <w:tc>
          <w:tcPr>
            <w:tcW w:w="1173" w:type="pct"/>
          </w:tcPr>
          <w:p>
            <w:pPr>
              <w:jc w:val="left"/>
            </w:pPr>
            <w:r>
              <w:t>Generalisability</w:t>
            </w:r>
          </w:p>
        </w:tc>
        <w:tc>
          <w:tcPr>
            <w:tcW w:w="340" w:type="pct"/>
          </w:tcPr>
          <w:p>
            <w:pPr>
              <w:jc w:val="left"/>
            </w:pPr>
            <w:r>
              <w:fldChar w:fldCharType="begin"/>
            </w:r>
            <w:r>
              <w:instrText xml:space="preserve"> HYPERLINK "https://www.goodreports.org/reporting-checklists/consort/info/#21" \h </w:instrText>
            </w:r>
            <w:r>
              <w:fldChar w:fldCharType="separate"/>
            </w:r>
            <w:r>
              <w:rPr>
                <w:rStyle w:val="16"/>
              </w:rPr>
              <w:t>#21</w:t>
            </w:r>
            <w:r>
              <w:rPr>
                <w:rStyle w:val="16"/>
              </w:rPr>
              <w:fldChar w:fldCharType="end"/>
            </w:r>
          </w:p>
        </w:tc>
        <w:tc>
          <w:tcPr>
            <w:tcW w:w="1048" w:type="pct"/>
          </w:tcPr>
          <w:p>
            <w:pPr>
              <w:jc w:val="left"/>
            </w:pPr>
            <w:r>
              <w:t>Generalisability (external validity, applicability) of the trial findings</w:t>
            </w:r>
          </w:p>
        </w:tc>
        <w:tc>
          <w:tcPr>
            <w:tcW w:w="2436" w:type="pct"/>
          </w:tcPr>
          <w:p>
            <w:pPr>
              <w:jc w:val="left"/>
            </w:pPr>
            <w:r>
              <w:t>n/a,Chinese medicine treatment of polycystic with observation of menstruation as the main indicator has universal applicability</w:t>
            </w:r>
          </w:p>
        </w:tc>
      </w:tr>
      <w:tr>
        <w:tblPrEx>
          <w:tblCellMar>
            <w:top w:w="0" w:type="dxa"/>
            <w:left w:w="108" w:type="dxa"/>
            <w:bottom w:w="0" w:type="dxa"/>
            <w:right w:w="108" w:type="dxa"/>
          </w:tblCellMar>
        </w:tblPrEx>
        <w:tc>
          <w:tcPr>
            <w:tcW w:w="1173" w:type="pct"/>
          </w:tcPr>
          <w:p>
            <w:pPr>
              <w:jc w:val="left"/>
            </w:pPr>
            <w:r>
              <w:rPr>
                <w:b/>
              </w:rPr>
              <w:t>Other information</w:t>
            </w:r>
          </w:p>
        </w:tc>
        <w:tc>
          <w:tcPr>
            <w:tcW w:w="340" w:type="pct"/>
          </w:tcPr>
          <w:p/>
        </w:tc>
        <w:tc>
          <w:tcPr>
            <w:tcW w:w="1048" w:type="pct"/>
          </w:tcPr>
          <w:p/>
        </w:tc>
        <w:tc>
          <w:tcPr>
            <w:tcW w:w="2436" w:type="pct"/>
          </w:tcPr>
          <w:p>
            <w:pPr>
              <w:jc w:val="left"/>
            </w:pPr>
          </w:p>
        </w:tc>
      </w:tr>
      <w:tr>
        <w:tblPrEx>
          <w:tblCellMar>
            <w:top w:w="0" w:type="dxa"/>
            <w:left w:w="108" w:type="dxa"/>
            <w:bottom w:w="0" w:type="dxa"/>
            <w:right w:w="108" w:type="dxa"/>
          </w:tblCellMar>
        </w:tblPrEx>
        <w:tc>
          <w:tcPr>
            <w:tcW w:w="1173" w:type="pct"/>
          </w:tcPr>
          <w:p>
            <w:pPr>
              <w:jc w:val="left"/>
            </w:pPr>
            <w:r>
              <w:t>Interpretation</w:t>
            </w:r>
          </w:p>
        </w:tc>
        <w:tc>
          <w:tcPr>
            <w:tcW w:w="340" w:type="pct"/>
          </w:tcPr>
          <w:p>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1048" w:type="pct"/>
          </w:tcPr>
          <w:p>
            <w:pPr>
              <w:jc w:val="left"/>
            </w:pPr>
            <w:r>
              <w:t>Interpretation consistent with results, balancing benefits and harms, and considering other relevant evidence</w:t>
            </w:r>
          </w:p>
        </w:tc>
        <w:tc>
          <w:tcPr>
            <w:tcW w:w="2436" w:type="pct"/>
          </w:tcPr>
          <w:p>
            <w:pPr>
              <w:jc w:val="left"/>
            </w:pPr>
            <w:r>
              <w:t>n/a,the present trial’s results may relate to those of other RCTs.the discussion should be as systematic as possible</w:t>
            </w:r>
          </w:p>
        </w:tc>
      </w:tr>
      <w:tr>
        <w:tblPrEx>
          <w:tblCellMar>
            <w:top w:w="0" w:type="dxa"/>
            <w:left w:w="108" w:type="dxa"/>
            <w:bottom w:w="0" w:type="dxa"/>
            <w:right w:w="108" w:type="dxa"/>
          </w:tblCellMar>
        </w:tblPrEx>
        <w:tc>
          <w:tcPr>
            <w:tcW w:w="1173" w:type="pct"/>
          </w:tcPr>
          <w:p>
            <w:pPr>
              <w:jc w:val="left"/>
            </w:pPr>
            <w:r>
              <w:t>Registration</w:t>
            </w:r>
          </w:p>
        </w:tc>
        <w:tc>
          <w:tcPr>
            <w:tcW w:w="340" w:type="pct"/>
          </w:tcPr>
          <w:p>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1048" w:type="pct"/>
          </w:tcPr>
          <w:p>
            <w:pPr>
              <w:jc w:val="left"/>
            </w:pPr>
            <w:r>
              <w:t>Registration number and name of trial registry</w:t>
            </w:r>
          </w:p>
        </w:tc>
        <w:tc>
          <w:tcPr>
            <w:tcW w:w="2436" w:type="pct"/>
          </w:tcPr>
          <w:p>
            <w:pPr>
              <w:jc w:val="left"/>
            </w:pPr>
            <w:r>
              <w:t>page3:Trial registration number: (2023) Lun Shen No.41; Pre-results.The trial was launched on July 2023 through https://www.chictr.org.cn/ Registrationnumber:ChiCTR2300073832.</w:t>
            </w:r>
          </w:p>
        </w:tc>
      </w:tr>
      <w:tr>
        <w:tblPrEx>
          <w:tblCellMar>
            <w:top w:w="0" w:type="dxa"/>
            <w:left w:w="108" w:type="dxa"/>
            <w:bottom w:w="0" w:type="dxa"/>
            <w:right w:w="108" w:type="dxa"/>
          </w:tblCellMar>
        </w:tblPrEx>
        <w:tc>
          <w:tcPr>
            <w:tcW w:w="1173" w:type="pct"/>
          </w:tcPr>
          <w:p>
            <w:pPr>
              <w:jc w:val="left"/>
            </w:pPr>
            <w:r>
              <w:t>Protocol</w:t>
            </w:r>
          </w:p>
        </w:tc>
        <w:tc>
          <w:tcPr>
            <w:tcW w:w="340" w:type="pct"/>
          </w:tcPr>
          <w:p>
            <w:pPr>
              <w:jc w:val="left"/>
            </w:pPr>
            <w:r>
              <w:fldChar w:fldCharType="begin"/>
            </w:r>
            <w:r>
              <w:instrText xml:space="preserve"> HYPERLINK "https://www.goodreports.org/reporting-checklists/consort/info/#24" \h </w:instrText>
            </w:r>
            <w:r>
              <w:fldChar w:fldCharType="separate"/>
            </w:r>
            <w:r>
              <w:rPr>
                <w:rStyle w:val="16"/>
              </w:rPr>
              <w:t>#24</w:t>
            </w:r>
            <w:r>
              <w:rPr>
                <w:rStyle w:val="16"/>
              </w:rPr>
              <w:fldChar w:fldCharType="end"/>
            </w:r>
          </w:p>
        </w:tc>
        <w:tc>
          <w:tcPr>
            <w:tcW w:w="1048" w:type="pct"/>
          </w:tcPr>
          <w:p>
            <w:pPr>
              <w:jc w:val="left"/>
            </w:pPr>
            <w:r>
              <w:t>Where the full trial protocol can be accessed, if available</w:t>
            </w:r>
          </w:p>
        </w:tc>
        <w:tc>
          <w:tcPr>
            <w:tcW w:w="2436" w:type="pct"/>
          </w:tcPr>
          <w:p>
            <w:pPr>
              <w:jc w:val="left"/>
            </w:pPr>
            <w:r>
              <w:t>page3: through https://www.chictr.org.cn/ Registrationnumber:ChiCTR2300073832.</w:t>
            </w:r>
          </w:p>
        </w:tc>
      </w:tr>
      <w:tr>
        <w:tblPrEx>
          <w:tblCellMar>
            <w:top w:w="0" w:type="dxa"/>
            <w:left w:w="108" w:type="dxa"/>
            <w:bottom w:w="0" w:type="dxa"/>
            <w:right w:w="108" w:type="dxa"/>
          </w:tblCellMar>
        </w:tblPrEx>
        <w:tc>
          <w:tcPr>
            <w:tcW w:w="1173" w:type="pct"/>
          </w:tcPr>
          <w:p>
            <w:pPr>
              <w:jc w:val="left"/>
            </w:pPr>
            <w:r>
              <w:t>Funding</w:t>
            </w:r>
          </w:p>
        </w:tc>
        <w:tc>
          <w:tcPr>
            <w:tcW w:w="340" w:type="pct"/>
          </w:tcPr>
          <w:p>
            <w:pPr>
              <w:jc w:val="left"/>
            </w:pPr>
            <w:r>
              <w:fldChar w:fldCharType="begin"/>
            </w:r>
            <w:r>
              <w:instrText xml:space="preserve"> HYPERLINK "https://www.goodreports.org/reporting-checklists/consort/info/#25" \h </w:instrText>
            </w:r>
            <w:r>
              <w:fldChar w:fldCharType="separate"/>
            </w:r>
            <w:r>
              <w:rPr>
                <w:rStyle w:val="16"/>
              </w:rPr>
              <w:t>#25</w:t>
            </w:r>
            <w:r>
              <w:rPr>
                <w:rStyle w:val="16"/>
              </w:rPr>
              <w:fldChar w:fldCharType="end"/>
            </w:r>
          </w:p>
        </w:tc>
        <w:tc>
          <w:tcPr>
            <w:tcW w:w="1048" w:type="pct"/>
          </w:tcPr>
          <w:p>
            <w:pPr>
              <w:jc w:val="left"/>
            </w:pPr>
            <w:r>
              <w:t>Sources of funding and other support (such as supply of drugs), role of funders</w:t>
            </w:r>
          </w:p>
        </w:tc>
        <w:tc>
          <w:tcPr>
            <w:tcW w:w="2436" w:type="pct"/>
          </w:tcPr>
          <w:p>
            <w:pPr>
              <w:jc w:val="left"/>
            </w:pPr>
            <w:r>
              <w:t>page24:Funding This project was supported by the Shaanxi Provincial Science and Technology Council Fund (Project No. 2023-YBSF-043).</w:t>
            </w:r>
          </w:p>
        </w:tc>
      </w:tr>
    </w:tbl>
    <w:p>
      <w:r>
        <w:t>Notes:</w:t>
      </w:r>
    </w:p>
    <w:p>
      <w:pPr>
        <w:numPr>
          <w:ilvl w:val="0"/>
          <w:numId w:val="1"/>
        </w:numPr>
      </w:pPr>
      <w:r>
        <w:t>1a: page 1:The "tonifying the kidneys, resolving blood stasis and clearing collaterals" method in polycystic ovary syndrome (PCOS) research: study protocol for a multicentre cohort study nested randomised controlled trials</w:t>
      </w:r>
    </w:p>
    <w:p>
      <w:pPr>
        <w:numPr>
          <w:ilvl w:val="0"/>
          <w:numId w:val="1"/>
        </w:numPr>
      </w:pPr>
      <w:r>
        <w:t>1b: page2-3:Abstract Introduction: Polycystic ovary syndrome (PCOS) presents as a multi-complicated syndrome and increases the risk of other diseases. Life management is clinically ineffective as a first-line basic treatment for polycystic ovary syndrome. Acupuncture and Chinese herbal medicine (CHM) have excellent clinical efficacy for PCOS. however,there is currently a dearth of high-quality data demonstrating its efficacy.The purpose of this experiment is to assess the safety and efficacy, especially the long-term efficacy,of individualized life management、CHM, acupoint thread-embedding therapy for treating PCOS. Methods and analysis: We present a multicentre, prospective, combined randomised clinical trial and observational cohort study design, with a target sample size of 316 patients with PCOS of the kidney deficiency and blood stasis type aged between 18-45years. Patients were divided into an observational cohort with a renal supplementation and blood-stasis-restoration cohort based on whether or not they were exposed to the tonifying-kidney, resolving-blood stasis-and-tongue method. Based on the examination results, the observation cohort received individualised life management and appropriate pharmacological interventions and was followed up for 6 months. The kidney tonifying and resolving stasis through the channels cohort was randomly divided into A) Kidney tonifying and resolving stasis traditional Chinese medicine group, B) Kidney tonifying and resolving stasis buried under ultrasound in the musculoskeletal bone group, and C) Kidney tonifying and resolving stasis traditional Chinese medicine combined with burying group by the method of randomised numerical table based on the above. The kidney tonifying and resolving stasis through the channels cohort treatment cycle was 3 months, and the follow-up period was 3 months. Main results: (1) the change of menstrual of PCOS patients before and after treatment ; (2) the efficacy of traditional Chinese medicine symptoms. Secondary results: Sex hormones, AMH, ultrasound;changes in scores such as polycystic cognition,PCOSQ-50 score,menstruation,hirsutism,Ffq168,IPAQ-SFHADS etc.All assessments were followed up with redcap questionnaires at baseline at weeks 4, 8, and 12 after the start of the intervention and at weeks 16, 20, and 24 after the end of the intervention.</w:t>
      </w:r>
    </w:p>
    <w:p>
      <w:pPr>
        <w:numPr>
          <w:ilvl w:val="0"/>
          <w:numId w:val="1"/>
        </w:numPr>
      </w:pPr>
      <w:r>
        <w:t>2a: page 2: Polycystic ovary syndrome (PCOS) presents as a multi-complicated syndrome and increases the risk of other diseases. Life management is clinically ineffective as a first-line basic treatment for polycystic ovary syndrome. Acupuncture and Chinese herbal medicine (CHM) have excellent clinical efficacy for PCOS. however,there is currently a dearth of high-quality data demonstrating its efficacy.The purpose of this experiment is to assess the safety and efficacy, especially the long-term efficacy,of individualized life management、CHM, acupoint thread-embedding therapy for treating PCOS.</w:t>
      </w:r>
    </w:p>
    <w:p>
      <w:pPr>
        <w:numPr>
          <w:ilvl w:val="0"/>
          <w:numId w:val="1"/>
        </w:numPr>
      </w:pPr>
      <w:r>
        <w:t>2b: page 5-6:Acupuncture and Chinese herb medicines (CHMs) have significant efficacy in improving menstruation[7], ovulation[6][8], pregnancy[7][8][9][21], body weight[9], insulin resistance[9][10][11][24], sex hormones[7][23][24] regulation of intestinal flora[9][20], mood[12], and sleep in patients with PCOS. Therefore, Chinese medicine treatments have a wide range of positive significance for patients with polycystic ovary syndrome. Currently, basic studies and META analyses exist on applying TCM in PCOS. However, fewer high-quality clinical observation protocols and no published articles compare the advantages of the two treatments of TCM and buried threads and the efficacy of their combined treatments. Thus, this study will look at the advantages of implementing individualised life management for patients with PCOS through a combination of randomised clinical trials and observational cohort studies. It will also study the safety, efficacy, and long-term efficacy of herbal medicine and buried threads in PCOS. he purpose of this experiment is to assess the safety and efficacy, especially the long-term efficacy,of individualized life management、CHM, acupoint thread-embedding therapy for treating PCOS.</w:t>
      </w:r>
    </w:p>
    <w:p>
      <w:pPr>
        <w:numPr>
          <w:ilvl w:val="0"/>
          <w:numId w:val="1"/>
        </w:numPr>
      </w:pPr>
      <w:r>
        <w:t>3a: page1,3:study protocol for a multicentre cohort study nested randomised controlled trials,Methods and analysis: We present a multicentre, prospective, combined randomised clinical trial and observational cohort study design,</w:t>
      </w:r>
    </w:p>
    <w:p>
      <w:pPr>
        <w:numPr>
          <w:ilvl w:val="0"/>
          <w:numId w:val="1"/>
        </w:numPr>
      </w:pPr>
      <w:r>
        <w:t>3b: page3:Methods and analysis: a target sample size of 316 patients with PCOS of the kidney deficiency and blood stasis type aged between 18-45years. Patients were divided into an observational cohort with a renal supplementation and blood-stasis-restoration cohort based on whether or not they were exposed to the tonifying-kidney, resolving-blood stasis-and-tongue method. Based on the examination results, the observation cohort received individualised life management and appropriate pharmacological interventions and was followed up for 6 months. The kidney tonifying and resolving stasis through the channels cohort was randomly divided into A) Kidney tonifying and resolving stasis traditional Chinese medicine group, B) Kidney tonifying and resolving stasis buried under ultrasound in the musculoskeletal bone group, and C) Kidney tonifying and resolving stasis traditional Chinese medicine combined with burying group by the method of randomised numerical table based on the above. The kidney tonifying and resolving stasis through the channels cohort treatment cycle was 3 months, and the follow-up period was 3 months.</w:t>
      </w:r>
    </w:p>
    <w:p>
      <w:pPr>
        <w:numPr>
          <w:ilvl w:val="0"/>
          <w:numId w:val="1"/>
        </w:numPr>
      </w:pPr>
      <w:r>
        <w:t>4a: page9-12:Diagnostic indicators 1. Adopt the diagnostic criteria in the Chinese Diagnostic and Treatment Guidelines for PCOS formulated by the Endocrinology Group of the Obstetrics and Gynaecology Section of the Chinese Medical Association and guideline experts in 2018[13]: (1) Scarce menstruation, amenorrhea, or irregular uterine bleeding; (2) Clinical manifestations of hyperandrogenism or hyperandrogenemia; (3) Polycystic ovaries on ultrasound (≥12 follicles with a diameter of 2-9 mm and/or an ovarian volume of ≥10 ml in one or both ovaries on ultrasound). Of the above 3 conditions, (1) is necessary, (2) and (3) have 1 or more. Other diseases that may cause hyperandrogenism and ovulation abnormalities are ruled out one by one before the diagnosis of PCOS is made. 1.1 Judgment criteria for scanty menstruation, amenorrhoea, and irregular bleeding: Regarding the relevant contents of the 9th edition of the textbook Obstetrics and Gynaecology, edited by Xie Xing, Kong Beihua, and Duan Tao, the criteria are formulated as follows[14]: (1) Scarcity of menstruation: the menstrual cycle is 35 days-6 months; (2) Secondary amenorrhoea: cessation of menstruation for more than 6 months after the establishment of normal menstruation or for more than 3 cycles according to one's original menstrual cycle. 1.2 Refer to the guidelines of integrated Chinese and Western medicine for the diagnosis and treatment of abnormal uterine bleeding with ovulatory disorders[15]: Irregular bleeding: irregular menstruation, menstrual cycle, menstrual period, frequency, and amount of menstruation can be abnormal. Determination of ovulation disorder: basal body temperature (BBT), monophasic suggests anovulation, biphasic suggests ovulation; or blood test for progesterone 5-7 days before menstruation, less than 15μg/L suggests ovulation disorder. 2. Chinese medicine diagnosis and identification criteria: (1) Formulate the Chinese evidence score with reference to the Quantitative Table of Symptom Grading of the Guiding Principles for Clinical Research of New Chinese Medicines for Malefactors; (2) China Traditional Chinese Medicine Press, Chinese Medicine and Gynaecology, 6th edition textbook, Zhang Yuzhen, Science of Traditional Chinese Medicine. Beijing: China Press of Traditional Chinese Medicine, 2002.9 The identification criteria of kidney deficiency and blood stasis in PCOS, primary symptoms: disorders of the menstrual cycle (menstruation at the beginning, at the end, or irregular intervals), menstruation stopping and shutting down. Secondary symptoms: (1) lumbosacral pain; (2) cold pain in the abdomen, especially during menstruation; (3) distension and pain in the lesser abdomen; (4) lack of warmth in the hands and feet; (5) dull tongue or petechiae; (6) fine stringy pulse. Inclusion criteria (1) Compliance with the above Western medical diagnostic criteria: the diagnostic criteria in the Chinese Diagnostic and Treatment Guidelines for Polycystic Ovary Syndrome[13] developed by the Endocrinology Group of the Obstetrics and Gynaecology Section of the Chinese Medical Association and the Guidelines Expert Group in 2018 were adopted: (2) Complying with the diagnostic criteria of TCM, identifying the type of kidney deficiency and blood stasis, primary symptoms: menstrual cycle disorders (menstrual cycle at the beginning, at the end, or irregular intervals), menstrual shutdown. Secondary symptoms: (1) lumbosacral pain; (2) cold pain in the abdomen, especially during menstruation; (3) distension and pain in the abdomen; (4) lack of warmth in the hands and feet; (5) dull tongue or petechiae; (6) fine stringy pulse. (3) Be 18-45 years old. (4) Understand the nature and purpose of the study, be willing to participate, cooperate with follow-up, examination, and treatment, and sign the informed consent form. Exclusion criteria (1) Those with menstrual irregularities caused by congenital or acquired organic lesions of the reproductive organs; (2) The presence of endocrine diseases similar to PCOS, such as hyperpro</w:t>
      </w:r>
      <w:r>
        <w:t>lactinaemia, thyroid disease, Cushing's syndrome, atypical congenital adrenal hyperplasia, tumours of the ovaries or adrenal glands that release testosterone, functional hypothalamic amenorrhea, and early-onset ovarian insufficiency; (3) Excluding patients with uterine bleeding caused by pregnancy, coagulation disorders, endometrial polyps and local anomalies, adenomyosis, fibroids, endometrial malignancy and atypical hyperplasia; (4) Patients with combined serious heart, liver, kidney, blood, oncological system, and other primary diseases; patients with severe anaemia requiring blood transfusion; and patients with mental illness; (5) Those who have taken hormone drugs or drugs affecting sex hormones, blood sugar, insulin, lipid metabolism, etc. in the past 3 months. (6) Those who are allergic to proteins and those who have broken or ulcerated skin at the site of the proposed buried thread to affect the operation; (7) Those who participate in other clinical studies simultaneously affect the results of this study.</w:t>
      </w:r>
    </w:p>
    <w:p>
      <w:pPr>
        <w:numPr>
          <w:ilvl w:val="0"/>
          <w:numId w:val="1"/>
        </w:numPr>
      </w:pPr>
      <w:r>
        <w:t>4b: page9:Participants Participants recruit from outpatient gynaecology, endocrinology, and TCM clinics at Shaanxi Provincial Hospital of Traditional Chinese Medicine and the First Affiliated Hospital of Xi'an Jiaotong University. In addition, posters, newspapers, and online advertisements were used for recruitment.</w:t>
      </w:r>
    </w:p>
    <w:p>
      <w:pPr>
        <w:numPr>
          <w:ilvl w:val="0"/>
          <w:numId w:val="1"/>
        </w:numPr>
      </w:pPr>
      <w:r>
        <w:t>5: page12-14:Intervention Kidney tonifying and stasis removing cohort A: Kidney tonifying and stasis removing herbal medicine group: herbal medicine provided by the herbal pharmacy of Shaanxi Provincial Hospital of Traditional Chinese Medicine and the First Affiliated Hospital of Xi'an Jiaotong University Formula for tonifying the kidneys and eliminating stasis: Rehmanniae radix praeparata (Shoudihuang)15g, Angelicae sinensis radix(Danggui)15g,  Paeoniae Radix Alba (Baishao)15g, Poria(Fuling)15g, Cortex Moutan(Mudanpi)15g, Epimedium brevicornu（Yinyanghuo）15g, Salvia miltiorrhiza(Danshen)15g, Achyranthis bidentatae radix (Niuxi)15g, Leonurus japonicus (Yimucao)15g, Rhizoma Cyperi(Xiangfu)15g. Dosage: 400ml of Chinese herbal medicines in water, 1 dose daily, 200ml in the morning and 200ml in the evening, warm, 3 consecutive courses of treatment (1 menstrual cycle is 1 course of treatment), stop the medicine during menstruation. B: Burying threads under ultrasound for tonifying the kidney and resolving stasis in the muscles and bones: Preparatory equipment: absorbable surgical suture, collagen material, specification 4-0-2cm (Shandong Boda Medical Supplies Co.Ltd.), needle with sterile disposable injection needle, specification: 0.7</w:t>
      </w:r>
      <w:r>
        <w:rPr>
          <w:i/>
        </w:rPr>
        <w:t>30TWLB (Jiangsu Suyun Medical Instrument Co.Ltd.), aseptic medication change kit (Zhende Medical), medical infusion bottle mouth sticker specification: 28mm</w:t>
      </w:r>
      <w:r>
        <w:t>16mm (Yangzhou Fleury Biotechnology Co.Ltd.). Medical Infusion Vial Paste Specification: 28mm*16mm (Yangzhou Fleury Biotechnology Co. Ltd.) Selection of acupuncture points (tonifying the kidney, eliminating blood stasis, and promoting circulation): BL23 (bilateral), EX-CA1 (bilateral), uterus(bilateral), RN4, SP10 (bilateral), ST36 (bilateral), SP6 (bilateral), ST25 (bilateral). After the patient emptied the bladder, according to the location of the acupoints, the patient was placed in the position (supine/post-prone) to perform the acupoint burrowing. Specific operation process: open the single-use sterile dressing change bag, disinfect both hands with sterile gloves, local disinfection of acupoints, ultrasonographers using Neusoft N7 ultrasound equipment, select C2-5 ultrasound probe, set the frequency of 1.5Hz, respectively, aligned with the selected acupoints, acupuncturist use cotton swabs to wipe off excess coupling agent on the skin surface at the acupoints and disinfect the skin with iodine povidone, iodine swabs to disinfect the acupoints from the inside to the outside twice, hold the disposable No.5 buried needle in the left hand, hold sterile tweezers with the right hand to clip and put absorbable surgical suture into the buried sterile injecting needles, and then send the collagen threads into the acupoints and leave it behind under the ultrasound guidance of the acupuncturist with at least 5 years of experience, and then withdraw the sterile injecting needles. This procedure was done 1 time per 14 days, with an overall treatment for 3 months. The needle was withdrawn, and the acupuncture point was fixed with a disposable infusion bottle mouth sticker.14 Treatment was once a day for 3 months. C: Kidney tonifying and blood stasis removing traditional Chinese medicine combined with burying the thread group: the above two groups of programmes were combined, taking medication and burying the thread time treatment and operation as the above two groups. Control group Individualised life management: according to the patient's polycystic treatment goal, multidisciplinary doctors made a joint decision to formulate a plan based on the patient's current problems and needs, self-set goals, acceptable plan, willingness to accept feedback and communication frequency, combined with the patient's previous examination, combined with the guidelines, and high-quality meta-analysis for the correction of the plan. Communicate and develop a detailed individualised management plan with the patient. Necessary basic western medicine includes: 1. adjustment of menstrual cycle, 2. treatment of hyperandrogenism, 3. metabolic adjustment, 4. induction of ovulation, 5. in vitro fertilisation-embryo transfer, etc.</w:t>
      </w:r>
    </w:p>
    <w:p>
      <w:pPr>
        <w:numPr>
          <w:ilvl w:val="0"/>
          <w:numId w:val="1"/>
        </w:numPr>
      </w:pPr>
      <w:r>
        <w:t>6a: page15-16:Outcomes Main outcome indicators (1)Pre- and post-treatment improvement of menstruation in PCOS patients,Referring to the Guiding Principles for Clinical Research of New Chinese Medicines in the evidence ratings.Evaluation in terms of menstrual cycle, menstrual flow, menstrual period with a maximum score of 18 points; the more severe the symptoms, the higher the score ; (2) Determination of the efficacy of Chinese medicine symptoms: Referring to the Guiding Principles for the Clinical Research of New Chinese Medicines issued by the State Drug Administration in 2002 (trial version), the efficacy index was calculated according to the points of Chinese medicine symptoms before and after the treatment (evaluating in terms of the menstrual cycle, menstrual volume, the colour of menstruation, dark red tongue, and dull and astringent pulse, with a maximum score of 56 points; the more severe the symptoms, the higher the score), and the formula (Nimodipine method) was as follows: efficacy index (n) = (treatment period). The formula (Nimodipine method) is efficacy index (n) = (pre-treatment symptom score - post-treatment symptom score) / pre-treatment symptom score X 100%. Symptoms basically disappeared, n&gt;95%; apparent effect: Symptoms are significantly reduced after treatment, 95%&gt;n&gt;70%; Effective: reduction of symptoms after treatment, 70%&gt;n&gt;30%; Ineffective: no reduction or aggravation of symptoms after treatment, n&lt;30%. Secondary outcome indicators Sex hormones, AMH(anti-Müllerianhormone), ultrasound; changes in scores on the remaining scales such as polycystic cognition, PCOSQ-50 score, menstruation, hirsutism, Ffq168, IPAQ-SFHADS, etc., were reviewed at week 12 after discontinuation of medication and week 24 of follow up. Fasting insulin, glycaemia, lipids, liver, and renal function were reviewed for the presence of metabolic problems, and follow-up on the pregnancy rate and the incidence of spontaneous abortions was carried out.</w:t>
      </w:r>
    </w:p>
    <w:p>
      <w:pPr>
        <w:numPr>
          <w:ilvl w:val="0"/>
          <w:numId w:val="1"/>
        </w:numPr>
      </w:pPr>
      <w:r>
        <w:t>7a: page14:Sample size In this study, previous studies[18], and our observational study, we chose the changes in menstrual evidence points of the three treatment groups of buried threads, traditional Chinese medicine, and buried threads combined with traditional Chinese medicine, with a test level of α=0.05 (bilateral) and a test efficacy of 1-β=0.9. The sample size of the three groups was calculated to require a total sample size of 93 cases by the PASS 15 software. The randomised controlled sample size was about 117 cases, considering a lapse rate of 20%. According to the sample size estimation formula of the cohort study, taking into account the dropout rate of 20%, the total sample size of this study is about 316 cases.</w:t>
      </w:r>
    </w:p>
    <w:p>
      <w:pPr>
        <w:numPr>
          <w:ilvl w:val="0"/>
          <w:numId w:val="1"/>
        </w:numPr>
      </w:pPr>
      <w:r>
        <w:t>7b: study protocol for a multicentre cohort study nested randomised controlled trials,part of cohort study No false positives involved，we use Redcap easy to follow up with regular emails,and Preliminary research on the efficacy of Chinese medicine and the choice of treatment protocols can help to reduce loss and ineffectiveness.</w:t>
      </w:r>
    </w:p>
    <w:p>
      <w:pPr>
        <w:numPr>
          <w:ilvl w:val="0"/>
          <w:numId w:val="1"/>
        </w:numPr>
      </w:pPr>
      <w:r>
        <w:t>8a: page7:It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p>
      <w:pPr>
        <w:numPr>
          <w:ilvl w:val="0"/>
          <w:numId w:val="1"/>
        </w:numPr>
      </w:pPr>
      <w:r>
        <w:t>8b: 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p>
      <w:pPr>
        <w:numPr>
          <w:ilvl w:val="0"/>
          <w:numId w:val="1"/>
        </w:numPr>
      </w:pPr>
      <w:r>
        <w:t>9: It was divided into an observational control cohort and a renal-supplementation and blood-stasis-restoration cohort based on whether or not they were exposed to the treatment of tonifying the kidneys, resolving blood stasis, and promoting collaterals. The observational cohort consisted of individualised life management and basic western medical treatment, and was followed up for 6 months. The renal-supplementation and blood-stasis-restoration cohort was included was randomly divided by the method of randomised numerical table and was divided into A group Kidney tonifying and stasis removing herbal medicine group,B group Burying threads under ultrasound for tonifying the kidney and resolving stasis in the muscles and bones, and C group Kidney tonifying and blood stasis removing traditional Chinese medicine combined with burying the thread group.</w:t>
      </w:r>
    </w:p>
    <w:p>
      <w:pPr>
        <w:numPr>
          <w:ilvl w:val="0"/>
          <w:numId w:val="1"/>
        </w:numPr>
      </w:pPr>
      <w:r>
        <w:t>10: page24:Author contributions :RW use spss generate a table of random numbers,Participant recruitment and data entry is provided byYHL,DYY,NL,KLJ, YX, HHZ, LQS, RS</w:t>
      </w:r>
    </w:p>
    <w:p>
      <w:pPr>
        <w:numPr>
          <w:ilvl w:val="0"/>
          <w:numId w:val="1"/>
        </w:numPr>
      </w:pPr>
      <w:r>
        <w:t>11a: n/a,Patients Single-blind</w:t>
      </w:r>
    </w:p>
    <w:p>
      <w:pPr>
        <w:numPr>
          <w:ilvl w:val="0"/>
          <w:numId w:val="1"/>
        </w:numPr>
      </w:pPr>
      <w:r>
        <w:t>12a: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p>
      <w:pPr>
        <w:numPr>
          <w:ilvl w:val="0"/>
          <w:numId w:val="1"/>
        </w:numPr>
      </w:pPr>
      <w:r>
        <w:t>12b: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p>
      <w:pPr>
        <w:numPr>
          <w:ilvl w:val="0"/>
          <w:numId w:val="1"/>
        </w:numPr>
      </w:pPr>
      <w:r>
        <w:t>14a: page 9:Participants Participants recruit from outpatient gynaecology, endocrinology, and TCM clinics at Shaanxi Provincial Hospital of Traditional Chinese Medicine and the First Affiliated Hospital of Xi'an Jiaotong University. In addition, posters, newspapers, and online advertisements were used for recruitment.</w:t>
      </w:r>
    </w:p>
    <w:p>
      <w:pPr>
        <w:numPr>
          <w:ilvl w:val="0"/>
          <w:numId w:val="1"/>
        </w:numPr>
      </w:pPr>
      <w:r>
        <w:t>14b: page17:Withdrawal/discontinuation of test indicator Sudden onset of heavy uterine or vaginal bleeding requiring urgent surgical or transfusion treatment; Immediate termination of the trial if pregnancy, sudden onset of other serious illness, or accident is established; Record details of serious adverse events/reactions in subjects where the investigator deems it necessary to terminate the trial; Subjects should try to complete the following items when withdrawing from the study during the follow-up phase of treatment: safety items such as the three major routine, liver and kidney function, and electrocardiogram; and perform efficacy index scores; Record the occurrence of adverse endpoint events: spontaneous abortion, haemorrhage, etc.</w:t>
      </w:r>
    </w:p>
    <w:p>
      <w:pPr>
        <w:numPr>
          <w:ilvl w:val="0"/>
          <w:numId w:val="1"/>
        </w:numPr>
      </w:pPr>
      <w:r>
        <w:t>15: page9-10:Diagnostic indicators and Inclusion criteria：(1) Compliance with the above Western medical diagnostic criteria: the diagnostic criteria in the Chinese Diagnostic and Treatment Guidelines for Polycystic Ovary Syndrome[13] developed by the Endocrinology Group of the Obstetrics and Gynaecology Section of the Chinese Medical Association and the Guidelines Expert Group in 2018 were adopted: (2) Complying with the diagnostic criteria of TCM, identifying the type of kidney deficiency and blood stasis, primary symptoms: menstrual cycle disorders (menstrual cycle at the beginning, at the end, or irregular intervals), menstrual shutdown. Secondary symptoms: (1) lumbosacral pain; (2) cold pain in the abdomen, especially during menstruation; (3) distension and pain in the abdomen; (4) lack of warmth in the hands and feet; (5) dull tongue or petechiae; (6) fine stringy pulse. (3) Be 18-45 years old. (4) Understand the nature and purpose of the study, be willing to participate, cooperate with follow-up, examination, and treatment, and sign the informed consent form.</w:t>
      </w:r>
    </w:p>
    <w:p>
      <w:pPr>
        <w:numPr>
          <w:ilvl w:val="0"/>
          <w:numId w:val="1"/>
        </w:numPr>
      </w:pPr>
      <w:r>
        <w:t>16: All participants who were randomly assigned to the various treatment groups, regardless of whether they subsequently actually received the treatment, followed the trial protocol, or completed the entire study, had to be included in the final statistical analyses.</w:t>
      </w:r>
    </w:p>
    <w:p>
      <w:pPr>
        <w:numPr>
          <w:ilvl w:val="0"/>
          <w:numId w:val="1"/>
        </w:numPr>
      </w:pPr>
      <w:r>
        <w:t>17a: page15-16:Outcomes Main outcome indicators (1)Pre- and post-treatment improvement of menstruation score ; (2) Determination of the efficacy of Chinese medicine symptoms: efficacy index (n) = (treatment period). The formula (Nimodipine method) is efficacy index (n) = (pre-treatment symptom score - post-treatment symptom score) / pre-treatment symptom score X 100%. Secondary outcome indicators Sex hormones, AMH(anti-Müllerianhormone), ultrasound; changes in scores on the remaining scales such as polycystic cognition, PCOSQ-50 score, menstruation, hirsutism, Ffq168, IPAQ-SFHADS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p>
      <w:pPr>
        <w:numPr>
          <w:ilvl w:val="0"/>
          <w:numId w:val="1"/>
        </w:numPr>
      </w:pPr>
      <w:r>
        <w:t>18: page15-16:Outcomes Main outcome indicators (1)Pre- and post-treatment improvement of menstruation score ; (2) Determination of the efficacy of Chinese medicine symptoms: efficacy index (n) = (treatment period). The formula (Nimodipine method) is efficacy index (n) = (pre-treatment symptom score - post-treatment symptom score) / pre-treatment symptom score X 100%. Secondary outcome indicators Sex hormones, AMH(anti-Müllerianhormone), ultrasound; changes in scores on the remaining scales such as polycystic cognition, PCOSQ-50 score, menstruation, hirsutism, Ffq168, IPAQ-SFHADS page18：SPSS 20.0 (SPSS Inc. China) was used for statistical analysis. (1) Measurement data: Mean earth standard deviation was used for statistical description, and a normality test was conducted first. If it conformed to a normal distribution, a paired samples t-test was used. If it did not conform to normal distribution, a non-parametric test was used, and hypothesis tests were all based on the criterion of P＜0.05 as statistically significant; (2) Counting data: Statistical descriptions using frequencies, percentages, and composition ratios. Reasons for poor life management outcomes will be analysed using linear, logistic, Cox proportional risk, etc., to assess individualized life management's advantages and favourable factors.</w:t>
      </w:r>
    </w:p>
    <w:p>
      <w:pPr>
        <w:numPr>
          <w:ilvl w:val="0"/>
          <w:numId w:val="1"/>
        </w:numPr>
      </w:pPr>
      <w:r>
        <w:t>19: page16:Safety Observations Subjects were analysed once a month during the trial for the occurrence of the primary target endpoint event completion during the treatment period. Attention was paid to the presence or absence of adverse reactions, such as allergy, needle sickness, fever, haemorrhage, infection, etc. Detailed records were kept of the time of occurrence and disappearance, clinical symptoms, duration, treatment measures of the adverse reactions to evaluate their safety further and determine whether to continue the treatment.</w:t>
      </w:r>
    </w:p>
    <w:p>
      <w:pPr>
        <w:numPr>
          <w:ilvl w:val="0"/>
          <w:numId w:val="1"/>
        </w:numPr>
      </w:pPr>
      <w:r>
        <w:t>20: page4：the rationale for the action of acupoint burrowing therapy in polycystic ovary syndrome is unclear.</w:t>
      </w:r>
    </w:p>
    <w:p>
      <w:pPr>
        <w:numPr>
          <w:ilvl w:val="0"/>
          <w:numId w:val="1"/>
        </w:numPr>
      </w:pPr>
      <w:r>
        <w:t>22: n/a,the present trial’s results may relate to those of other RCTs.the discussion should be as systematic as possible</w:t>
      </w:r>
    </w:p>
    <w:p>
      <w:pPr>
        <w:numPr>
          <w:ilvl w:val="0"/>
          <w:numId w:val="1"/>
        </w:numPr>
      </w:pPr>
      <w:r>
        <w:t>23: page3:Trial registration number: (2023) Lun Shen No.41; Pre-results.The trial was launched on July 2023 through https://www.chictr.org.cn/ Registrationnumber:ChiCTR2300073832.</w:t>
      </w:r>
    </w:p>
    <w:p>
      <w:pPr>
        <w:numPr>
          <w:ilvl w:val="0"/>
          <w:numId w:val="1"/>
        </w:numPr>
      </w:pPr>
      <w:r>
        <w:t>24: page3: through https://www.chictr.org.cn/ Registrationnumber:ChiCTR2300073832.</w:t>
      </w:r>
    </w:p>
    <w:p>
      <w:pPr>
        <w:numPr>
          <w:ilvl w:val="0"/>
          <w:numId w:val="1"/>
        </w:numPr>
      </w:pPr>
      <w:r>
        <w:t>25: page24:Funding This project was supported by the Shaanxi Provincial Science and Technology Council Fund (Project No. 2023-YBSF-043).</w:t>
      </w:r>
    </w:p>
    <w:p>
      <w:pPr>
        <w:numPr>
          <w:ilvl w:val="0"/>
          <w:numId w:val="1"/>
        </w:numPr>
      </w:pPr>
      <w:r>
        <w:t>6b: n/a,because page15-16:Main outcome indicators (1)Pre- and post-treatment improvement of menstruation,(2) Determination of the efficacy of Chinese medicine symptoms。There are clear marking criteria for all of the above</w:t>
      </w:r>
    </w:p>
    <w:p>
      <w:pPr>
        <w:numPr>
          <w:ilvl w:val="0"/>
          <w:numId w:val="1"/>
        </w:numPr>
      </w:pPr>
      <w:r>
        <w:t xml:space="preserve">21: n/a,Chinese medicine treatment of polycystic with observation of menstruation as the main indicator has universal applicability The CONSORT checklist is distributed under the terms of the Creative Commons Attribution License CC-BY. This checklist was completed on 25. January 2024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687" w:usb1="00000000" w:usb2="00000000" w:usb3="00000000" w:csb0="2000009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FF38F"/>
    <w:multiLevelType w:val="multilevel"/>
    <w:tmpl w:val="99BFF38F"/>
    <w:lvl w:ilvl="0" w:tentative="0">
      <w:start w:val="0"/>
      <w:numFmt w:val="bullet"/>
      <w:lvlText w:val="•"/>
      <w:lvlJc w:val="left"/>
      <w:pPr>
        <w:tabs>
          <w:tab w:val="left" w:pos="0"/>
        </w:tabs>
        <w:ind w:left="480" w:hanging="480"/>
      </w:pPr>
    </w:lvl>
    <w:lvl w:ilvl="1" w:tentative="0">
      <w:start w:val="0"/>
      <w:numFmt w:val="bullet"/>
      <w:lvlText w:val="–"/>
      <w:lvlJc w:val="left"/>
      <w:pPr>
        <w:tabs>
          <w:tab w:val="left" w:pos="720"/>
        </w:tabs>
        <w:ind w:left="1200" w:hanging="480"/>
      </w:pPr>
    </w:lvl>
    <w:lvl w:ilvl="2" w:tentative="0">
      <w:start w:val="0"/>
      <w:numFmt w:val="bullet"/>
      <w:lvlText w:val="•"/>
      <w:lvlJc w:val="left"/>
      <w:pPr>
        <w:tabs>
          <w:tab w:val="left" w:pos="1440"/>
        </w:tabs>
        <w:ind w:left="1920" w:hanging="480"/>
      </w:pPr>
    </w:lvl>
    <w:lvl w:ilvl="3" w:tentative="0">
      <w:start w:val="0"/>
      <w:numFmt w:val="bullet"/>
      <w:lvlText w:val="–"/>
      <w:lvlJc w:val="left"/>
      <w:pPr>
        <w:tabs>
          <w:tab w:val="left" w:pos="2160"/>
        </w:tabs>
        <w:ind w:left="2640" w:hanging="480"/>
      </w:pPr>
    </w:lvl>
    <w:lvl w:ilvl="4" w:tentative="0">
      <w:start w:val="0"/>
      <w:numFmt w:val="bullet"/>
      <w:lvlText w:val="•"/>
      <w:lvlJc w:val="left"/>
      <w:pPr>
        <w:tabs>
          <w:tab w:val="left" w:pos="2880"/>
        </w:tabs>
        <w:ind w:left="3360" w:hanging="480"/>
      </w:pPr>
    </w:lvl>
    <w:lvl w:ilvl="5" w:tentative="0">
      <w:start w:val="0"/>
      <w:numFmt w:val="bullet"/>
      <w:lvlText w:val="–"/>
      <w:lvlJc w:val="left"/>
      <w:pPr>
        <w:tabs>
          <w:tab w:val="left" w:pos="3600"/>
        </w:tabs>
        <w:ind w:left="4080" w:hanging="480"/>
      </w:pPr>
    </w:lvl>
    <w:lvl w:ilvl="6" w:tentative="0">
      <w:start w:val="0"/>
      <w:numFmt w:val="bullet"/>
      <w:lvlText w:val="•"/>
      <w:lvlJc w:val="left"/>
      <w:pPr>
        <w:tabs>
          <w:tab w:val="left" w:pos="4320"/>
        </w:tabs>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zNGM4N2ExNjViODQxNTFmM2I4OTk5ZWE4NGExYjkifQ=="/>
  </w:docVars>
  <w:rsids>
    <w:rsidRoot w:val="00590D07"/>
    <w:rsid w:val="00011C8B"/>
    <w:rsid w:val="004E29B3"/>
    <w:rsid w:val="00590D07"/>
    <w:rsid w:val="00784D58"/>
    <w:rsid w:val="008D6863"/>
    <w:rsid w:val="00B86B75"/>
    <w:rsid w:val="00BC48D5"/>
    <w:rsid w:val="00C36279"/>
    <w:rsid w:val="00E315A3"/>
    <w:rsid w:val="3117615B"/>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autoRedefine/>
    <w:qFormat/>
    <w:uiPriority w:val="0"/>
    <w:pPr>
      <w:spacing w:after="400"/>
      <w:contextualSpacing w:val="0"/>
      <w:outlineLvl w:val="0"/>
    </w:pPr>
    <w:rPr>
      <w:color w:val="000000" w:themeColor="text1"/>
      <w:sz w:val="48"/>
      <w:szCs w:val="48"/>
    </w:rPr>
  </w:style>
  <w:style w:type="paragraph" w:styleId="4">
    <w:name w:val="heading 2"/>
    <w:basedOn w:val="1"/>
    <w:next w:val="1"/>
    <w:autoRedefine/>
    <w:qFormat/>
    <w:uiPriority w:val="0"/>
    <w:pPr>
      <w:spacing w:before="300" w:after="200" w:line="240" w:lineRule="auto"/>
      <w:contextualSpacing/>
      <w:outlineLvl w:val="1"/>
    </w:pPr>
    <w:rPr>
      <w:b/>
      <w:color w:val="27A799"/>
      <w:sz w:val="32"/>
      <w:szCs w:val="32"/>
    </w:rPr>
  </w:style>
  <w:style w:type="paragraph" w:styleId="5">
    <w:name w:val="heading 3"/>
    <w:basedOn w:val="1"/>
    <w:next w:val="1"/>
    <w:autoRedefine/>
    <w:qFormat/>
    <w:uiPriority w:val="0"/>
    <w:pPr>
      <w:outlineLvl w:val="2"/>
    </w:pPr>
    <w:rPr>
      <w:b/>
      <w:color w:val="auto"/>
    </w:rPr>
  </w:style>
  <w:style w:type="paragraph" w:styleId="6">
    <w:name w:val="heading 4"/>
    <w:basedOn w:val="1"/>
    <w:next w:val="1"/>
    <w:uiPriority w:val="0"/>
    <w:pPr>
      <w:spacing w:before="100"/>
      <w:outlineLvl w:val="3"/>
    </w:pPr>
    <w:rPr>
      <w:sz w:val="32"/>
      <w:szCs w:val="32"/>
    </w:rPr>
  </w:style>
  <w:style w:type="paragraph" w:styleId="7">
    <w:name w:val="heading 5"/>
    <w:basedOn w:val="1"/>
    <w:next w:val="1"/>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3">
    <w:name w:val="Title"/>
    <w:basedOn w:val="1"/>
    <w:next w:val="1"/>
    <w:uiPriority w:val="0"/>
    <w:pPr>
      <w:spacing w:before="320" w:line="240" w:lineRule="auto"/>
      <w:contextualSpacing/>
    </w:pPr>
    <w:rPr>
      <w:sz w:val="72"/>
      <w:szCs w:val="72"/>
    </w:rPr>
  </w:style>
  <w:style w:type="paragraph" w:styleId="9">
    <w:name w:val="annotation text"/>
    <w:basedOn w:val="1"/>
    <w:link w:val="19"/>
    <w:autoRedefine/>
    <w:semiHidden/>
    <w:unhideWhenUsed/>
    <w:qFormat/>
    <w:uiPriority w:val="99"/>
    <w:pPr>
      <w:spacing w:line="240" w:lineRule="auto"/>
    </w:pPr>
  </w:style>
  <w:style w:type="paragraph" w:styleId="10">
    <w:name w:val="Balloon Text"/>
    <w:basedOn w:val="1"/>
    <w:link w:val="20"/>
    <w:autoRedefine/>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autoRedefine/>
    <w:unhideWhenUsed/>
    <w:qFormat/>
    <w:uiPriority w:val="99"/>
    <w:pPr>
      <w:tabs>
        <w:tab w:val="center" w:pos="4513"/>
        <w:tab w:val="right" w:pos="9026"/>
      </w:tabs>
      <w:spacing w:before="0" w:line="240" w:lineRule="auto"/>
    </w:pPr>
  </w:style>
  <w:style w:type="paragraph" w:styleId="12">
    <w:name w:val="header"/>
    <w:basedOn w:val="1"/>
    <w:link w:val="21"/>
    <w:autoRedefine/>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autoRedefine/>
    <w:unhideWhenUsed/>
    <w:qFormat/>
    <w:uiPriority w:val="99"/>
    <w:rPr>
      <w:color w:val="0563C1" w:themeColor="hyperlink"/>
      <w:u w:val="single"/>
    </w:rPr>
  </w:style>
  <w:style w:type="character" w:styleId="17">
    <w:name w:val="annotation reference"/>
    <w:basedOn w:val="15"/>
    <w:autoRedefine/>
    <w:semiHidden/>
    <w:unhideWhenUsed/>
    <w:qFormat/>
    <w:uiPriority w:val="99"/>
    <w:rPr>
      <w:sz w:val="18"/>
      <w:szCs w:val="18"/>
    </w:rPr>
  </w:style>
  <w:style w:type="table" w:customStyle="1" w:styleId="18">
    <w:name w:val="1"/>
    <w:basedOn w:val="14"/>
    <w:autoRedefine/>
    <w:qFormat/>
    <w:uiPriority w:val="0"/>
    <w:tblPr>
      <w:tblCellMar>
        <w:top w:w="0" w:type="dxa"/>
        <w:left w:w="108" w:type="dxa"/>
        <w:bottom w:w="0" w:type="dxa"/>
        <w:right w:w="108" w:type="dxa"/>
      </w:tblCellMar>
    </w:tblPr>
  </w:style>
  <w:style w:type="character" w:customStyle="1" w:styleId="19">
    <w:name w:val="Comment Text Char"/>
    <w:basedOn w:val="15"/>
    <w:link w:val="9"/>
    <w:autoRedefine/>
    <w:semiHidden/>
    <w:qFormat/>
    <w:uiPriority w:val="99"/>
    <w:rPr>
      <w:sz w:val="24"/>
      <w:szCs w:val="24"/>
    </w:rPr>
  </w:style>
  <w:style w:type="character" w:customStyle="1" w:styleId="20">
    <w:name w:val="Balloon Text Char"/>
    <w:basedOn w:val="15"/>
    <w:link w:val="10"/>
    <w:autoRedefine/>
    <w:semiHidden/>
    <w:qFormat/>
    <w:uiPriority w:val="99"/>
    <w:rPr>
      <w:rFonts w:ascii="Times New Roman" w:hAnsi="Times New Roman" w:cs="Times New Roman"/>
      <w:sz w:val="18"/>
      <w:szCs w:val="18"/>
    </w:rPr>
  </w:style>
  <w:style w:type="character" w:customStyle="1" w:styleId="21">
    <w:name w:val="Header Char"/>
    <w:basedOn w:val="15"/>
    <w:link w:val="12"/>
    <w:autoRedefine/>
    <w:qFormat/>
    <w:uiPriority w:val="99"/>
  </w:style>
  <w:style w:type="character" w:customStyle="1" w:styleId="22">
    <w:name w:val="Footer Char"/>
    <w:basedOn w:val="15"/>
    <w:link w:val="11"/>
    <w:autoRedefine/>
    <w:qFormat/>
    <w:uiPriority w:val="99"/>
  </w:style>
  <w:style w:type="paragraph" w:customStyle="1" w:styleId="23">
    <w:name w:val="Source Code"/>
    <w:basedOn w:val="1"/>
    <w:autoRedefine/>
    <w:qFormat/>
    <w:uiPriority w:val="0"/>
    <w:pPr>
      <w:wordWrap w:val="0"/>
    </w:pPr>
  </w:style>
  <w:style w:type="character" w:customStyle="1" w:styleId="24">
    <w:name w:val="KeywordTok"/>
    <w:autoRedefine/>
    <w:qFormat/>
    <w:uiPriority w:val="0"/>
    <w:rPr>
      <w:b/>
      <w:color w:val="007020"/>
    </w:rPr>
  </w:style>
  <w:style w:type="character" w:customStyle="1" w:styleId="25">
    <w:name w:val="DataTypeTok"/>
    <w:autoRedefine/>
    <w:qFormat/>
    <w:uiPriority w:val="0"/>
    <w:rPr>
      <w:color w:val="902000"/>
    </w:rPr>
  </w:style>
  <w:style w:type="character" w:customStyle="1" w:styleId="26">
    <w:name w:val="DecValTok"/>
    <w:autoRedefine/>
    <w:qFormat/>
    <w:uiPriority w:val="0"/>
    <w:rPr>
      <w:color w:val="40A070"/>
    </w:rPr>
  </w:style>
  <w:style w:type="character" w:customStyle="1" w:styleId="27">
    <w:name w:val="BaseNTok"/>
    <w:autoRedefine/>
    <w:qFormat/>
    <w:uiPriority w:val="0"/>
    <w:rPr>
      <w:color w:val="40A070"/>
    </w:rPr>
  </w:style>
  <w:style w:type="character" w:customStyle="1" w:styleId="28">
    <w:name w:val="FloatTok"/>
    <w:autoRedefine/>
    <w:qFormat/>
    <w:uiPriority w:val="0"/>
    <w:rPr>
      <w:color w:val="40A070"/>
    </w:rPr>
  </w:style>
  <w:style w:type="character" w:customStyle="1" w:styleId="29">
    <w:name w:val="ConstantTok"/>
    <w:qFormat/>
    <w:uiPriority w:val="0"/>
    <w:rPr>
      <w:color w:val="880000"/>
    </w:rPr>
  </w:style>
  <w:style w:type="character" w:customStyle="1" w:styleId="30">
    <w:name w:val="CharTok"/>
    <w:autoRedefine/>
    <w:uiPriority w:val="0"/>
    <w:rPr>
      <w:color w:val="4070A0"/>
    </w:rPr>
  </w:style>
  <w:style w:type="character" w:customStyle="1" w:styleId="31">
    <w:name w:val="SpecialCharTok"/>
    <w:autoRedefine/>
    <w:qFormat/>
    <w:uiPriority w:val="0"/>
    <w:rPr>
      <w:color w:val="4070A0"/>
    </w:rPr>
  </w:style>
  <w:style w:type="character" w:customStyle="1" w:styleId="32">
    <w:name w:val="StringTok"/>
    <w:autoRedefine/>
    <w:qFormat/>
    <w:uiPriority w:val="0"/>
    <w:rPr>
      <w:color w:val="4070A0"/>
    </w:rPr>
  </w:style>
  <w:style w:type="character" w:customStyle="1" w:styleId="33">
    <w:name w:val="VerbatimStringTok"/>
    <w:autoRedefine/>
    <w:qFormat/>
    <w:uiPriority w:val="0"/>
    <w:rPr>
      <w:color w:val="4070A0"/>
    </w:rPr>
  </w:style>
  <w:style w:type="character" w:customStyle="1" w:styleId="34">
    <w:name w:val="SpecialStringTok"/>
    <w:qFormat/>
    <w:uiPriority w:val="0"/>
    <w:rPr>
      <w:color w:val="BB6688"/>
    </w:rPr>
  </w:style>
  <w:style w:type="character" w:customStyle="1" w:styleId="35">
    <w:name w:val="ImportTok"/>
    <w:autoRedefine/>
    <w:uiPriority w:val="0"/>
  </w:style>
  <w:style w:type="character" w:customStyle="1" w:styleId="36">
    <w:name w:val="CommentTok"/>
    <w:uiPriority w:val="0"/>
    <w:rPr>
      <w:i/>
      <w:color w:val="60A0B0"/>
    </w:rPr>
  </w:style>
  <w:style w:type="character" w:customStyle="1" w:styleId="37">
    <w:name w:val="DocumentationTok"/>
    <w:autoRedefine/>
    <w:qFormat/>
    <w:uiPriority w:val="0"/>
    <w:rPr>
      <w:i/>
      <w:color w:val="BA2121"/>
    </w:rPr>
  </w:style>
  <w:style w:type="character" w:customStyle="1" w:styleId="38">
    <w:name w:val="AnnotationTok"/>
    <w:autoRedefine/>
    <w:qFormat/>
    <w:uiPriority w:val="0"/>
    <w:rPr>
      <w:b/>
      <w:i/>
      <w:color w:val="60A0B0"/>
    </w:rPr>
  </w:style>
  <w:style w:type="character" w:customStyle="1" w:styleId="39">
    <w:name w:val="CommentVarTok"/>
    <w:autoRedefine/>
    <w:qFormat/>
    <w:uiPriority w:val="0"/>
    <w:rPr>
      <w:b/>
      <w:i/>
      <w:color w:val="60A0B0"/>
    </w:rPr>
  </w:style>
  <w:style w:type="character" w:customStyle="1" w:styleId="40">
    <w:name w:val="OtherTok"/>
    <w:autoRedefine/>
    <w:qFormat/>
    <w:uiPriority w:val="0"/>
    <w:rPr>
      <w:color w:val="007020"/>
    </w:rPr>
  </w:style>
  <w:style w:type="character" w:customStyle="1" w:styleId="41">
    <w:name w:val="FunctionTok"/>
    <w:autoRedefine/>
    <w:uiPriority w:val="0"/>
    <w:rPr>
      <w:color w:val="06287E"/>
    </w:rPr>
  </w:style>
  <w:style w:type="character" w:customStyle="1" w:styleId="42">
    <w:name w:val="VariableTok"/>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autoRedefine/>
    <w:qFormat/>
    <w:uiPriority w:val="0"/>
  </w:style>
  <w:style w:type="character" w:customStyle="1" w:styleId="46">
    <w:name w:val="ExtensionTok"/>
    <w:uiPriority w:val="0"/>
  </w:style>
  <w:style w:type="character" w:customStyle="1" w:styleId="47">
    <w:name w:val="PreprocessorTok"/>
    <w:autoRedefine/>
    <w:qFormat/>
    <w:uiPriority w:val="0"/>
    <w:rPr>
      <w:color w:val="BC7A00"/>
    </w:rPr>
  </w:style>
  <w:style w:type="character" w:customStyle="1" w:styleId="48">
    <w:name w:val="AttributeTok"/>
    <w:qFormat/>
    <w:uiPriority w:val="0"/>
    <w:rPr>
      <w:color w:val="7D9029"/>
    </w:rPr>
  </w:style>
  <w:style w:type="character" w:customStyle="1" w:styleId="49">
    <w:name w:val="RegionMarkerTok"/>
    <w:autoRedefine/>
    <w:uiPriority w:val="0"/>
  </w:style>
  <w:style w:type="character" w:customStyle="1" w:styleId="50">
    <w:name w:val="InformationTok"/>
    <w:autoRedefine/>
    <w:qFormat/>
    <w:uiPriority w:val="0"/>
    <w:rPr>
      <w:b/>
      <w:i/>
      <w:color w:val="60A0B0"/>
    </w:rPr>
  </w:style>
  <w:style w:type="character" w:customStyle="1" w:styleId="51">
    <w:name w:val="WarningTok"/>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autoRedefine/>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354</Characters>
  <Lines>2</Lines>
  <Paragraphs>1</Paragraphs>
  <TotalTime>18</TotalTime>
  <ScaleCrop>false</ScaleCrop>
  <LinksUpToDate>false</LinksUpToDate>
  <CharactersWithSpaces>415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2024-01-25T10:50:00Z</dcterms:created>
  <dc:creator>我的电脑</dc:creator>
  <cp:lastModifiedBy>我的电脑</cp:lastModifiedBy>
  <dcterms:modified xsi:type="dcterms:W3CDTF">2024-01-25T10:53:56Z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5AC3553C081B404F8848A1E9C3C7AB30_12</vt:lpwstr>
  </property>
</Properties>
</file>