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08B9" w14:textId="77777777" w:rsidR="00A62C89" w:rsidRPr="00285721" w:rsidRDefault="00A62C89" w:rsidP="00A62C8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721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204C834A" w14:textId="77777777" w:rsidR="00A62C89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A75E2F">
        <w:rPr>
          <w:rFonts w:ascii="Times New Roman" w:hAnsi="Times New Roman" w:cs="Times New Roman"/>
          <w:sz w:val="24"/>
          <w:szCs w:val="24"/>
        </w:rPr>
        <w:t xml:space="preserve"> Primers used for the fine-mapping of</w:t>
      </w:r>
      <w:r w:rsidRPr="00A75E2F">
        <w:rPr>
          <w:rStyle w:val="fontstyle0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QFLANG-4B</w:t>
      </w:r>
      <w:r w:rsidRPr="00A75E2F">
        <w:rPr>
          <w:rFonts w:ascii="Times New Roman" w:hAnsi="Times New Roman" w:cs="Times New Roman"/>
          <w:sz w:val="24"/>
          <w:szCs w:val="24"/>
        </w:rPr>
        <w:t>.</w:t>
      </w:r>
    </w:p>
    <w:p w14:paraId="32557ECE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>Phenotypic performance of the FLANG trait</w:t>
      </w:r>
      <w:r w:rsidRPr="00A75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13A">
        <w:rPr>
          <w:rFonts w:ascii="Times New Roman" w:hAnsi="Times New Roman" w:cs="Times New Roman"/>
          <w:sz w:val="24"/>
          <w:szCs w:val="24"/>
        </w:rPr>
        <w:t xml:space="preserve">two parents and R53. </w:t>
      </w:r>
      <w:r w:rsidRPr="00A75E2F">
        <w:rPr>
          <w:rFonts w:ascii="Times New Roman" w:hAnsi="Times New Roman" w:cs="Times New Roman"/>
          <w:sz w:val="24"/>
          <w:szCs w:val="24"/>
        </w:rPr>
        <w:fldChar w:fldCharType="begin"/>
      </w:r>
      <w:r w:rsidRPr="00A75E2F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A75E2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4EE8546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75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3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 Phenotypic performance of the FLANG trait in different homozygous non-recombinant plants.</w:t>
      </w:r>
    </w:p>
    <w:p w14:paraId="1D7B7924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75E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4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 List of 76 putative annotated genes in the Chinese Spring genome within the </w:t>
      </w:r>
      <w:r w:rsidRPr="00A75E2F">
        <w:rPr>
          <w:rStyle w:val="fontstyle01"/>
          <w:rFonts w:ascii="Times New Roman" w:hAnsi="Times New Roman" w:cs="Times New Roman"/>
          <w:i/>
          <w:iCs/>
          <w:color w:val="auto"/>
          <w:sz w:val="24"/>
          <w:szCs w:val="24"/>
        </w:rPr>
        <w:t>QFLANG-4B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 mapping interval.</w:t>
      </w:r>
      <w:r w:rsidRPr="006E1E5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4E32216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A75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5E2F">
        <w:rPr>
          <w:rFonts w:ascii="Times New Roman" w:hAnsi="Times New Roman" w:cs="Times New Roman"/>
          <w:sz w:val="24"/>
          <w:szCs w:val="24"/>
        </w:rPr>
        <w:t>List of differentially expressed genes 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3AA">
        <w:rPr>
          <w:rFonts w:ascii="Times New Roman" w:hAnsi="Times New Roman" w:cs="Times New Roman"/>
          <w:sz w:val="24"/>
          <w:szCs w:val="24"/>
        </w:rPr>
        <w:t xml:space="preserve">homozygous </w:t>
      </w:r>
      <w:r>
        <w:rPr>
          <w:rFonts w:ascii="Times New Roman" w:hAnsi="Times New Roman" w:cs="Times New Roman"/>
          <w:sz w:val="24"/>
          <w:szCs w:val="24"/>
        </w:rPr>
        <w:t>ND3331</w:t>
      </w:r>
      <w:r w:rsidRPr="00B763A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Zang1817</w:t>
      </w:r>
      <w:r w:rsidRPr="00A75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bulks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E2F">
        <w:rPr>
          <w:rFonts w:ascii="Times New Roman" w:hAnsi="Times New Roman" w:cs="Times New Roman"/>
          <w:sz w:val="24"/>
          <w:szCs w:val="24"/>
        </w:rPr>
        <w:t>at the heading stage.</w:t>
      </w:r>
    </w:p>
    <w:p w14:paraId="389F6ED3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A75E2F">
        <w:rPr>
          <w:rFonts w:ascii="Times New Roman" w:hAnsi="Times New Roman" w:cs="Times New Roman"/>
          <w:sz w:val="24"/>
          <w:szCs w:val="24"/>
        </w:rPr>
        <w:t xml:space="preserve"> List of TPM values for the 76 genes </w:t>
      </w:r>
      <w:bookmarkStart w:id="0" w:name="_Hlk156765403"/>
      <w:r w:rsidRPr="00A75E2F">
        <w:rPr>
          <w:rFonts w:ascii="Times New Roman" w:hAnsi="Times New Roman" w:cs="Times New Roman"/>
          <w:sz w:val="24"/>
          <w:szCs w:val="24"/>
        </w:rPr>
        <w:t xml:space="preserve">in the </w:t>
      </w:r>
      <w:r w:rsidRPr="00A75E2F">
        <w:rPr>
          <w:rStyle w:val="fontstyle01"/>
          <w:rFonts w:ascii="Times New Roman" w:hAnsi="Times New Roman" w:cs="Times New Roman"/>
          <w:i/>
          <w:iCs/>
          <w:color w:val="auto"/>
          <w:sz w:val="24"/>
          <w:szCs w:val="24"/>
        </w:rPr>
        <w:t>QFLANG-4B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 mapping interval, </w:t>
      </w:r>
      <w:bookmarkEnd w:id="0"/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based on </w:t>
      </w:r>
      <w:r w:rsidRPr="002B2F1F">
        <w:rPr>
          <w:rFonts w:ascii="Times New Roman" w:hAnsi="Times New Roman" w:cs="Times New Roman"/>
          <w:sz w:val="24"/>
          <w:szCs w:val="24"/>
        </w:rPr>
        <w:t>differentially expressed genes</w:t>
      </w:r>
      <w:r>
        <w:rPr>
          <w:rFonts w:ascii="Times New Roman" w:hAnsi="Times New Roman" w:cs="Times New Roman"/>
          <w:sz w:val="24"/>
          <w:szCs w:val="24"/>
        </w:rPr>
        <w:t xml:space="preserve"> (DEG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 analysis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 from the</w:t>
      </w:r>
      <w:r w:rsidRPr="00A75E2F" w:rsidDel="00293392">
        <w:rPr>
          <w:rFonts w:ascii="Times New Roman" w:hAnsi="Times New Roman" w:cs="Times New Roman"/>
          <w:sz w:val="24"/>
          <w:szCs w:val="24"/>
        </w:rPr>
        <w:t xml:space="preserve"> </w:t>
      </w:r>
      <w:r w:rsidRPr="00A75E2F">
        <w:rPr>
          <w:rFonts w:ascii="Times New Roman" w:hAnsi="Times New Roman" w:cs="Times New Roman"/>
          <w:sz w:val="24"/>
          <w:szCs w:val="24"/>
        </w:rPr>
        <w:t xml:space="preserve">lamina joint at the heading stage of the </w:t>
      </w:r>
      <w:r>
        <w:rPr>
          <w:rFonts w:ascii="Times New Roman" w:hAnsi="Times New Roman" w:cs="Times New Roman"/>
          <w:sz w:val="24"/>
          <w:szCs w:val="24"/>
        </w:rPr>
        <w:t xml:space="preserve">two </w:t>
      </w:r>
      <w:r w:rsidRPr="00A75E2F">
        <w:rPr>
          <w:rFonts w:ascii="Times New Roman" w:hAnsi="Times New Roman" w:cs="Times New Roman"/>
          <w:sz w:val="24"/>
          <w:szCs w:val="24"/>
        </w:rPr>
        <w:t xml:space="preserve">bulk </w:t>
      </w:r>
      <w:r>
        <w:rPr>
          <w:rFonts w:ascii="Times New Roman" w:hAnsi="Times New Roman" w:cs="Times New Roman"/>
          <w:sz w:val="24"/>
          <w:szCs w:val="24"/>
        </w:rPr>
        <w:t xml:space="preserve">samples </w:t>
      </w:r>
      <w:r w:rsidRPr="00A75E2F">
        <w:rPr>
          <w:rFonts w:ascii="Times New Roman" w:hAnsi="Times New Roman" w:cs="Times New Roman"/>
          <w:sz w:val="24"/>
          <w:szCs w:val="24"/>
        </w:rPr>
        <w:t xml:space="preserve">of </w:t>
      </w:r>
      <w:r w:rsidRPr="00B763AA">
        <w:rPr>
          <w:rFonts w:ascii="Times New Roman" w:hAnsi="Times New Roman" w:cs="Times New Roman"/>
          <w:sz w:val="24"/>
          <w:szCs w:val="24"/>
        </w:rPr>
        <w:t xml:space="preserve">homozygous </w:t>
      </w:r>
      <w:r>
        <w:rPr>
          <w:rFonts w:ascii="Times New Roman" w:hAnsi="Times New Roman" w:cs="Times New Roman"/>
          <w:sz w:val="24"/>
          <w:szCs w:val="24"/>
        </w:rPr>
        <w:t>ND3331</w:t>
      </w:r>
      <w:r w:rsidRPr="00B763A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Zang1817.</w:t>
      </w:r>
    </w:p>
    <w:p w14:paraId="576B5D68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A75E2F">
        <w:rPr>
          <w:rFonts w:ascii="Times New Roman" w:hAnsi="Times New Roman" w:cs="Times New Roman"/>
          <w:sz w:val="24"/>
          <w:szCs w:val="24"/>
        </w:rPr>
        <w:t xml:space="preserve"> List of the TPM values for the seven DEGs in the </w:t>
      </w:r>
      <w:r w:rsidRPr="00A75E2F">
        <w:rPr>
          <w:rStyle w:val="fontstyle01"/>
          <w:rFonts w:ascii="Times New Roman" w:hAnsi="Times New Roman" w:cs="Times New Roman"/>
          <w:i/>
          <w:iCs/>
          <w:color w:val="auto"/>
          <w:sz w:val="24"/>
          <w:szCs w:val="24"/>
        </w:rPr>
        <w:t>QFLANG-4B</w:t>
      </w:r>
      <w:r w:rsidRPr="00A75E2F">
        <w:rPr>
          <w:rFonts w:ascii="Times New Roman" w:hAnsi="Times New Roman" w:cs="Times New Roman"/>
          <w:color w:val="000000"/>
          <w:sz w:val="24"/>
          <w:szCs w:val="24"/>
        </w:rPr>
        <w:t xml:space="preserve"> mapping interval</w:t>
      </w:r>
      <w:r w:rsidRPr="00A75E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EB46EE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 xml:space="preserve">Fig. S1 Fine-mapping of </w:t>
      </w:r>
      <w:r w:rsidRPr="00A75E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QFLANG-4B</w:t>
      </w:r>
      <w:r w:rsidRPr="00A75E2F">
        <w:rPr>
          <w:rFonts w:ascii="Times New Roman" w:hAnsi="Times New Roman" w:cs="Times New Roman"/>
          <w:sz w:val="24"/>
          <w:szCs w:val="24"/>
        </w:rPr>
        <w:t>.</w:t>
      </w:r>
    </w:p>
    <w:p w14:paraId="790D04BB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sz w:val="24"/>
          <w:szCs w:val="24"/>
        </w:rPr>
        <w:t>(</w:t>
      </w:r>
      <w:r w:rsidRPr="00A75E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75E2F">
        <w:rPr>
          <w:rFonts w:ascii="Times New Roman" w:hAnsi="Times New Roman" w:cs="Times New Roman"/>
          <w:sz w:val="24"/>
          <w:szCs w:val="24"/>
        </w:rPr>
        <w:t xml:space="preserve">) Genetic location of the </w:t>
      </w:r>
      <w:r w:rsidRPr="00A75E2F">
        <w:rPr>
          <w:rFonts w:ascii="Times New Roman" w:hAnsi="Times New Roman" w:cs="Times New Roman"/>
          <w:i/>
          <w:iCs/>
          <w:sz w:val="24"/>
          <w:szCs w:val="24"/>
        </w:rPr>
        <w:t xml:space="preserve">QFLANG-4B </w:t>
      </w:r>
      <w:r w:rsidRPr="00A75E2F">
        <w:rPr>
          <w:rFonts w:ascii="Times New Roman" w:hAnsi="Times New Roman" w:cs="Times New Roman"/>
          <w:sz w:val="24"/>
          <w:szCs w:val="24"/>
        </w:rPr>
        <w:t>mapping interval on chromosome 4B. (</w:t>
      </w:r>
      <w:r w:rsidRPr="00A75E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75E2F">
        <w:rPr>
          <w:rFonts w:ascii="Times New Roman" w:hAnsi="Times New Roman" w:cs="Times New Roman"/>
          <w:sz w:val="24"/>
          <w:szCs w:val="24"/>
        </w:rPr>
        <w:t>) Diagram of the 14 recombinant genotypes from the BC</w:t>
      </w:r>
      <w:r w:rsidRPr="00A75E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5E2F">
        <w:rPr>
          <w:rFonts w:ascii="Times New Roman" w:hAnsi="Times New Roman" w:cs="Times New Roman"/>
          <w:sz w:val="24"/>
          <w:szCs w:val="24"/>
        </w:rPr>
        <w:t>F</w:t>
      </w:r>
      <w:r w:rsidRPr="00A75E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75E2F">
        <w:rPr>
          <w:rFonts w:ascii="Times New Roman" w:hAnsi="Times New Roman" w:cs="Times New Roman"/>
          <w:sz w:val="24"/>
          <w:szCs w:val="24"/>
        </w:rPr>
        <w:t xml:space="preserve"> population in the ND3331 background. Black, homozygous for ND3331; gray, heterozygous; white, homozygous Zang1817. </w:t>
      </w:r>
    </w:p>
    <w:p w14:paraId="037B65D6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FE656F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 xml:space="preserve">Fig. S2 Effect of the genotype at the </w:t>
      </w:r>
      <w:r w:rsidRPr="00037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QFLANG-4B </w:t>
      </w:r>
      <w:r w:rsidRPr="00037B48">
        <w:rPr>
          <w:rFonts w:ascii="Times New Roman" w:hAnsi="Times New Roman" w:cs="Times New Roman"/>
          <w:b/>
          <w:bCs/>
          <w:sz w:val="24"/>
          <w:szCs w:val="24"/>
        </w:rPr>
        <w:t>region in the</w:t>
      </w:r>
      <w:r w:rsidRPr="00A75E2F">
        <w:rPr>
          <w:rFonts w:ascii="Times New Roman" w:hAnsi="Times New Roman" w:cs="Times New Roman"/>
          <w:sz w:val="24"/>
          <w:szCs w:val="24"/>
        </w:rPr>
        <w:t xml:space="preserve"> </w:t>
      </w:r>
      <w:r w:rsidRPr="00DC67B9">
        <w:rPr>
          <w:rFonts w:ascii="Times New Roman" w:hAnsi="Times New Roman" w:cs="Times New Roman"/>
          <w:b/>
          <w:bCs/>
          <w:sz w:val="24"/>
          <w:szCs w:val="24"/>
        </w:rPr>
        <w:t>homozygous ND3331 and Zang1817</w:t>
      </w:r>
      <w:r w:rsidRPr="00037B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different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RIL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pair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Pr="00037B48">
        <w:rPr>
          <w:rFonts w:ascii="Times New Roman" w:hAnsi="Times New Roman" w:cs="Times New Roman"/>
          <w:b/>
          <w:bCs/>
          <w:sz w:val="24"/>
          <w:szCs w:val="24"/>
        </w:rPr>
        <w:t>on mean FLANG values.</w:t>
      </w:r>
      <w:r w:rsidRPr="00A75E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8630FC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sz w:val="24"/>
          <w:szCs w:val="24"/>
        </w:rPr>
        <w:t xml:space="preserve">***, </w:t>
      </w:r>
      <w:r w:rsidRPr="00A75E2F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A75E2F">
        <w:rPr>
          <w:rFonts w:ascii="Times New Roman" w:hAnsi="Times New Roman" w:cs="Times New Roman"/>
          <w:sz w:val="24"/>
          <w:szCs w:val="24"/>
        </w:rPr>
        <w:t xml:space="preserve">&lt; 0.001 as determined by a two-tailed Student’s </w:t>
      </w:r>
      <w:r w:rsidRPr="00A75E2F"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 w:rsidRPr="00A75E2F">
        <w:rPr>
          <w:rFonts w:ascii="Times New Roman" w:hAnsi="Times New Roman" w:cs="Times New Roman"/>
          <w:sz w:val="24"/>
          <w:szCs w:val="24"/>
        </w:rPr>
        <w:t xml:space="preserve">test. (color figure online) </w:t>
      </w:r>
    </w:p>
    <w:p w14:paraId="30120F56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31D46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 xml:space="preserve">Fig. S3 Colinearity analysis of the </w:t>
      </w:r>
      <w:r w:rsidRPr="00A75E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QFLANG-4B </w:t>
      </w:r>
      <w:r w:rsidRPr="00A75E2F">
        <w:rPr>
          <w:rFonts w:ascii="Times New Roman" w:hAnsi="Times New Roman" w:cs="Times New Roman"/>
          <w:b/>
          <w:bCs/>
          <w:sz w:val="24"/>
          <w:szCs w:val="24"/>
        </w:rPr>
        <w:t>mapping interval between the Zang1817 and Chinese Spring genomes.</w:t>
      </w:r>
      <w:r w:rsidRPr="00817210">
        <w:rPr>
          <w:rFonts w:ascii="Times New Roman" w:hAnsi="Times New Roman" w:cs="Times New Roman"/>
          <w:sz w:val="24"/>
          <w:szCs w:val="24"/>
        </w:rPr>
        <w:t xml:space="preserve"> The reference genome version IWGSC RefSeq v1.1 was used for Chinese Spring. </w:t>
      </w:r>
      <w:r w:rsidRPr="00A75E2F">
        <w:rPr>
          <w:rFonts w:ascii="Times New Roman" w:hAnsi="Times New Roman" w:cs="Times New Roman"/>
          <w:sz w:val="24"/>
          <w:szCs w:val="24"/>
        </w:rPr>
        <w:t>The genes and lines of homologous gene pairs are grouped by their strength of relationship. Color priority: RBH (Reciprocal Best Hit) &gt; SBH (Single-side Best Hit) &gt; 1-to-many (all putative homologous genes). All homologous lines are grouped by score: 0–50, 50–70, and 70–100.</w:t>
      </w:r>
    </w:p>
    <w:p w14:paraId="06E6E7C4" w14:textId="77777777" w:rsidR="00A62C89" w:rsidRPr="00A75E2F" w:rsidRDefault="00A62C89" w:rsidP="00A62C89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5FBCE" w14:textId="77777777" w:rsidR="00A62C89" w:rsidRPr="00DC67B9" w:rsidRDefault="00A62C89" w:rsidP="00A62C89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5E2F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DC67B9">
        <w:rPr>
          <w:rFonts w:ascii="Times New Roman" w:hAnsi="Times New Roman" w:cs="Times New Roman"/>
          <w:b/>
          <w:bCs/>
          <w:sz w:val="24"/>
          <w:szCs w:val="24"/>
        </w:rPr>
        <w:t xml:space="preserve"> Analysis of genes expressed at very low levels (TPM ≤ 1) (a) and with similar relative expression levels (b) in the two bulks of homozygous ND3331 and Zang1817 within the </w:t>
      </w:r>
      <w:r w:rsidRPr="00DC67B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QFLANG-4B </w:t>
      </w:r>
      <w:r w:rsidRPr="00DC67B9">
        <w:rPr>
          <w:rFonts w:ascii="Times New Roman" w:hAnsi="Times New Roman" w:cs="Times New Roman"/>
          <w:b/>
          <w:bCs/>
          <w:sz w:val="24"/>
          <w:szCs w:val="24"/>
        </w:rPr>
        <w:t xml:space="preserve">mapping interval at the heading stage. </w:t>
      </w:r>
    </w:p>
    <w:p w14:paraId="69A78777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89"/>
    <w:rsid w:val="00342DA6"/>
    <w:rsid w:val="005868F4"/>
    <w:rsid w:val="00703469"/>
    <w:rsid w:val="00753CA0"/>
    <w:rsid w:val="007D23AF"/>
    <w:rsid w:val="0090563E"/>
    <w:rsid w:val="00A62C89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FCF81"/>
  <w15:chartTrackingRefBased/>
  <w15:docId w15:val="{12BED7B8-14FC-46B7-AED7-EF725D1F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C89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62C89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Company>Springer Nature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2024-01-31T06:22:00Z</dcterms:created>
  <dcterms:modified xsi:type="dcterms:W3CDTF">2024-01-31T06:22:00Z</dcterms:modified>
</cp:coreProperties>
</file>