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spacing w:after="156" w:afterLines="50"/>
        <w:jc w:val="center"/>
        <w:rPr>
          <w:rFonts w:ascii="Times New Roman" w:hAnsi="Times New Roman" w:cs="Times New Roman"/>
          <w:b/>
          <w:bCs/>
          <w:sz w:val="30"/>
          <w:szCs w:val="30"/>
        </w:rPr>
      </w:pPr>
      <w:r>
        <w:rPr>
          <w:rFonts w:ascii="Times New Roman" w:hAnsi="Times New Roman" w:cs="Times New Roman"/>
          <w:b/>
          <w:bCs/>
          <w:sz w:val="30"/>
          <w:szCs w:val="30"/>
        </w:rPr>
        <w:t>Supplementary material</w:t>
      </w:r>
    </w:p>
    <w:p>
      <w:pPr>
        <w:spacing w:line="480" w:lineRule="auto"/>
        <w:rPr>
          <w:rFonts w:hint="eastAsia" w:ascii="Times New Roman" w:hAnsi="Times New Roman" w:cs="Times New Roman"/>
          <w:b/>
          <w:bCs/>
          <w:sz w:val="21"/>
          <w:szCs w:val="21"/>
        </w:rPr>
      </w:pPr>
      <w:r>
        <w:rPr>
          <w:rFonts w:hint="eastAsia" w:ascii="Times New Roman" w:hAnsi="Times New Roman" w:cs="Times New Roman"/>
          <w:b/>
          <w:bCs/>
          <w:sz w:val="21"/>
          <w:szCs w:val="21"/>
        </w:rPr>
        <w:t>Cost-effectiveness analysis of immune checkpoint inhibitors for first-line treatment of advanced esophageal squamous cell carcinoma based on fractional polynomial network meta-analysis</w:t>
      </w:r>
    </w:p>
    <w:p>
      <w:pPr>
        <w:spacing w:line="480" w:lineRule="auto"/>
        <w:rPr>
          <w:rFonts w:ascii="Times New Roman" w:hAnsi="Times New Roman" w:cs="Times New Roman"/>
          <w:sz w:val="30"/>
          <w:szCs w:val="30"/>
        </w:rPr>
      </w:pPr>
      <w:r>
        <w:rPr>
          <w:rFonts w:ascii="Times New Roman" w:hAnsi="Times New Roman" w:cs="Times New Roman"/>
          <w:b/>
          <w:bCs/>
          <w:sz w:val="20"/>
          <w:szCs w:val="20"/>
        </w:rPr>
        <w:t xml:space="preserve">Running heading: </w:t>
      </w:r>
      <w:r>
        <w:rPr>
          <w:rFonts w:ascii="Times New Roman" w:hAnsi="Times New Roman" w:cs="Times New Roman"/>
          <w:sz w:val="20"/>
          <w:szCs w:val="20"/>
        </w:rPr>
        <w:t>Cost-effectiveness analysis of ICIs for first-line treatment in advanced ESCC</w:t>
      </w:r>
    </w:p>
    <w:p>
      <w:pPr>
        <w:spacing w:line="480" w:lineRule="auto"/>
        <w:rPr>
          <w:rFonts w:ascii="Times New Roman" w:hAnsi="Times New Roman" w:cs="Times New Roman"/>
          <w:b/>
          <w:bCs/>
          <w:sz w:val="20"/>
          <w:szCs w:val="20"/>
          <w:vertAlign w:val="superscript"/>
        </w:rPr>
      </w:pPr>
      <w:r>
        <w:rPr>
          <w:rFonts w:ascii="Times New Roman" w:hAnsi="Times New Roman" w:cs="Times New Roman"/>
          <w:b/>
          <w:bCs/>
          <w:sz w:val="20"/>
          <w:szCs w:val="20"/>
        </w:rPr>
        <w:t>Yijia Zhao</w:t>
      </w:r>
      <w:r>
        <w:rPr>
          <w:rFonts w:ascii="Times New Roman" w:hAnsi="Times New Roman" w:cs="Times New Roman"/>
          <w:b/>
          <w:bCs/>
          <w:sz w:val="20"/>
          <w:szCs w:val="20"/>
          <w:vertAlign w:val="superscript"/>
        </w:rPr>
        <w:t>1,2</w:t>
      </w:r>
      <w:r>
        <w:rPr>
          <w:rFonts w:ascii="Times New Roman" w:hAnsi="Times New Roman" w:eastAsia="宋体" w:cs="Times New Roman"/>
          <w:b/>
          <w:sz w:val="20"/>
          <w:szCs w:val="20"/>
          <w:vertAlign w:val="superscript"/>
        </w:rPr>
        <w:t>#</w:t>
      </w:r>
      <w:r>
        <w:rPr>
          <w:rFonts w:ascii="Times New Roman" w:hAnsi="Times New Roman" w:cs="Times New Roman"/>
          <w:b/>
          <w:bCs/>
          <w:sz w:val="20"/>
          <w:szCs w:val="20"/>
        </w:rPr>
        <w:t>, Ruizhe Liu</w:t>
      </w:r>
      <w:r>
        <w:rPr>
          <w:rFonts w:ascii="Times New Roman" w:hAnsi="Times New Roman" w:cs="Times New Roman"/>
          <w:b/>
          <w:bCs/>
          <w:sz w:val="20"/>
          <w:szCs w:val="20"/>
          <w:vertAlign w:val="superscript"/>
        </w:rPr>
        <w:t>1</w:t>
      </w:r>
      <w:r>
        <w:rPr>
          <w:rFonts w:ascii="Times New Roman" w:hAnsi="Times New Roman" w:eastAsia="宋体" w:cs="Times New Roman"/>
          <w:b/>
          <w:sz w:val="20"/>
          <w:szCs w:val="20"/>
          <w:vertAlign w:val="superscript"/>
        </w:rPr>
        <w:t>#</w:t>
      </w:r>
      <w:r>
        <w:rPr>
          <w:rFonts w:ascii="Times New Roman" w:hAnsi="Times New Roman" w:cs="Times New Roman"/>
          <w:b/>
          <w:bCs/>
          <w:sz w:val="20"/>
          <w:szCs w:val="20"/>
        </w:rPr>
        <w:t>, Jianhong Zhu</w:t>
      </w:r>
      <w:r>
        <w:rPr>
          <w:rFonts w:ascii="Times New Roman" w:hAnsi="Times New Roman" w:cs="Times New Roman"/>
          <w:b/>
          <w:bCs/>
          <w:sz w:val="20"/>
          <w:szCs w:val="20"/>
          <w:vertAlign w:val="superscript"/>
        </w:rPr>
        <w:t>1</w:t>
      </w:r>
      <w:r>
        <w:rPr>
          <w:rFonts w:ascii="Times New Roman" w:hAnsi="Times New Roman" w:cs="Times New Roman"/>
          <w:b/>
          <w:bCs/>
          <w:sz w:val="20"/>
          <w:szCs w:val="20"/>
        </w:rPr>
        <w:t>, Fenghao Shi</w:t>
      </w:r>
      <w:r>
        <w:rPr>
          <w:rFonts w:ascii="Times New Roman" w:hAnsi="Times New Roman" w:cs="Times New Roman"/>
          <w:b/>
          <w:bCs/>
          <w:sz w:val="20"/>
          <w:szCs w:val="20"/>
          <w:vertAlign w:val="superscript"/>
        </w:rPr>
        <w:t>3,4</w:t>
      </w:r>
      <w:r>
        <w:rPr>
          <w:rFonts w:ascii="Times New Roman" w:hAnsi="Times New Roman" w:cs="Times New Roman"/>
          <w:b/>
          <w:bCs/>
          <w:sz w:val="20"/>
          <w:szCs w:val="20"/>
        </w:rPr>
        <w:t>, Wenmin Song</w:t>
      </w:r>
      <w:r>
        <w:rPr>
          <w:rFonts w:ascii="Times New Roman" w:hAnsi="Times New Roman" w:cs="Times New Roman"/>
          <w:b/>
          <w:bCs/>
          <w:sz w:val="20"/>
          <w:szCs w:val="20"/>
          <w:vertAlign w:val="superscript"/>
        </w:rPr>
        <w:t>1</w:t>
      </w:r>
      <w:r>
        <w:rPr>
          <w:rFonts w:ascii="Times New Roman" w:hAnsi="Times New Roman" w:cs="Times New Roman"/>
          <w:b/>
          <w:bCs/>
          <w:sz w:val="20"/>
          <w:szCs w:val="20"/>
        </w:rPr>
        <w:t>, Junyan Wu</w:t>
      </w:r>
      <w:r>
        <w:rPr>
          <w:rFonts w:ascii="Times New Roman" w:hAnsi="Times New Roman" w:cs="Times New Roman"/>
          <w:b/>
          <w:bCs/>
          <w:sz w:val="20"/>
          <w:szCs w:val="20"/>
          <w:vertAlign w:val="superscript"/>
        </w:rPr>
        <w:t>1</w:t>
      </w:r>
      <w:r>
        <w:rPr>
          <w:rFonts w:ascii="Times New Roman" w:hAnsi="Times New Roman" w:cs="Times New Roman"/>
          <w:b/>
          <w:bCs/>
          <w:sz w:val="20"/>
          <w:szCs w:val="20"/>
        </w:rPr>
        <w:t>, Min Huang</w:t>
      </w:r>
      <w:r>
        <w:rPr>
          <w:rFonts w:ascii="Times New Roman" w:hAnsi="Times New Roman" w:cs="Times New Roman"/>
          <w:b/>
          <w:bCs/>
          <w:sz w:val="20"/>
          <w:szCs w:val="20"/>
          <w:vertAlign w:val="superscript"/>
        </w:rPr>
        <w:t>2</w:t>
      </w:r>
      <w:r>
        <w:rPr>
          <w:rFonts w:ascii="Times New Roman" w:hAnsi="Times New Roman" w:cs="Times New Roman"/>
          <w:b/>
          <w:bCs/>
          <w:sz w:val="20"/>
          <w:szCs w:val="20"/>
        </w:rPr>
        <w:t>, Kaifeng Qiu</w:t>
      </w:r>
      <w:r>
        <w:rPr>
          <w:rFonts w:ascii="Times New Roman" w:hAnsi="Times New Roman" w:cs="Times New Roman"/>
          <w:b/>
          <w:bCs/>
          <w:sz w:val="20"/>
          <w:szCs w:val="20"/>
          <w:vertAlign w:val="superscript"/>
        </w:rPr>
        <w:t>1*</w:t>
      </w:r>
    </w:p>
    <w:p>
      <w:pPr>
        <w:spacing w:line="480" w:lineRule="auto"/>
        <w:rPr>
          <w:rFonts w:ascii="Times New Roman" w:hAnsi="Times New Roman" w:eastAsia="宋体" w:cs="Times New Roman"/>
          <w:sz w:val="20"/>
          <w:szCs w:val="20"/>
        </w:rPr>
      </w:pPr>
      <w:r>
        <w:rPr>
          <w:rFonts w:ascii="Times New Roman" w:hAnsi="Times New Roman" w:cs="Times New Roman"/>
          <w:sz w:val="20"/>
          <w:szCs w:val="20"/>
          <w:vertAlign w:val="superscript"/>
        </w:rPr>
        <w:t>1</w:t>
      </w:r>
      <w:r>
        <w:rPr>
          <w:rFonts w:ascii="Times New Roman" w:hAnsi="Times New Roman" w:eastAsia="宋体" w:cs="Times New Roman"/>
          <w:sz w:val="20"/>
          <w:szCs w:val="20"/>
        </w:rPr>
        <w:t>Department of Pharmacy, Sun Yat-Sen Memorial Hospital, Sun Yat-Sen University, Guangzhou, China</w:t>
      </w:r>
    </w:p>
    <w:p>
      <w:pPr>
        <w:spacing w:line="480" w:lineRule="auto"/>
        <w:rPr>
          <w:rFonts w:ascii="Times New Roman" w:hAnsi="Times New Roman" w:eastAsia="宋体" w:cs="Times New Roman"/>
          <w:sz w:val="20"/>
          <w:szCs w:val="20"/>
        </w:rPr>
      </w:pPr>
      <w:r>
        <w:rPr>
          <w:rFonts w:ascii="Times New Roman" w:hAnsi="Times New Roman" w:eastAsia="宋体" w:cs="Times New Roman"/>
          <w:sz w:val="20"/>
          <w:szCs w:val="20"/>
          <w:vertAlign w:val="superscript"/>
        </w:rPr>
        <w:t>2</w:t>
      </w:r>
      <w:r>
        <w:rPr>
          <w:rFonts w:ascii="Times New Roman" w:hAnsi="Times New Roman" w:eastAsia="宋体" w:cs="Times New Roman"/>
          <w:sz w:val="20"/>
          <w:szCs w:val="20"/>
        </w:rPr>
        <w:t>School of Pharmaceutical Sciences, Sun Yat-Sen University, Guangzhou, Guangdong, China</w:t>
      </w:r>
    </w:p>
    <w:p>
      <w:pPr>
        <w:spacing w:line="480" w:lineRule="auto"/>
        <w:rPr>
          <w:rFonts w:ascii="Times New Roman" w:hAnsi="Times New Roman" w:eastAsia="宋体" w:cs="Times New Roman"/>
          <w:sz w:val="20"/>
          <w:szCs w:val="20"/>
        </w:rPr>
      </w:pPr>
      <w:r>
        <w:rPr>
          <w:rFonts w:ascii="Times New Roman" w:hAnsi="Times New Roman" w:eastAsia="宋体" w:cs="Times New Roman"/>
          <w:sz w:val="20"/>
          <w:szCs w:val="20"/>
          <w:vertAlign w:val="superscript"/>
        </w:rPr>
        <w:t>3</w:t>
      </w:r>
      <w:r>
        <w:rPr>
          <w:rFonts w:ascii="Times New Roman" w:hAnsi="Times New Roman" w:eastAsia="宋体" w:cs="Times New Roman"/>
          <w:sz w:val="20"/>
          <w:szCs w:val="20"/>
        </w:rPr>
        <w:t>International Research Center for Medicinal Administration, Peking University, Beijing, China</w:t>
      </w:r>
    </w:p>
    <w:p>
      <w:pPr>
        <w:spacing w:line="480" w:lineRule="auto"/>
        <w:rPr>
          <w:rFonts w:ascii="Times New Roman" w:hAnsi="Times New Roman" w:eastAsia="宋体" w:cs="Times New Roman"/>
          <w:sz w:val="20"/>
          <w:szCs w:val="20"/>
        </w:rPr>
      </w:pPr>
      <w:r>
        <w:rPr>
          <w:rFonts w:ascii="Times New Roman" w:hAnsi="Times New Roman" w:eastAsia="宋体" w:cs="Times New Roman"/>
          <w:sz w:val="20"/>
          <w:szCs w:val="20"/>
          <w:vertAlign w:val="superscript"/>
        </w:rPr>
        <w:t>4</w:t>
      </w:r>
      <w:r>
        <w:rPr>
          <w:rFonts w:ascii="Times New Roman" w:hAnsi="Times New Roman" w:eastAsia="宋体" w:cs="Times New Roman"/>
          <w:sz w:val="20"/>
          <w:szCs w:val="20"/>
        </w:rPr>
        <w:t>School of Pharmaceutical Sciences, Peking University, Beijing, China</w:t>
      </w:r>
    </w:p>
    <w:p>
      <w:pPr>
        <w:spacing w:line="480" w:lineRule="auto"/>
        <w:rPr>
          <w:rFonts w:ascii="Times New Roman" w:hAnsi="Times New Roman" w:eastAsia="宋体" w:cs="Times New Roman"/>
          <w:sz w:val="20"/>
          <w:szCs w:val="20"/>
        </w:rPr>
      </w:pPr>
      <w:r>
        <w:rPr>
          <w:rFonts w:ascii="Times New Roman" w:hAnsi="Times New Roman" w:eastAsia="宋体" w:cs="Times New Roman"/>
          <w:b/>
          <w:bCs/>
          <w:sz w:val="20"/>
          <w:szCs w:val="20"/>
          <w:vertAlign w:val="superscript"/>
        </w:rPr>
        <w:t>*</w:t>
      </w:r>
      <w:r>
        <w:rPr>
          <w:rFonts w:ascii="Times New Roman" w:hAnsi="Times New Roman" w:eastAsia="宋体" w:cs="Times New Roman"/>
          <w:b/>
          <w:bCs/>
          <w:sz w:val="20"/>
          <w:szCs w:val="20"/>
        </w:rPr>
        <w:t xml:space="preserve"> Correspondence:</w:t>
      </w:r>
      <w:r>
        <w:rPr>
          <w:rFonts w:ascii="Times New Roman" w:hAnsi="Times New Roman" w:eastAsia="宋体" w:cs="Times New Roman"/>
          <w:sz w:val="20"/>
          <w:szCs w:val="20"/>
        </w:rPr>
        <w:t xml:space="preserve"> </w:t>
      </w:r>
    </w:p>
    <w:p>
      <w:pPr>
        <w:spacing w:line="480" w:lineRule="auto"/>
        <w:rPr>
          <w:rFonts w:ascii="Times New Roman" w:hAnsi="Times New Roman" w:eastAsia="宋体" w:cs="Times New Roman"/>
          <w:sz w:val="20"/>
          <w:szCs w:val="20"/>
        </w:rPr>
      </w:pPr>
      <w:r>
        <w:rPr>
          <w:rFonts w:ascii="Times New Roman" w:hAnsi="Times New Roman" w:eastAsia="宋体" w:cs="Times New Roman"/>
          <w:sz w:val="20"/>
          <w:szCs w:val="20"/>
        </w:rPr>
        <w:t xml:space="preserve">Kaifeng Qiu: </w:t>
      </w:r>
      <w:r>
        <w:fldChar w:fldCharType="begin"/>
      </w:r>
      <w:r>
        <w:instrText xml:space="preserve"> HYPERLINK "mailto:Qiukf@mail.sysu.edu.cn" </w:instrText>
      </w:r>
      <w:r>
        <w:fldChar w:fldCharType="separate"/>
      </w:r>
      <w:r>
        <w:rPr>
          <w:rStyle w:val="6"/>
          <w:rFonts w:ascii="Times New Roman" w:hAnsi="Times New Roman" w:eastAsia="宋体" w:cs="Times New Roman"/>
          <w:color w:val="auto"/>
          <w:sz w:val="20"/>
          <w:szCs w:val="20"/>
        </w:rPr>
        <w:t>Qiukf@mail.sysu.edu.cn</w:t>
      </w:r>
      <w:r>
        <w:rPr>
          <w:rStyle w:val="6"/>
          <w:rFonts w:ascii="Times New Roman" w:hAnsi="Times New Roman" w:eastAsia="宋体" w:cs="Times New Roman"/>
          <w:color w:val="auto"/>
          <w:sz w:val="20"/>
          <w:szCs w:val="20"/>
        </w:rPr>
        <w:fldChar w:fldCharType="end"/>
      </w:r>
    </w:p>
    <w:p>
      <w:pPr>
        <w:spacing w:line="480" w:lineRule="auto"/>
        <w:rPr>
          <w:rFonts w:ascii="Times New Roman" w:hAnsi="Times New Roman" w:eastAsia="宋体" w:cs="Times New Roman"/>
          <w:sz w:val="20"/>
          <w:szCs w:val="20"/>
        </w:rPr>
      </w:pPr>
      <w:r>
        <w:rPr>
          <w:rFonts w:ascii="Times New Roman" w:hAnsi="Times New Roman" w:eastAsia="宋体" w:cs="Times New Roman"/>
          <w:sz w:val="20"/>
          <w:szCs w:val="20"/>
          <w:vertAlign w:val="superscript"/>
        </w:rPr>
        <w:t>#</w:t>
      </w:r>
      <w:r>
        <w:rPr>
          <w:rFonts w:ascii="Times New Roman" w:hAnsi="Times New Roman" w:eastAsia="宋体" w:cs="Times New Roman"/>
          <w:sz w:val="20"/>
          <w:szCs w:val="20"/>
        </w:rPr>
        <w:t xml:space="preserve"> These authors have contributed equally to this work and share first authorship.</w:t>
      </w:r>
    </w:p>
    <w:p/>
    <w:p>
      <w:pPr>
        <w:pStyle w:val="2"/>
        <w:keepNext/>
        <w:spacing w:line="480" w:lineRule="auto"/>
        <w:jc w:val="left"/>
        <w:rPr>
          <w:rFonts w:ascii="Times New Roman" w:hAnsi="Times New Roman" w:cs="Times New Roman"/>
          <w:b/>
          <w:bCs/>
        </w:rPr>
      </w:pPr>
      <w:r>
        <w:rPr>
          <w:rFonts w:hint="eastAsia" w:ascii="Times New Roman" w:hAnsi="Times New Roman" w:cs="Times New Roman"/>
          <w:b/>
          <w:bCs/>
        </w:rPr>
        <w:t>Appendix</w:t>
      </w:r>
      <w:r>
        <w:rPr>
          <w:rFonts w:hint="eastAsia" w:ascii="Times New Roman" w:hAnsi="Times New Roman" w:cs="Times New Roman"/>
          <w:b/>
          <w:bCs/>
          <w:lang w:val="en-US" w:eastAsia="zh-CN"/>
        </w:rPr>
        <w:t xml:space="preserve"> M</w:t>
      </w:r>
      <w:r>
        <w:rPr>
          <w:rFonts w:ascii="Times New Roman" w:hAnsi="Times New Roman" w:cs="Times New Roman"/>
          <w:b/>
          <w:bCs/>
        </w:rPr>
        <w:t>ethods</w:t>
      </w:r>
    </w:p>
    <w:p>
      <w:pPr>
        <w:spacing w:line="480" w:lineRule="auto"/>
        <w:rPr>
          <w:rFonts w:ascii="Times New Roman" w:hAnsi="Times New Roman" w:eastAsia="宋体" w:cs="Times New Roman"/>
          <w:sz w:val="20"/>
          <w:szCs w:val="20"/>
        </w:rPr>
      </w:pPr>
      <w:r>
        <w:rPr>
          <w:rFonts w:ascii="Times New Roman" w:hAnsi="Times New Roman" w:eastAsia="宋体" w:cs="Times New Roman"/>
          <w:b/>
          <w:bCs/>
          <w:sz w:val="20"/>
          <w:szCs w:val="20"/>
        </w:rPr>
        <w:t>Search Strategy</w:t>
      </w:r>
    </w:p>
    <w:p>
      <w:pPr>
        <w:spacing w:line="480" w:lineRule="auto"/>
        <w:rPr>
          <w:rFonts w:ascii="Times New Roman" w:hAnsi="Times New Roman" w:eastAsia="宋体" w:cs="Times New Roman"/>
          <w:sz w:val="20"/>
          <w:szCs w:val="20"/>
        </w:rPr>
      </w:pPr>
      <w:r>
        <w:rPr>
          <w:rFonts w:ascii="Times New Roman" w:hAnsi="Times New Roman" w:eastAsia="宋体" w:cs="Times New Roman"/>
          <w:sz w:val="20"/>
          <w:szCs w:val="20"/>
        </w:rPr>
        <w:t xml:space="preserve">We systematically employed computerized methods to search PubMed, Embase, Cochrane Library, and Web of Science for articles relevant to "immune checkpoint inhibitors", "esophageal squamous cell carcinoma" and "clinical trial". The search covered the period from the establishment of databases until September 2023. Additionally, we conducted a retrospective analysis of conference abstracts from pivotal oncology associations, specifically the American Society of Clinical Oncology (ASCO), the European Society of Medical Oncology (ESMO), and the American Association for Cancer Research (AACR). </w:t>
      </w:r>
    </w:p>
    <w:p>
      <w:pPr>
        <w:spacing w:line="480" w:lineRule="auto"/>
        <w:rPr>
          <w:rFonts w:ascii="Times New Roman" w:hAnsi="Times New Roman" w:eastAsia="宋体" w:cs="Times New Roman"/>
          <w:b/>
          <w:bCs/>
          <w:sz w:val="20"/>
          <w:szCs w:val="20"/>
        </w:rPr>
      </w:pPr>
      <w:r>
        <w:rPr>
          <w:rFonts w:ascii="Times New Roman" w:hAnsi="Times New Roman" w:eastAsia="宋体" w:cs="Times New Roman"/>
          <w:b/>
          <w:bCs/>
          <w:sz w:val="20"/>
          <w:szCs w:val="20"/>
        </w:rPr>
        <w:t>Inclusion and Exclusion Criteria</w:t>
      </w:r>
    </w:p>
    <w:p>
      <w:pPr>
        <w:spacing w:line="480" w:lineRule="auto"/>
        <w:rPr>
          <w:rFonts w:ascii="Times New Roman" w:hAnsi="Times New Roman" w:eastAsia="宋体" w:cs="Times New Roman"/>
          <w:sz w:val="20"/>
          <w:szCs w:val="20"/>
        </w:rPr>
      </w:pPr>
      <w:r>
        <w:rPr>
          <w:rFonts w:ascii="Times New Roman" w:hAnsi="Times New Roman" w:eastAsia="宋体" w:cs="Times New Roman"/>
          <w:sz w:val="20"/>
          <w:szCs w:val="20"/>
        </w:rPr>
        <w:t>Included studies must meet the following inclusion criteria: (1)Population: Patients with histologically or cytologically confirmed unresectable advanced, recurrent, or metastatic esophageal squamous cell carcinoma (ESCC). (2)Intervention: The experimental group should receive immune checkpoint inhibitors (ICIs) in combination with chemotherapy, while the control group receives chemotherapy alone. (3)Outcomes: The studies must include at least overall survival (OS) and progression-free survival (PFS) as efficacy indicators. (4)Study Type: Phase III randomized controlled trials.</w:t>
      </w:r>
    </w:p>
    <w:p>
      <w:pPr>
        <w:spacing w:line="480" w:lineRule="auto"/>
        <w:rPr>
          <w:rFonts w:ascii="Times New Roman" w:hAnsi="Times New Roman" w:eastAsia="宋体" w:cs="Times New Roman"/>
          <w:sz w:val="20"/>
          <w:szCs w:val="20"/>
        </w:rPr>
      </w:pPr>
      <w:r>
        <w:rPr>
          <w:rFonts w:ascii="Times New Roman" w:hAnsi="Times New Roman" w:eastAsia="宋体" w:cs="Times New Roman"/>
          <w:sz w:val="20"/>
          <w:szCs w:val="20"/>
        </w:rPr>
        <w:t>Exclusion criteria were as follows: (1)Duplicate publications. (2)Clinical trials that do not pertain to first-line treatment. (3)Incomplete or inaccessible literature, including ongoing trials or those with incomplete data.</w:t>
      </w:r>
    </w:p>
    <w:p>
      <w:pPr>
        <w:spacing w:line="480" w:lineRule="auto"/>
        <w:rPr>
          <w:rFonts w:ascii="Times New Roman" w:hAnsi="Times New Roman" w:eastAsia="宋体" w:cs="Times New Roman"/>
          <w:sz w:val="20"/>
          <w:szCs w:val="20"/>
        </w:rPr>
      </w:pPr>
      <w:r>
        <w:rPr>
          <w:rFonts w:ascii="Times New Roman" w:hAnsi="Times New Roman" w:eastAsia="宋体" w:cs="Times New Roman"/>
          <w:b/>
          <w:bCs/>
          <w:sz w:val="20"/>
          <w:szCs w:val="20"/>
        </w:rPr>
        <w:t>Literature screening, data extraction and quality assessment</w:t>
      </w:r>
    </w:p>
    <w:p>
      <w:pPr>
        <w:spacing w:line="480" w:lineRule="auto"/>
        <w:rPr>
          <w:rFonts w:ascii="Times New Roman" w:hAnsi="Times New Roman" w:eastAsia="宋体" w:cs="Times New Roman"/>
          <w:sz w:val="20"/>
          <w:szCs w:val="20"/>
        </w:rPr>
      </w:pPr>
      <w:r>
        <w:rPr>
          <w:rFonts w:ascii="Times New Roman" w:hAnsi="Times New Roman" w:eastAsia="宋体" w:cs="Times New Roman"/>
          <w:sz w:val="20"/>
          <w:szCs w:val="20"/>
        </w:rPr>
        <w:t>Two authors independently conducted literature screening, data extraction, and quality assessment. The primary information extracted includes the study names, intervention strategies, sample size, characteristics of enrolled patients, OS, PFS, and treatment-related adverse events(TrAEs). The Cochrane Risk of Bias 2.0 (RoB2.0) tool was used to categorize the overall bias risk of the included literature as low risk, with some concerns, or high risk.</w:t>
      </w:r>
    </w:p>
    <w:p>
      <w:pPr>
        <w:rPr>
          <w:rFonts w:ascii="Times New Roman" w:hAnsi="Times New Roman" w:eastAsia="宋体" w:cs="Times New Roman"/>
          <w:szCs w:val="21"/>
        </w:rPr>
      </w:pPr>
    </w:p>
    <w:p>
      <w:pPr>
        <w:spacing w:line="480" w:lineRule="auto"/>
        <w:rPr>
          <w:rFonts w:ascii="Times New Roman" w:hAnsi="Times New Roman" w:eastAsia="宋体" w:cs="Times New Roman"/>
          <w:b/>
          <w:bCs/>
          <w:sz w:val="20"/>
          <w:szCs w:val="20"/>
        </w:rPr>
      </w:pPr>
      <w:r>
        <w:rPr>
          <w:rFonts w:hint="eastAsia" w:ascii="Times New Roman" w:hAnsi="Times New Roman" w:eastAsia="宋体" w:cs="Times New Roman"/>
          <w:b/>
          <w:bCs/>
          <w:sz w:val="20"/>
          <w:szCs w:val="20"/>
        </w:rPr>
        <w:t>Table</w:t>
      </w:r>
    </w:p>
    <w:p>
      <w:pPr>
        <w:pStyle w:val="2"/>
        <w:keepNext/>
        <w:spacing w:line="480" w:lineRule="auto"/>
        <w:jc w:val="left"/>
        <w:rPr>
          <w:rFonts w:ascii="Times New Roman" w:hAnsi="Times New Roman" w:cs="Times New Roman"/>
          <w:sz w:val="20"/>
          <w:szCs w:val="20"/>
        </w:rPr>
      </w:pPr>
      <w:r>
        <w:rPr>
          <w:rFonts w:ascii="Times New Roman" w:hAnsi="Times New Roman" w:cs="Times New Roman"/>
          <w:b/>
          <w:bCs/>
          <w:sz w:val="20"/>
          <w:szCs w:val="20"/>
        </w:rPr>
        <w:t xml:space="preserve">Table </w:t>
      </w:r>
      <w:r>
        <w:rPr>
          <w:rFonts w:hint="eastAsia" w:ascii="Times New Roman" w:hAnsi="Times New Roman" w:cs="Times New Roman"/>
          <w:b/>
          <w:bCs/>
          <w:sz w:val="20"/>
          <w:szCs w:val="20"/>
          <w:lang w:val="en-US" w:eastAsia="zh-CN"/>
        </w:rPr>
        <w:t>A</w:t>
      </w:r>
      <w:r>
        <w:rPr>
          <w:rFonts w:ascii="Times New Roman" w:hAnsi="Times New Roman" w:cs="Times New Roman"/>
          <w:b/>
          <w:bCs/>
          <w:sz w:val="20"/>
          <w:szCs w:val="20"/>
        </w:rPr>
        <w:t>1</w:t>
      </w:r>
      <w:r>
        <w:rPr>
          <w:rFonts w:ascii="Times New Roman" w:hAnsi="Times New Roman" w:cs="Times New Roman"/>
          <w:sz w:val="20"/>
          <w:szCs w:val="20"/>
        </w:rPr>
        <w:t xml:space="preserve"> Treatment regimen and dosage administration</w:t>
      </w:r>
    </w:p>
    <w:tbl>
      <w:tblPr>
        <w:tblStyle w:val="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8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6" w:type="pct"/>
            <w:tcBorders>
              <w:top w:val="single" w:color="000000" w:sz="8" w:space="0"/>
              <w:left w:val="nil"/>
              <w:bottom w:val="single" w:color="000000" w:sz="8" w:space="0"/>
              <w:right w:val="nil"/>
            </w:tcBorders>
            <w:vAlign w:val="center"/>
          </w:tcPr>
          <w:p>
            <w:pPr>
              <w:ind w:firstLine="36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Number</w:t>
            </w:r>
          </w:p>
        </w:tc>
        <w:tc>
          <w:tcPr>
            <w:tcW w:w="4413" w:type="pct"/>
            <w:tcBorders>
              <w:top w:val="single" w:color="000000" w:sz="8" w:space="0"/>
              <w:left w:val="nil"/>
              <w:bottom w:val="single" w:color="000000" w:sz="8" w:space="0"/>
              <w:right w:val="nil"/>
            </w:tcBorders>
            <w:vAlign w:val="center"/>
          </w:tcPr>
          <w:p>
            <w:pPr>
              <w:ind w:firstLine="360"/>
              <w:jc w:val="center"/>
              <w:rPr>
                <w:rFonts w:ascii="Times New Roman" w:hAnsi="Times New Roman" w:eastAsia="Times New Roman" w:cs="Times New Roman"/>
                <w:kern w:val="0"/>
                <w:sz w:val="16"/>
                <w:szCs w:val="16"/>
              </w:rPr>
            </w:pPr>
            <w:r>
              <w:rPr>
                <w:rFonts w:ascii="Times New Roman" w:hAnsi="Times New Roman" w:cs="Times New Roman"/>
                <w:sz w:val="16"/>
                <w:szCs w:val="16"/>
              </w:rPr>
              <w:t>Treatment regimen and dosage administration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6" w:type="pct"/>
            <w:tcBorders>
              <w:top w:val="single" w:color="000000" w:sz="8" w:space="0"/>
              <w:left w:val="nil"/>
              <w:bottom w:val="nil"/>
              <w:right w:val="nil"/>
            </w:tcBorders>
            <w:vAlign w:val="center"/>
          </w:tcPr>
          <w:p>
            <w:pPr>
              <w:jc w:val="center"/>
              <w:rPr>
                <w:rFonts w:ascii="Times New Roman" w:hAnsi="Times New Roman" w:eastAsia="Times New Roman" w:cs="Times New Roman"/>
                <w:kern w:val="0"/>
                <w:sz w:val="16"/>
                <w:szCs w:val="16"/>
              </w:rPr>
            </w:pPr>
            <w:r>
              <w:rPr>
                <w:rFonts w:ascii="Times New Roman" w:hAnsi="Times New Roman" w:eastAsia="Times New Roman" w:cs="Times New Roman"/>
                <w:kern w:val="0"/>
                <w:sz w:val="16"/>
                <w:szCs w:val="16"/>
              </w:rPr>
              <w:t>1</w:t>
            </w:r>
          </w:p>
        </w:tc>
        <w:tc>
          <w:tcPr>
            <w:tcW w:w="4413" w:type="pct"/>
            <w:tcBorders>
              <w:top w:val="single" w:color="000000" w:sz="8" w:space="0"/>
              <w:left w:val="nil"/>
              <w:bottom w:val="nil"/>
              <w:right w:val="nil"/>
            </w:tcBorders>
            <w:vAlign w:val="center"/>
          </w:tcPr>
          <w:p>
            <w:pPr>
              <w:ind w:firstLine="360"/>
              <w:jc w:val="center"/>
              <w:rPr>
                <w:rFonts w:ascii="Times New Roman" w:hAnsi="Times New Roman" w:eastAsia="Times New Roman" w:cs="Times New Roman"/>
                <w:kern w:val="0"/>
                <w:sz w:val="16"/>
                <w:szCs w:val="16"/>
              </w:rPr>
            </w:pPr>
            <w:r>
              <w:rPr>
                <w:rFonts w:ascii="Times New Roman" w:hAnsi="Times New Roman" w:eastAsia="宋体" w:cs="Times New Roman"/>
                <w:kern w:val="0"/>
                <w:sz w:val="16"/>
                <w:szCs w:val="16"/>
              </w:rPr>
              <w:t xml:space="preserve">Cisplatin </w:t>
            </w:r>
            <w:r>
              <w:rPr>
                <w:rFonts w:ascii="Times New Roman" w:hAnsi="Times New Roman" w:eastAsia="Times New Roman" w:cs="Times New Roman"/>
                <w:kern w:val="0"/>
                <w:sz w:val="16"/>
                <w:szCs w:val="16"/>
              </w:rPr>
              <w:t>75mg/m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q3w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Paclitaxel </w:t>
            </w:r>
            <w:r>
              <w:rPr>
                <w:rFonts w:ascii="Times New Roman" w:hAnsi="Times New Roman" w:eastAsia="Times New Roman" w:cs="Times New Roman"/>
                <w:kern w:val="0"/>
                <w:sz w:val="16"/>
                <w:szCs w:val="16"/>
              </w:rPr>
              <w:t>175mg/m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q3w</w:t>
            </w:r>
            <w:r>
              <w:rPr>
                <w:rFonts w:ascii="Times New Roman" w:hAnsi="Times New Roman" w:eastAsia="宋体" w:cs="Times New Roman"/>
                <w:kern w:val="0"/>
                <w:sz w:val="16"/>
                <w:szCs w:val="16"/>
              </w:rPr>
              <w:t xml:space="preserve"> or F</w:t>
            </w:r>
            <w:r>
              <w:rPr>
                <w:rFonts w:ascii="Times New Roman" w:hAnsi="Times New Roman" w:eastAsia="Times New Roman" w:cs="Times New Roman"/>
                <w:kern w:val="0"/>
                <w:sz w:val="16"/>
                <w:szCs w:val="16"/>
              </w:rPr>
              <w:t>luorouracil</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800mg/m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d1-d5 q3w, ivgtt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6" w:type="pct"/>
            <w:tcBorders>
              <w:top w:val="nil"/>
              <w:left w:val="nil"/>
              <w:bottom w:val="nil"/>
              <w:right w:val="nil"/>
            </w:tcBorders>
            <w:vAlign w:val="center"/>
          </w:tcPr>
          <w:p>
            <w:pPr>
              <w:jc w:val="center"/>
              <w:rPr>
                <w:rFonts w:ascii="Times New Roman" w:hAnsi="Times New Roman" w:eastAsia="Times New Roman" w:cs="Times New Roman"/>
                <w:kern w:val="0"/>
                <w:sz w:val="16"/>
                <w:szCs w:val="16"/>
              </w:rPr>
            </w:pPr>
            <w:r>
              <w:rPr>
                <w:rFonts w:ascii="Times New Roman" w:hAnsi="Times New Roman" w:eastAsia="Times New Roman" w:cs="Times New Roman"/>
                <w:kern w:val="0"/>
                <w:sz w:val="16"/>
                <w:szCs w:val="16"/>
              </w:rPr>
              <w:t>2</w:t>
            </w:r>
          </w:p>
        </w:tc>
        <w:tc>
          <w:tcPr>
            <w:tcW w:w="4413" w:type="pct"/>
            <w:tcBorders>
              <w:top w:val="nil"/>
              <w:left w:val="nil"/>
              <w:bottom w:val="nil"/>
              <w:right w:val="nil"/>
            </w:tcBorders>
            <w:vAlign w:val="center"/>
          </w:tcPr>
          <w:p>
            <w:pPr>
              <w:ind w:firstLine="360"/>
              <w:jc w:val="center"/>
              <w:rPr>
                <w:rFonts w:ascii="Times New Roman" w:hAnsi="Times New Roman" w:eastAsia="Times New Roman" w:cs="Times New Roman"/>
                <w:kern w:val="0"/>
                <w:sz w:val="16"/>
                <w:szCs w:val="16"/>
              </w:rPr>
            </w:pPr>
            <w:r>
              <w:rPr>
                <w:rFonts w:ascii="Times New Roman" w:hAnsi="Times New Roman" w:eastAsia="宋体" w:cs="Times New Roman"/>
                <w:kern w:val="0"/>
                <w:sz w:val="16"/>
                <w:szCs w:val="16"/>
              </w:rPr>
              <w:t xml:space="preserve">Camrelizumab </w:t>
            </w:r>
            <w:r>
              <w:rPr>
                <w:rFonts w:ascii="Times New Roman" w:hAnsi="Times New Roman" w:eastAsia="Times New Roman" w:cs="Times New Roman"/>
                <w:kern w:val="0"/>
                <w:sz w:val="16"/>
                <w:szCs w:val="16"/>
              </w:rPr>
              <w:t>200mg q3w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Cisplatin </w:t>
            </w:r>
            <w:r>
              <w:rPr>
                <w:rFonts w:ascii="Times New Roman" w:hAnsi="Times New Roman" w:eastAsia="Times New Roman" w:cs="Times New Roman"/>
                <w:kern w:val="0"/>
                <w:sz w:val="16"/>
                <w:szCs w:val="16"/>
              </w:rPr>
              <w:t>75mg/m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q3w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Paclitaxel </w:t>
            </w:r>
            <w:r>
              <w:rPr>
                <w:rFonts w:ascii="Times New Roman" w:hAnsi="Times New Roman" w:eastAsia="Times New Roman" w:cs="Times New Roman"/>
                <w:kern w:val="0"/>
                <w:sz w:val="16"/>
                <w:szCs w:val="16"/>
              </w:rPr>
              <w:t>175mg/m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q3w, ivgtt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6" w:type="pct"/>
            <w:tcBorders>
              <w:top w:val="nil"/>
              <w:left w:val="nil"/>
              <w:bottom w:val="nil"/>
              <w:right w:val="nil"/>
            </w:tcBorders>
            <w:vAlign w:val="center"/>
          </w:tcPr>
          <w:p>
            <w:pPr>
              <w:jc w:val="center"/>
              <w:rPr>
                <w:rFonts w:ascii="Times New Roman" w:hAnsi="Times New Roman" w:eastAsia="Times New Roman" w:cs="Times New Roman"/>
                <w:kern w:val="0"/>
                <w:sz w:val="16"/>
                <w:szCs w:val="16"/>
              </w:rPr>
            </w:pPr>
            <w:r>
              <w:rPr>
                <w:rFonts w:ascii="Times New Roman" w:hAnsi="Times New Roman" w:eastAsia="Times New Roman" w:cs="Times New Roman"/>
                <w:kern w:val="0"/>
                <w:sz w:val="16"/>
                <w:szCs w:val="16"/>
              </w:rPr>
              <w:t>3</w:t>
            </w:r>
          </w:p>
        </w:tc>
        <w:tc>
          <w:tcPr>
            <w:tcW w:w="4413" w:type="pct"/>
            <w:tcBorders>
              <w:top w:val="nil"/>
              <w:left w:val="nil"/>
              <w:bottom w:val="nil"/>
              <w:right w:val="nil"/>
            </w:tcBorders>
            <w:vAlign w:val="center"/>
          </w:tcPr>
          <w:p>
            <w:pPr>
              <w:ind w:firstLine="360"/>
              <w:jc w:val="center"/>
              <w:rPr>
                <w:rFonts w:ascii="Times New Roman" w:hAnsi="Times New Roman" w:eastAsia="Times New Roman" w:cs="Times New Roman"/>
                <w:kern w:val="0"/>
                <w:sz w:val="16"/>
                <w:szCs w:val="16"/>
              </w:rPr>
            </w:pPr>
            <w:r>
              <w:rPr>
                <w:rFonts w:ascii="Times New Roman" w:hAnsi="Times New Roman" w:eastAsia="宋体" w:cs="Times New Roman"/>
                <w:kern w:val="0"/>
                <w:sz w:val="16"/>
                <w:szCs w:val="16"/>
              </w:rPr>
              <w:t xml:space="preserve">Nivolumab </w:t>
            </w:r>
            <w:r>
              <w:rPr>
                <w:rFonts w:ascii="Times New Roman" w:hAnsi="Times New Roman" w:eastAsia="Times New Roman" w:cs="Times New Roman"/>
                <w:kern w:val="0"/>
                <w:sz w:val="16"/>
                <w:szCs w:val="16"/>
              </w:rPr>
              <w:t>240mg q2w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Cisplatin </w:t>
            </w:r>
            <w:r>
              <w:rPr>
                <w:rFonts w:ascii="Times New Roman" w:hAnsi="Times New Roman" w:eastAsia="Times New Roman" w:cs="Times New Roman"/>
                <w:kern w:val="0"/>
                <w:sz w:val="16"/>
                <w:szCs w:val="16"/>
              </w:rPr>
              <w:t>80mg/m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q4w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F</w:t>
            </w:r>
            <w:r>
              <w:rPr>
                <w:rFonts w:ascii="Times New Roman" w:hAnsi="Times New Roman" w:eastAsia="Times New Roman" w:cs="Times New Roman"/>
                <w:kern w:val="0"/>
                <w:sz w:val="16"/>
                <w:szCs w:val="16"/>
              </w:rPr>
              <w:t>luorouracil</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800mg/m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d1-d5 q4w, ivgtt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6" w:type="pct"/>
            <w:tcBorders>
              <w:top w:val="nil"/>
              <w:left w:val="nil"/>
              <w:bottom w:val="nil"/>
              <w:right w:val="nil"/>
            </w:tcBorders>
            <w:vAlign w:val="center"/>
          </w:tcPr>
          <w:p>
            <w:pPr>
              <w:jc w:val="center"/>
              <w:rPr>
                <w:rFonts w:ascii="Times New Roman" w:hAnsi="Times New Roman" w:eastAsia="Times New Roman" w:cs="Times New Roman"/>
                <w:kern w:val="0"/>
                <w:sz w:val="16"/>
                <w:szCs w:val="16"/>
              </w:rPr>
            </w:pPr>
            <w:r>
              <w:rPr>
                <w:rFonts w:ascii="Times New Roman" w:hAnsi="Times New Roman" w:eastAsia="Times New Roman" w:cs="Times New Roman"/>
                <w:kern w:val="0"/>
                <w:sz w:val="16"/>
                <w:szCs w:val="16"/>
              </w:rPr>
              <w:t>4</w:t>
            </w:r>
          </w:p>
        </w:tc>
        <w:tc>
          <w:tcPr>
            <w:tcW w:w="4413" w:type="pct"/>
            <w:tcBorders>
              <w:top w:val="nil"/>
              <w:left w:val="nil"/>
              <w:bottom w:val="nil"/>
              <w:right w:val="nil"/>
            </w:tcBorders>
            <w:vAlign w:val="center"/>
          </w:tcPr>
          <w:p>
            <w:pPr>
              <w:ind w:firstLine="360"/>
              <w:jc w:val="center"/>
              <w:rPr>
                <w:rFonts w:ascii="Times New Roman" w:hAnsi="Times New Roman" w:eastAsia="Times New Roman" w:cs="Times New Roman"/>
                <w:kern w:val="0"/>
                <w:sz w:val="16"/>
                <w:szCs w:val="16"/>
              </w:rPr>
            </w:pPr>
            <w:r>
              <w:rPr>
                <w:rFonts w:ascii="Times New Roman" w:hAnsi="Times New Roman" w:eastAsia="宋体" w:cs="Times New Roman"/>
                <w:kern w:val="0"/>
                <w:sz w:val="16"/>
                <w:szCs w:val="16"/>
              </w:rPr>
              <w:t xml:space="preserve">Pembrolizumab </w:t>
            </w:r>
            <w:r>
              <w:rPr>
                <w:rFonts w:ascii="Times New Roman" w:hAnsi="Times New Roman" w:eastAsia="Times New Roman" w:cs="Times New Roman"/>
                <w:kern w:val="0"/>
                <w:sz w:val="16"/>
                <w:szCs w:val="16"/>
              </w:rPr>
              <w:t>200mg q3w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Cisplatin </w:t>
            </w:r>
            <w:r>
              <w:rPr>
                <w:rFonts w:ascii="Times New Roman" w:hAnsi="Times New Roman" w:eastAsia="Times New Roman" w:cs="Times New Roman"/>
                <w:kern w:val="0"/>
                <w:sz w:val="16"/>
                <w:szCs w:val="16"/>
              </w:rPr>
              <w:t>80mg/m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q3w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F</w:t>
            </w:r>
            <w:r>
              <w:rPr>
                <w:rFonts w:ascii="Times New Roman" w:hAnsi="Times New Roman" w:eastAsia="Times New Roman" w:cs="Times New Roman"/>
                <w:kern w:val="0"/>
                <w:sz w:val="16"/>
                <w:szCs w:val="16"/>
              </w:rPr>
              <w:t>luorouracil</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800mg/m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d1-d5 q3w, ivgtt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6" w:type="pct"/>
            <w:tcBorders>
              <w:top w:val="nil"/>
              <w:left w:val="nil"/>
              <w:bottom w:val="nil"/>
              <w:right w:val="nil"/>
            </w:tcBorders>
            <w:vAlign w:val="center"/>
          </w:tcPr>
          <w:p>
            <w:pPr>
              <w:jc w:val="center"/>
              <w:rPr>
                <w:rFonts w:ascii="Times New Roman" w:hAnsi="Times New Roman" w:eastAsia="Times New Roman" w:cs="Times New Roman"/>
                <w:kern w:val="0"/>
                <w:sz w:val="16"/>
                <w:szCs w:val="16"/>
              </w:rPr>
            </w:pPr>
            <w:r>
              <w:rPr>
                <w:rFonts w:ascii="Times New Roman" w:hAnsi="Times New Roman" w:eastAsia="Times New Roman" w:cs="Times New Roman"/>
                <w:kern w:val="0"/>
                <w:sz w:val="16"/>
                <w:szCs w:val="16"/>
              </w:rPr>
              <w:t>5</w:t>
            </w:r>
          </w:p>
        </w:tc>
        <w:tc>
          <w:tcPr>
            <w:tcW w:w="4413" w:type="pct"/>
            <w:tcBorders>
              <w:top w:val="nil"/>
              <w:left w:val="nil"/>
              <w:bottom w:val="nil"/>
              <w:right w:val="nil"/>
            </w:tcBorders>
            <w:vAlign w:val="center"/>
          </w:tcPr>
          <w:p>
            <w:pPr>
              <w:ind w:firstLine="360"/>
              <w:jc w:val="center"/>
              <w:rPr>
                <w:rFonts w:ascii="Times New Roman" w:hAnsi="Times New Roman" w:eastAsia="Times New Roman" w:cs="Times New Roman"/>
                <w:kern w:val="0"/>
                <w:sz w:val="16"/>
                <w:szCs w:val="16"/>
              </w:rPr>
            </w:pPr>
            <w:r>
              <w:rPr>
                <w:rFonts w:ascii="Times New Roman" w:hAnsi="Times New Roman" w:eastAsia="宋体" w:cs="Times New Roman"/>
                <w:kern w:val="0"/>
                <w:sz w:val="16"/>
                <w:szCs w:val="16"/>
              </w:rPr>
              <w:t xml:space="preserve">Serplulimab </w:t>
            </w:r>
            <w:r>
              <w:rPr>
                <w:rFonts w:ascii="Times New Roman" w:hAnsi="Times New Roman" w:eastAsia="Times New Roman" w:cs="Times New Roman"/>
                <w:kern w:val="0"/>
                <w:sz w:val="16"/>
                <w:szCs w:val="16"/>
              </w:rPr>
              <w:t>3mg/kg q2w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Cisplatin </w:t>
            </w:r>
            <w:r>
              <w:rPr>
                <w:rFonts w:ascii="Times New Roman" w:hAnsi="Times New Roman" w:eastAsia="Times New Roman" w:cs="Times New Roman"/>
                <w:kern w:val="0"/>
                <w:sz w:val="16"/>
                <w:szCs w:val="16"/>
              </w:rPr>
              <w:t>50mg/m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q2w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F</w:t>
            </w:r>
            <w:r>
              <w:rPr>
                <w:rFonts w:ascii="Times New Roman" w:hAnsi="Times New Roman" w:eastAsia="Times New Roman" w:cs="Times New Roman"/>
                <w:kern w:val="0"/>
                <w:sz w:val="16"/>
                <w:szCs w:val="16"/>
              </w:rPr>
              <w:t>luorouracil</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1</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200mg/m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d1-d2 q2w, ivgtt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6" w:type="pct"/>
            <w:tcBorders>
              <w:top w:val="nil"/>
              <w:left w:val="nil"/>
              <w:bottom w:val="nil"/>
              <w:right w:val="nil"/>
            </w:tcBorders>
            <w:vAlign w:val="center"/>
          </w:tcPr>
          <w:p>
            <w:pPr>
              <w:jc w:val="center"/>
              <w:rPr>
                <w:rFonts w:ascii="Times New Roman" w:hAnsi="Times New Roman" w:eastAsia="Times New Roman" w:cs="Times New Roman"/>
                <w:kern w:val="0"/>
                <w:sz w:val="16"/>
                <w:szCs w:val="16"/>
              </w:rPr>
            </w:pPr>
            <w:r>
              <w:rPr>
                <w:rFonts w:ascii="Times New Roman" w:hAnsi="Times New Roman" w:eastAsia="Times New Roman" w:cs="Times New Roman"/>
                <w:kern w:val="0"/>
                <w:sz w:val="16"/>
                <w:szCs w:val="16"/>
              </w:rPr>
              <w:t>6</w:t>
            </w:r>
          </w:p>
        </w:tc>
        <w:tc>
          <w:tcPr>
            <w:tcW w:w="4413" w:type="pct"/>
            <w:tcBorders>
              <w:top w:val="nil"/>
              <w:left w:val="nil"/>
              <w:bottom w:val="nil"/>
              <w:right w:val="nil"/>
            </w:tcBorders>
            <w:vAlign w:val="center"/>
          </w:tcPr>
          <w:p>
            <w:pPr>
              <w:ind w:firstLine="360"/>
              <w:jc w:val="center"/>
              <w:rPr>
                <w:rFonts w:ascii="Times New Roman" w:hAnsi="Times New Roman" w:eastAsia="Times New Roman" w:cs="Times New Roman"/>
                <w:kern w:val="0"/>
                <w:sz w:val="16"/>
                <w:szCs w:val="16"/>
              </w:rPr>
            </w:pPr>
            <w:r>
              <w:rPr>
                <w:rFonts w:ascii="Times New Roman" w:hAnsi="Times New Roman" w:eastAsia="宋体" w:cs="Times New Roman"/>
                <w:kern w:val="0"/>
                <w:sz w:val="16"/>
                <w:szCs w:val="16"/>
              </w:rPr>
              <w:t xml:space="preserve">Sintilimab </w:t>
            </w:r>
            <w:r>
              <w:rPr>
                <w:rFonts w:ascii="Times New Roman" w:hAnsi="Times New Roman" w:eastAsia="Times New Roman" w:cs="Times New Roman"/>
                <w:kern w:val="0"/>
                <w:sz w:val="16"/>
                <w:szCs w:val="16"/>
              </w:rPr>
              <w:t>200mg q3w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Cisplatin </w:t>
            </w:r>
            <w:r>
              <w:rPr>
                <w:rFonts w:ascii="Times New Roman" w:hAnsi="Times New Roman" w:eastAsia="Times New Roman" w:cs="Times New Roman"/>
                <w:kern w:val="0"/>
                <w:sz w:val="16"/>
                <w:szCs w:val="16"/>
              </w:rPr>
              <w:t>75mg/m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q3w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Paclitaxel </w:t>
            </w:r>
            <w:r>
              <w:rPr>
                <w:rFonts w:ascii="Times New Roman" w:hAnsi="Times New Roman" w:eastAsia="Times New Roman" w:cs="Times New Roman"/>
                <w:kern w:val="0"/>
                <w:sz w:val="16"/>
                <w:szCs w:val="16"/>
              </w:rPr>
              <w:t>175mg/m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q3w</w:t>
            </w:r>
            <w:r>
              <w:rPr>
                <w:rFonts w:ascii="Times New Roman" w:hAnsi="Times New Roman" w:eastAsia="宋体" w:cs="Times New Roman"/>
                <w:kern w:val="0"/>
                <w:sz w:val="16"/>
                <w:szCs w:val="16"/>
              </w:rPr>
              <w:t xml:space="preserve"> or F</w:t>
            </w:r>
            <w:r>
              <w:rPr>
                <w:rFonts w:ascii="Times New Roman" w:hAnsi="Times New Roman" w:eastAsia="Times New Roman" w:cs="Times New Roman"/>
                <w:kern w:val="0"/>
                <w:sz w:val="16"/>
                <w:szCs w:val="16"/>
              </w:rPr>
              <w:t>luorouracil</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800mg/m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d1-d5 q3w, ivgtt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6" w:type="pct"/>
            <w:tcBorders>
              <w:top w:val="nil"/>
              <w:left w:val="nil"/>
              <w:bottom w:val="nil"/>
              <w:right w:val="nil"/>
            </w:tcBorders>
            <w:vAlign w:val="center"/>
          </w:tcPr>
          <w:p>
            <w:pPr>
              <w:jc w:val="center"/>
              <w:rPr>
                <w:rFonts w:ascii="Times New Roman" w:hAnsi="Times New Roman" w:eastAsia="Times New Roman" w:cs="Times New Roman"/>
                <w:kern w:val="0"/>
                <w:sz w:val="16"/>
                <w:szCs w:val="16"/>
              </w:rPr>
            </w:pPr>
            <w:r>
              <w:rPr>
                <w:rFonts w:ascii="Times New Roman" w:hAnsi="Times New Roman" w:eastAsia="Times New Roman" w:cs="Times New Roman"/>
                <w:kern w:val="0"/>
                <w:sz w:val="16"/>
                <w:szCs w:val="16"/>
              </w:rPr>
              <w:t>7</w:t>
            </w:r>
          </w:p>
        </w:tc>
        <w:tc>
          <w:tcPr>
            <w:tcW w:w="4413" w:type="pct"/>
            <w:tcBorders>
              <w:top w:val="nil"/>
              <w:left w:val="nil"/>
              <w:bottom w:val="nil"/>
              <w:right w:val="nil"/>
            </w:tcBorders>
            <w:vAlign w:val="center"/>
          </w:tcPr>
          <w:p>
            <w:pPr>
              <w:ind w:firstLine="360"/>
              <w:jc w:val="center"/>
              <w:rPr>
                <w:rFonts w:ascii="Times New Roman" w:hAnsi="Times New Roman" w:eastAsia="Times New Roman" w:cs="Times New Roman"/>
                <w:kern w:val="0"/>
                <w:sz w:val="16"/>
                <w:szCs w:val="16"/>
              </w:rPr>
            </w:pPr>
            <w:r>
              <w:rPr>
                <w:rFonts w:ascii="Times New Roman" w:hAnsi="Times New Roman" w:eastAsia="宋体" w:cs="Times New Roman"/>
                <w:kern w:val="0"/>
                <w:sz w:val="16"/>
                <w:szCs w:val="16"/>
              </w:rPr>
              <w:t xml:space="preserve">Tislelizumab </w:t>
            </w:r>
            <w:r>
              <w:rPr>
                <w:rFonts w:ascii="Times New Roman" w:hAnsi="Times New Roman" w:eastAsia="Times New Roman" w:cs="Times New Roman"/>
                <w:kern w:val="0"/>
                <w:sz w:val="16"/>
                <w:szCs w:val="16"/>
              </w:rPr>
              <w:t>200mg q3w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Cisplatin </w:t>
            </w:r>
            <w:r>
              <w:rPr>
                <w:rFonts w:ascii="Times New Roman" w:hAnsi="Times New Roman" w:eastAsia="Times New Roman" w:cs="Times New Roman"/>
                <w:kern w:val="0"/>
                <w:sz w:val="16"/>
                <w:szCs w:val="16"/>
              </w:rPr>
              <w:t>75mg/m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q3w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Paclitaxel </w:t>
            </w:r>
            <w:r>
              <w:rPr>
                <w:rFonts w:ascii="Times New Roman" w:hAnsi="Times New Roman" w:eastAsia="Times New Roman" w:cs="Times New Roman"/>
                <w:kern w:val="0"/>
                <w:sz w:val="16"/>
                <w:szCs w:val="16"/>
              </w:rPr>
              <w:t>175mg/m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q3w, ivgtt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86" w:type="pct"/>
            <w:tcBorders>
              <w:top w:val="nil"/>
              <w:left w:val="nil"/>
              <w:bottom w:val="single" w:color="000000" w:sz="8" w:space="0"/>
              <w:right w:val="nil"/>
            </w:tcBorders>
            <w:vAlign w:val="center"/>
          </w:tcPr>
          <w:p>
            <w:pPr>
              <w:jc w:val="center"/>
              <w:rPr>
                <w:rFonts w:ascii="Times New Roman" w:hAnsi="Times New Roman" w:eastAsia="Times New Roman" w:cs="Times New Roman"/>
                <w:kern w:val="0"/>
                <w:sz w:val="16"/>
                <w:szCs w:val="16"/>
              </w:rPr>
            </w:pPr>
            <w:r>
              <w:rPr>
                <w:rFonts w:ascii="Times New Roman" w:hAnsi="Times New Roman" w:eastAsia="Times New Roman" w:cs="Times New Roman"/>
                <w:kern w:val="0"/>
                <w:sz w:val="16"/>
                <w:szCs w:val="16"/>
              </w:rPr>
              <w:t>8</w:t>
            </w:r>
          </w:p>
        </w:tc>
        <w:tc>
          <w:tcPr>
            <w:tcW w:w="4413" w:type="pct"/>
            <w:tcBorders>
              <w:top w:val="nil"/>
              <w:left w:val="nil"/>
              <w:bottom w:val="single" w:color="000000" w:sz="8" w:space="0"/>
              <w:right w:val="nil"/>
            </w:tcBorders>
            <w:vAlign w:val="center"/>
          </w:tcPr>
          <w:p>
            <w:pPr>
              <w:keepNext/>
              <w:ind w:firstLine="360"/>
              <w:jc w:val="center"/>
              <w:rPr>
                <w:rFonts w:ascii="Times New Roman" w:hAnsi="Times New Roman" w:eastAsia="Times New Roman" w:cs="Times New Roman"/>
                <w:kern w:val="0"/>
                <w:sz w:val="16"/>
                <w:szCs w:val="16"/>
              </w:rPr>
            </w:pPr>
            <w:r>
              <w:rPr>
                <w:rFonts w:ascii="Times New Roman" w:hAnsi="Times New Roman" w:eastAsia="宋体" w:cs="Times New Roman"/>
                <w:kern w:val="0"/>
                <w:sz w:val="16"/>
                <w:szCs w:val="16"/>
              </w:rPr>
              <w:t xml:space="preserve">Toripalimab </w:t>
            </w:r>
            <w:r>
              <w:rPr>
                <w:rFonts w:ascii="Times New Roman" w:hAnsi="Times New Roman" w:eastAsia="Times New Roman" w:cs="Times New Roman"/>
                <w:kern w:val="0"/>
                <w:sz w:val="16"/>
                <w:szCs w:val="16"/>
              </w:rPr>
              <w:t>240mg q3w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Cisplatin </w:t>
            </w:r>
            <w:r>
              <w:rPr>
                <w:rFonts w:ascii="Times New Roman" w:hAnsi="Times New Roman" w:eastAsia="Times New Roman" w:cs="Times New Roman"/>
                <w:kern w:val="0"/>
                <w:sz w:val="16"/>
                <w:szCs w:val="16"/>
              </w:rPr>
              <w:t>75mg/m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q3w</w:t>
            </w:r>
            <w:r>
              <w:rPr>
                <w:rFonts w:ascii="Times New Roman" w:hAnsi="Times New Roman" w:eastAsia="宋体" w:cs="Times New Roman"/>
                <w:kern w:val="0"/>
                <w:sz w:val="16"/>
                <w:szCs w:val="16"/>
              </w:rPr>
              <w:t xml:space="preserve"> </w:t>
            </w:r>
            <w:r>
              <w:rPr>
                <w:rFonts w:ascii="Times New Roman" w:hAnsi="Times New Roman" w:eastAsia="Times New Roman" w:cs="Times New Roman"/>
                <w:kern w:val="0"/>
                <w:sz w:val="16"/>
                <w:szCs w:val="16"/>
              </w:rPr>
              <w:t>+</w:t>
            </w:r>
            <w:r>
              <w:rPr>
                <w:rFonts w:ascii="Times New Roman" w:hAnsi="Times New Roman" w:eastAsia="宋体" w:cs="Times New Roman"/>
                <w:kern w:val="0"/>
                <w:sz w:val="16"/>
                <w:szCs w:val="16"/>
              </w:rPr>
              <w:t xml:space="preserve"> Paclitaxel </w:t>
            </w:r>
            <w:r>
              <w:rPr>
                <w:rFonts w:ascii="Times New Roman" w:hAnsi="Times New Roman" w:eastAsia="Times New Roman" w:cs="Times New Roman"/>
                <w:kern w:val="0"/>
                <w:sz w:val="16"/>
                <w:szCs w:val="16"/>
              </w:rPr>
              <w:t>175mg/m</w:t>
            </w:r>
            <w:r>
              <w:rPr>
                <w:rFonts w:ascii="Times New Roman" w:hAnsi="Times New Roman" w:eastAsia="Times New Roman" w:cs="Times New Roman"/>
                <w:kern w:val="0"/>
                <w:sz w:val="16"/>
                <w:szCs w:val="16"/>
                <w:vertAlign w:val="superscript"/>
              </w:rPr>
              <w:t>2</w:t>
            </w:r>
            <w:r>
              <w:rPr>
                <w:rFonts w:ascii="Times New Roman" w:hAnsi="Times New Roman" w:eastAsia="Times New Roman" w:cs="Times New Roman"/>
                <w:kern w:val="0"/>
                <w:sz w:val="16"/>
                <w:szCs w:val="16"/>
              </w:rPr>
              <w:t xml:space="preserve"> q3w, ivgtt</w:t>
            </w:r>
          </w:p>
        </w:tc>
      </w:tr>
    </w:tbl>
    <w:p>
      <w:pPr>
        <w:rPr>
          <w:rFonts w:ascii="Times New Roman" w:hAnsi="Times New Roman" w:eastAsia="宋体" w:cs="Times New Roman"/>
          <w:sz w:val="16"/>
          <w:szCs w:val="16"/>
        </w:rPr>
      </w:pPr>
      <w:r>
        <w:rPr>
          <w:rFonts w:ascii="Times New Roman" w:hAnsi="Times New Roman" w:eastAsia="宋体" w:cs="Times New Roman"/>
          <w:sz w:val="16"/>
          <w:szCs w:val="16"/>
        </w:rPr>
        <w:t>q2w: 2 weeks using a; q3w: 3 weeks using a; q4w: 4 weeks using a; ivgtt: intravenously guttae</w:t>
      </w:r>
    </w:p>
    <w:p>
      <w:pPr>
        <w:rPr>
          <w:rFonts w:ascii="Times New Roman" w:hAnsi="Times New Roman" w:eastAsia="宋体" w:cs="Times New Roman"/>
          <w:sz w:val="16"/>
          <w:szCs w:val="16"/>
        </w:rPr>
      </w:pPr>
    </w:p>
    <w:p>
      <w:pPr>
        <w:keepNext/>
        <w:autoSpaceDE w:val="0"/>
        <w:spacing w:line="480" w:lineRule="auto"/>
        <w:jc w:val="left"/>
        <w:rPr>
          <w:rFonts w:ascii="Times New Roman" w:hAnsi="Times New Roman" w:eastAsia="黑体" w:cs="Times New Roman"/>
          <w:sz w:val="20"/>
          <w:szCs w:val="20"/>
        </w:rPr>
      </w:pPr>
      <w:r>
        <w:rPr>
          <w:rFonts w:ascii="Times New Roman" w:hAnsi="Times New Roman" w:cs="Times New Roman"/>
          <w:b/>
          <w:bCs/>
          <w:sz w:val="20"/>
          <w:szCs w:val="20"/>
        </w:rPr>
        <w:t xml:space="preserve">Table </w:t>
      </w:r>
      <w:r>
        <w:rPr>
          <w:rFonts w:hint="eastAsia" w:ascii="Times New Roman" w:hAnsi="Times New Roman" w:cs="Times New Roman"/>
          <w:b/>
          <w:bCs/>
          <w:sz w:val="20"/>
          <w:szCs w:val="20"/>
          <w:lang w:val="en-US" w:eastAsia="zh-CN"/>
        </w:rPr>
        <w:t>A</w:t>
      </w:r>
      <w:r>
        <w:rPr>
          <w:rFonts w:ascii="Times New Roman" w:hAnsi="Times New Roman" w:cs="Times New Roman"/>
          <w:b/>
          <w:bCs/>
          <w:sz w:val="20"/>
          <w:szCs w:val="20"/>
        </w:rPr>
        <w:t>2</w:t>
      </w:r>
      <w:r>
        <w:rPr>
          <w:rFonts w:ascii="Times New Roman" w:hAnsi="Times New Roman" w:eastAsia="黑体" w:cs="Times New Roman"/>
          <w:sz w:val="20"/>
          <w:szCs w:val="20"/>
        </w:rPr>
        <w:t xml:space="preserve"> Remaining parameters of partitioned survival model</w:t>
      </w:r>
    </w:p>
    <w:tbl>
      <w:tblPr>
        <w:tblStyle w:val="3"/>
        <w:tblW w:w="4996" w:type="pct"/>
        <w:tblInd w:w="0" w:type="dxa"/>
        <w:tblLayout w:type="autofit"/>
        <w:tblCellMar>
          <w:top w:w="0" w:type="dxa"/>
          <w:left w:w="108" w:type="dxa"/>
          <w:bottom w:w="0" w:type="dxa"/>
          <w:right w:w="108" w:type="dxa"/>
        </w:tblCellMar>
      </w:tblPr>
      <w:tblGrid>
        <w:gridCol w:w="4067"/>
        <w:gridCol w:w="1394"/>
        <w:gridCol w:w="1035"/>
        <w:gridCol w:w="1063"/>
        <w:gridCol w:w="1202"/>
        <w:gridCol w:w="1193"/>
      </w:tblGrid>
      <w:tr>
        <w:tblPrEx>
          <w:tblCellMar>
            <w:top w:w="0" w:type="dxa"/>
            <w:left w:w="108" w:type="dxa"/>
            <w:bottom w:w="0" w:type="dxa"/>
            <w:right w:w="108" w:type="dxa"/>
          </w:tblCellMar>
        </w:tblPrEx>
        <w:trPr>
          <w:trHeight w:val="23" w:hRule="atLeast"/>
        </w:trPr>
        <w:tc>
          <w:tcPr>
            <w:tcW w:w="2043" w:type="pct"/>
            <w:vMerge w:val="restart"/>
            <w:tcBorders>
              <w:top w:val="single" w:color="000000" w:sz="8" w:space="0"/>
              <w:left w:val="nil"/>
              <w:bottom w:val="single" w:color="000000" w:sz="8" w:space="0"/>
              <w:right w:val="nil"/>
            </w:tcBorders>
            <w:shd w:val="clear" w:color="auto" w:fill="FFFFFF"/>
            <w:noWrap/>
            <w:vAlign w:val="center"/>
          </w:tcPr>
          <w:p>
            <w:pPr>
              <w:widowControl/>
              <w:autoSpaceDE w:val="0"/>
              <w:jc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Variable</w:t>
            </w:r>
          </w:p>
        </w:tc>
        <w:tc>
          <w:tcPr>
            <w:tcW w:w="700" w:type="pct"/>
            <w:vMerge w:val="restart"/>
            <w:tcBorders>
              <w:top w:val="single" w:color="000000" w:sz="8" w:space="0"/>
              <w:left w:val="nil"/>
              <w:bottom w:val="single" w:color="000000" w:sz="8" w:space="0"/>
              <w:right w:val="nil"/>
            </w:tcBorders>
            <w:shd w:val="clear" w:color="auto" w:fill="FFFFFF"/>
            <w:noWrap/>
            <w:vAlign w:val="center"/>
          </w:tcPr>
          <w:p>
            <w:pPr>
              <w:widowControl/>
              <w:autoSpaceDE w:val="0"/>
              <w:jc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Baseline value</w:t>
            </w:r>
          </w:p>
        </w:tc>
        <w:tc>
          <w:tcPr>
            <w:tcW w:w="1054" w:type="pct"/>
            <w:gridSpan w:val="2"/>
            <w:tcBorders>
              <w:top w:val="single" w:color="000000" w:sz="8" w:space="0"/>
              <w:left w:val="nil"/>
              <w:bottom w:val="single" w:color="000000" w:sz="8" w:space="0"/>
              <w:right w:val="nil"/>
            </w:tcBorders>
            <w:shd w:val="clear" w:color="auto" w:fill="FFFFFF"/>
            <w:noWrap/>
            <w:vAlign w:val="center"/>
          </w:tcPr>
          <w:p>
            <w:pPr>
              <w:widowControl/>
              <w:jc w:val="center"/>
              <w:textAlignment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Range</w:t>
            </w:r>
          </w:p>
        </w:tc>
        <w:tc>
          <w:tcPr>
            <w:tcW w:w="604" w:type="pct"/>
            <w:vMerge w:val="restart"/>
            <w:tcBorders>
              <w:top w:val="single" w:color="000000" w:sz="8" w:space="0"/>
              <w:left w:val="nil"/>
              <w:bottom w:val="single" w:color="000000" w:sz="8" w:space="0"/>
              <w:right w:val="nil"/>
            </w:tcBorders>
            <w:shd w:val="clear" w:color="auto" w:fill="FFFFFF"/>
            <w:noWrap/>
            <w:vAlign w:val="center"/>
          </w:tcPr>
          <w:p>
            <w:pPr>
              <w:widowControl/>
              <w:autoSpaceDE w:val="0"/>
              <w:jc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Distribution</w:t>
            </w:r>
          </w:p>
        </w:tc>
        <w:tc>
          <w:tcPr>
            <w:tcW w:w="599" w:type="pct"/>
            <w:vMerge w:val="restart"/>
            <w:tcBorders>
              <w:top w:val="single" w:color="000000" w:sz="8" w:space="0"/>
              <w:left w:val="nil"/>
              <w:bottom w:val="single" w:color="000000" w:sz="8" w:space="0"/>
              <w:right w:val="nil"/>
            </w:tcBorders>
            <w:shd w:val="clear" w:color="auto" w:fill="FFFFFF"/>
            <w:noWrap/>
            <w:vAlign w:val="center"/>
          </w:tcPr>
          <w:p>
            <w:pPr>
              <w:widowControl/>
              <w:autoSpaceDE w:val="0"/>
              <w:jc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Reference</w:t>
            </w:r>
          </w:p>
        </w:tc>
      </w:tr>
      <w:tr>
        <w:tblPrEx>
          <w:tblCellMar>
            <w:top w:w="0" w:type="dxa"/>
            <w:left w:w="108" w:type="dxa"/>
            <w:bottom w:w="0" w:type="dxa"/>
            <w:right w:w="108" w:type="dxa"/>
          </w:tblCellMar>
        </w:tblPrEx>
        <w:trPr>
          <w:trHeight w:val="23" w:hRule="atLeast"/>
        </w:trPr>
        <w:tc>
          <w:tcPr>
            <w:tcW w:w="2043" w:type="pct"/>
            <w:vMerge w:val="continue"/>
            <w:tcBorders>
              <w:top w:val="single" w:color="000000" w:sz="8" w:space="0"/>
              <w:left w:val="nil"/>
              <w:bottom w:val="single" w:color="000000" w:sz="8" w:space="0"/>
              <w:right w:val="nil"/>
            </w:tcBorders>
            <w:vAlign w:val="center"/>
          </w:tcPr>
          <w:p>
            <w:pPr>
              <w:widowControl/>
              <w:jc w:val="left"/>
              <w:rPr>
                <w:rFonts w:ascii="Times New Roman" w:hAnsi="Times New Roman" w:eastAsia="宋体" w:cs="Times New Roman"/>
                <w:b/>
                <w:bCs/>
                <w:kern w:val="0"/>
                <w:sz w:val="16"/>
                <w:szCs w:val="16"/>
              </w:rPr>
            </w:pPr>
          </w:p>
        </w:tc>
        <w:tc>
          <w:tcPr>
            <w:tcW w:w="700" w:type="pct"/>
            <w:vMerge w:val="continue"/>
            <w:tcBorders>
              <w:top w:val="single" w:color="000000" w:sz="8" w:space="0"/>
              <w:left w:val="nil"/>
              <w:bottom w:val="single" w:color="000000" w:sz="8" w:space="0"/>
              <w:right w:val="nil"/>
            </w:tcBorders>
            <w:vAlign w:val="center"/>
          </w:tcPr>
          <w:p>
            <w:pPr>
              <w:widowControl/>
              <w:jc w:val="left"/>
              <w:rPr>
                <w:rFonts w:ascii="Times New Roman" w:hAnsi="Times New Roman" w:eastAsia="宋体" w:cs="Times New Roman"/>
                <w:b/>
                <w:bCs/>
                <w:kern w:val="0"/>
                <w:sz w:val="16"/>
                <w:szCs w:val="16"/>
              </w:rPr>
            </w:pPr>
          </w:p>
        </w:tc>
        <w:tc>
          <w:tcPr>
            <w:tcW w:w="520" w:type="pct"/>
            <w:tcBorders>
              <w:top w:val="single" w:color="000000" w:sz="8" w:space="0"/>
              <w:left w:val="nil"/>
              <w:bottom w:val="single" w:color="000000" w:sz="8" w:space="0"/>
              <w:right w:val="nil"/>
            </w:tcBorders>
            <w:shd w:val="clear" w:color="auto" w:fill="FFFFFF"/>
            <w:noWrap/>
            <w:vAlign w:val="center"/>
          </w:tcPr>
          <w:p>
            <w:pPr>
              <w:widowControl/>
              <w:jc w:val="center"/>
              <w:textAlignment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Minimum</w:t>
            </w:r>
          </w:p>
        </w:tc>
        <w:tc>
          <w:tcPr>
            <w:tcW w:w="534" w:type="pct"/>
            <w:tcBorders>
              <w:top w:val="single" w:color="000000" w:sz="8" w:space="0"/>
              <w:left w:val="nil"/>
              <w:bottom w:val="single" w:color="000000" w:sz="8" w:space="0"/>
              <w:right w:val="nil"/>
            </w:tcBorders>
            <w:shd w:val="clear" w:color="auto" w:fill="FFFFFF"/>
            <w:noWrap/>
            <w:vAlign w:val="center"/>
          </w:tcPr>
          <w:p>
            <w:pPr>
              <w:widowControl/>
              <w:jc w:val="center"/>
              <w:textAlignment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Maximum</w:t>
            </w:r>
          </w:p>
        </w:tc>
        <w:tc>
          <w:tcPr>
            <w:tcW w:w="604" w:type="pct"/>
            <w:vMerge w:val="continue"/>
            <w:tcBorders>
              <w:top w:val="single" w:color="000000" w:sz="8" w:space="0"/>
              <w:left w:val="nil"/>
              <w:bottom w:val="single" w:color="000000" w:sz="8" w:space="0"/>
              <w:right w:val="nil"/>
            </w:tcBorders>
            <w:vAlign w:val="center"/>
          </w:tcPr>
          <w:p>
            <w:pPr>
              <w:widowControl/>
              <w:jc w:val="left"/>
              <w:rPr>
                <w:rFonts w:ascii="Times New Roman" w:hAnsi="Times New Roman" w:eastAsia="宋体" w:cs="Times New Roman"/>
                <w:b/>
                <w:bCs/>
                <w:kern w:val="0"/>
                <w:sz w:val="16"/>
                <w:szCs w:val="16"/>
              </w:rPr>
            </w:pPr>
          </w:p>
        </w:tc>
        <w:tc>
          <w:tcPr>
            <w:tcW w:w="599" w:type="pct"/>
            <w:vMerge w:val="continue"/>
            <w:tcBorders>
              <w:top w:val="single" w:color="000000" w:sz="8" w:space="0"/>
              <w:left w:val="nil"/>
              <w:bottom w:val="single" w:color="000000" w:sz="8" w:space="0"/>
              <w:right w:val="nil"/>
            </w:tcBorders>
            <w:vAlign w:val="center"/>
          </w:tcPr>
          <w:p>
            <w:pPr>
              <w:widowControl/>
              <w:jc w:val="left"/>
              <w:rPr>
                <w:rFonts w:ascii="Times New Roman" w:hAnsi="Times New Roman" w:eastAsia="宋体" w:cs="Times New Roman"/>
                <w:b/>
                <w:bCs/>
                <w:kern w:val="0"/>
                <w:sz w:val="16"/>
                <w:szCs w:val="16"/>
              </w:rPr>
            </w:pP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Risk of ≥ Grade 3 TrAEs</w:t>
            </w:r>
          </w:p>
        </w:tc>
        <w:tc>
          <w:tcPr>
            <w:tcW w:w="700"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b/>
                <w:bCs/>
                <w:kern w:val="0"/>
                <w:sz w:val="16"/>
                <w:szCs w:val="16"/>
              </w:rPr>
              <w:t>Camrelizumab plus Chemotherapy</w:t>
            </w:r>
          </w:p>
        </w:tc>
        <w:tc>
          <w:tcPr>
            <w:tcW w:w="700"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Anemia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0.174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0.140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0.209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{"citationID":"yeqg5DXC","properties":{"formattedCitation":"[1]","plainCitation":"[1]","noteIndex":0},"citationItems":[{"id":1581,"uris":["http://zotero.org/users/10452308/items/HKLVN84L"],"itemData":{"id":1581,"type":"article-journal","abstract":"Standard first-line therapy for advanced or metastatic esophageal carcinoma is chemotherapy, but the prognosis remains poor. Camrelizumab (an anti–programmed death receptor 1 [PD-1] antibody) showed antitumor activity in previously treated advanced or metastatic esophageal squamous cell carcinoma.To evaluate the efficacy and adverse events of camrelizumab plus chemotherapy vs placebo plus chemotherapy as a first-line treatment in advanced or metastatic esophageal squamous cell carcinoma.This randomized, double-blind, placebo-controlled, multicenter, phase 3 trial (ESCORT-1st study) enrolled patients from 60 hospitals in China between December 3, 2018, and May 12, 2020 (final follow-up, October 30, 2020). A total of 751 patients were screened and 596 eligible patients with untreated advanced or metastatic esophageal squamous cell carcinoma were randomized.Patients were randomized 1:1 to receive either camrelizumab 200 mg (n = 298) or placebo (n = 298), combined with up to 6 cycles of paclitaxel (175 mg/m2) and cisplatin (75 mg/m2). All treatments were given intravenously every 3 weeks.Coprimary end points were overall survival (significance threshold, 1-sided P &amp;lt; .02) and progression-free survival (significance threshold, 1-sided P &amp;lt; .005).Of the 596 patients randomized (median age, 62 years [interquartile range, 56-67 years]; 523 men [87.8%]), 1 patient in the placebo-chemotherapy group did not receive planned treatment. A total of 490 patients (82.2%) had discontinued the study treatment. The median follow-up was 10.8 months. The overall survival for the camrelizumab-chemotherapy group was a median of 15.3 months (95% CI, 12.8-17.3; 135 deaths) vs a median of 12.0 months (95% CI, 11.0-13.3; 174 deaths) for the placebo-chemotherapy group (hazard ratio [HR] for death, 0.70 [95% CI, 0.56-0.88]; 1-sided P = .001). Progression-free survival for camrelizumab plus chemotherapy was a median of 6.9 months (95% CI, 5.8-7.4; 199 progression or deaths) vs 5.6 months (95% CI, 5.5-5.7; 229 progression or deaths) for the placebo-chemotherapy group (HR for progression or death, 0.56 [95% CI, 0.46-0.68]; 1-sided P &amp;lt; .001). Treatment-related adverse events of grade 3 or higher occurred in 189 patients (63.4%) in the camrelizumab-chemotherapy group and 201 (67.7%) in the placebo-chemotherapy group, including treatment-related deaths among 9 patients (3.0%) and 11 patients (3.7%), respectively.Among patients with advanced or metastatic esophageal squamous cell carcinoma, the addition of camrelizumab to chemotherapy, compared with placebo and chemotherapy, significantly improved overall survival and progression-free survival.ClinicalTrials.gov Identifier: NCT03691090","container-title":"JAMA","DOI":"10.1001/jama.2021.12836","ISSN":"0098-7484","issue":"10","journalAbbreviation":"JAMA","page":"916-925","title":"Effect of Camrelizumab vs Placebo Added to Chemotherapy on Survival and Progression-Free Survival in Patients With Advanced or Metastatic Esophageal Squamous Cell Carcinoma: The ESCORT-1st Randomized Clinical Trial","title-short":"Effect of Camrelizumab vs Placebo Added to Chemotherapy on Survival and Progression-Free Survival in Patients With Advanced or Metastatic Esophageal Squamous Cell Carcinoma","volume":"326","author":[{"family":"Luo","given":"Huiyan"},{"family":"Lu","given":"Jin"},{"family":"Bai","given":"Yuxian"},{"family":"Mao","given":"Teng"},{"family":"Wang","given":"Jun"},{"family":"Fan","given":"Qingxia"},{"family":"Zhang","given":"Yiping"},{"family":"Zhao","given":"Kuaile"},{"family":"Chen","given":"Zhendong"},{"family":"Gao","given":"Shegan"},{"family":"Li","given":"Jiancheng"},{"family":"Fu","given":"Zhichao"},{"family":"Gu","given":"Kangsheng"},{"family":"Liu","given":"Zhihua"},{"family":"Wu","given":"Lin"},{"family":"Zhang","given":"Xiaodong"},{"family":"Feng","given":"Jifeng"},{"family":"Niu","given":"Zuoxing"},{"family":"Ba","given":"Yi"},{"family":"Zhang","given":"Helong"},{"family":"Liu","given":"Ying"},{"family":"Zhang","given":"Li"},{"family":"Min","given":"Xuhong"},{"family":"Huang","given":"Jing"},{"family":"Cheng","given":"Ying"},{"family":"Wang","given":"Dong"},{"family":"Shen","given":"Yu"},{"family":"Yang","given":"Qing"},{"family":"Zou","given":"Jianjun"},{"family":"Xu","given":"Rui-Hua"},{"literal":"ESCORT-1st Investigators"}],"issued":{"date-parts":[["2021",9,14]]}}}],"schema":"https://github.com/citation-style-language/schema/raw/master/csl-citation.json"}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[1]</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Neutropenia or Neutrophil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0.399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0.319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0.479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{"citationID":"jeHrMZCH","properties":{"formattedCitation":"[1]","plainCitation":"[1]","noteIndex":0},"citationItems":[{"id":1581,"uris":["http://zotero.org/users/10452308/items/HKLVN84L"],"itemData":{"id":1581,"type":"article-journal","abstract":"Standard first-line therapy for advanced or metastatic esophageal carcinoma is chemotherapy, but the prognosis remains poor. Camrelizumab (an anti–programmed death receptor 1 [PD-1] antibody) showed antitumor activity in previously treated advanced or metastatic esophageal squamous cell carcinoma.To evaluate the efficacy and adverse events of camrelizumab plus chemotherapy vs placebo plus chemotherapy as a first-line treatment in advanced or metastatic esophageal squamous cell carcinoma.This randomized, double-blind, placebo-controlled, multicenter, phase 3 trial (ESCORT-1st study) enrolled patients from 60 hospitals in China between December 3, 2018, and May 12, 2020 (final follow-up, October 30, 2020). A total of 751 patients were screened and 596 eligible patients with untreated advanced or metastatic esophageal squamous cell carcinoma were randomized.Patients were randomized 1:1 to receive either camrelizumab 200 mg (n = 298) or placebo (n = 298), combined with up to 6 cycles of paclitaxel (175 mg/m2) and cisplatin (75 mg/m2). All treatments were given intravenously every 3 weeks.Coprimary end points were overall survival (significance threshold, 1-sided P &amp;lt; .02) and progression-free survival (significance threshold, 1-sided P &amp;lt; .005).Of the 596 patients randomized (median age, 62 years [interquartile range, 56-67 years]; 523 men [87.8%]), 1 patient in the placebo-chemotherapy group did not receive planned treatment. A total of 490 patients (82.2%) had discontinued the study treatment. The median follow-up was 10.8 months. The overall survival for the camrelizumab-chemotherapy group was a median of 15.3 months (95% CI, 12.8-17.3; 135 deaths) vs a median of 12.0 months (95% CI, 11.0-13.3; 174 deaths) for the placebo-chemotherapy group (hazard ratio [HR] for death, 0.70 [95% CI, 0.56-0.88]; 1-sided P = .001). Progression-free survival for camrelizumab plus chemotherapy was a median of 6.9 months (95% CI, 5.8-7.4; 199 progression or deaths) vs 5.6 months (95% CI, 5.5-5.7; 229 progression or deaths) for the placebo-chemotherapy group (HR for progression or death, 0.56 [95% CI, 0.46-0.68]; 1-sided P &amp;lt; .001). Treatment-related adverse events of grade 3 or higher occurred in 189 patients (63.4%) in the camrelizumab-chemotherapy group and 201 (67.7%) in the placebo-chemotherapy group, including treatment-related deaths among 9 patients (3.0%) and 11 patients (3.7%), respectively.Among patients with advanced or metastatic esophageal squamous cell carcinoma, the addition of camrelizumab to chemotherapy, compared with placebo and chemotherapy, significantly improved overall survival and progression-free survival.ClinicalTrials.gov Identifier: NCT03691090","container-title":"JAMA","DOI":"10.1001/jama.2021.12836","ISSN":"0098-7484","issue":"10","journalAbbreviation":"JAMA","page":"916-925","title":"Effect of Camrelizumab vs Placebo Added to Chemotherapy on Survival and Progression-Free Survival in Patients With Advanced or Metastatic Esophageal Squamous Cell Carcinoma: The ESCORT-1st Randomized Clinical Trial","title-short":"Effect of Camrelizumab vs Placebo Added to Chemotherapy on Survival and Progression-Free Survival in Patients With Advanced or Metastatic Esophageal Squamous Cell Carcinoma","volume":"326","author":[{"family":"Luo","given":"Huiyan"},{"family":"Lu","given":"Jin"},{"family":"Bai","given":"Yuxian"},{"family":"Mao","given":"Teng"},{"family":"Wang","given":"Jun"},{"family":"Fan","given":"Qingxia"},{"family":"Zhang","given":"Yiping"},{"family":"Zhao","given":"Kuaile"},{"family":"Chen","given":"Zhendong"},{"family":"Gao","given":"Shegan"},{"family":"Li","given":"Jiancheng"},{"family":"Fu","given":"Zhichao"},{"family":"Gu","given":"Kangsheng"},{"family":"Liu","given":"Zhihua"},{"family":"Wu","given":"Lin"},{"family":"Zhang","given":"Xiaodong"},{"family":"Feng","given":"Jifeng"},{"family":"Niu","given":"Zuoxing"},{"family":"Ba","given":"Yi"},{"family":"Zhang","given":"Helong"},{"family":"Liu","given":"Ying"},{"family":"Zhang","given":"Li"},{"family":"Min","given":"Xuhong"},{"family":"Huang","given":"Jing"},{"family":"Cheng","given":"Ying"},{"family":"Wang","given":"Dong"},{"family":"Shen","given":"Yu"},{"family":"Yang","given":"Qing"},{"family":"Zou","given":"Jianjun"},{"family":"Xu","given":"Rui-Hua"},{"literal":"ESCORT-1st Investigators"}],"issued":{"date-parts":[["2021",9,14]]}}}],"schema":"https://github.com/citation-style-language/schema/raw/master/csl-citation.json"}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[1]</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Leukopenia or White Blood Cell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0.242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0.193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0.290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{"citationID":"Ntp0k4HR","properties":{"formattedCitation":"[1]","plainCitation":"[1]","noteIndex":0},"citationItems":[{"id":1581,"uris":["http://zotero.org/users/10452308/items/HKLVN84L"],"itemData":{"id":1581,"type":"article-journal","abstract":"Standard first-line therapy for advanced or metastatic esophageal carcinoma is chemotherapy, but the prognosis remains poor. Camrelizumab (an anti–programmed death receptor 1 [PD-1] antibody) showed antitumor activity in previously treated advanced or metastatic esophageal squamous cell carcinoma.To evaluate the efficacy and adverse events of camrelizumab plus chemotherapy vs placebo plus chemotherapy as a first-line treatment in advanced or metastatic esophageal squamous cell carcinoma.This randomized, double-blind, placebo-controlled, multicenter, phase 3 trial (ESCORT-1st study) enrolled patients from 60 hospitals in China between December 3, 2018, and May 12, 2020 (final follow-up, October 30, 2020). A total of 751 patients were screened and 596 eligible patients with untreated advanced or metastatic esophageal squamous cell carcinoma were randomized.Patients were randomized 1:1 to receive either camrelizumab 200 mg (n = 298) or placebo (n = 298), combined with up to 6 cycles of paclitaxel (175 mg/m2) and cisplatin (75 mg/m2). All treatments were given intravenously every 3 weeks.Coprimary end points were overall survival (significance threshold, 1-sided P &amp;lt; .02) and progression-free survival (significance threshold, 1-sided P &amp;lt; .005).Of the 596 patients randomized (median age, 62 years [interquartile range, 56-67 years]; 523 men [87.8%]), 1 patient in the placebo-chemotherapy group did not receive planned treatment. A total of 490 patients (82.2%) had discontinued the study treatment. The median follow-up was 10.8 months. The overall survival for the camrelizumab-chemotherapy group was a median of 15.3 months (95% CI, 12.8-17.3; 135 deaths) vs a median of 12.0 months (95% CI, 11.0-13.3; 174 deaths) for the placebo-chemotherapy group (hazard ratio [HR] for death, 0.70 [95% CI, 0.56-0.88]; 1-sided P = .001). Progression-free survival for camrelizumab plus chemotherapy was a median of 6.9 months (95% CI, 5.8-7.4; 199 progression or deaths) vs 5.6 months (95% CI, 5.5-5.7; 229 progression or deaths) for the placebo-chemotherapy group (HR for progression or death, 0.56 [95% CI, 0.46-0.68]; 1-sided P &amp;lt; .001). Treatment-related adverse events of grade 3 or higher occurred in 189 patients (63.4%) in the camrelizumab-chemotherapy group and 201 (67.7%) in the placebo-chemotherapy group, including treatment-related deaths among 9 patients (3.0%) and 11 patients (3.7%), respectively.Among patients with advanced or metastatic esophageal squamous cell carcinoma, the addition of camrelizumab to chemotherapy, compared with placebo and chemotherapy, significantly improved overall survival and progression-free survival.ClinicalTrials.gov Identifier: NCT03691090","container-title":"JAMA","DOI":"10.1001/jama.2021.12836","ISSN":"0098-7484","issue":"10","journalAbbreviation":"JAMA","page":"916-925","title":"Effect of Camrelizumab vs Placebo Added to Chemotherapy on Survival and Progression-Free Survival in Patients With Advanced or Metastatic Esophageal Squamous Cell Carcinoma: The ESCORT-1st Randomized Clinical Trial","title-short":"Effect of Camrelizumab vs Placebo Added to Chemotherapy on Survival and Progression-Free Survival in Patients With Advanced or Metastatic Esophageal Squamous Cell Carcinoma","volume":"326","author":[{"family":"Luo","given":"Huiyan"},{"family":"Lu","given":"Jin"},{"family":"Bai","given":"Yuxian"},{"family":"Mao","given":"Teng"},{"family":"Wang","given":"Jun"},{"family":"Fan","given":"Qingxia"},{"family":"Zhang","given":"Yiping"},{"family":"Zhao","given":"Kuaile"},{"family":"Chen","given":"Zhendong"},{"family":"Gao","given":"Shegan"},{"family":"Li","given":"Jiancheng"},{"family":"Fu","given":"Zhichao"},{"family":"Gu","given":"Kangsheng"},{"family":"Liu","given":"Zhihua"},{"family":"Wu","given":"Lin"},{"family":"Zhang","given":"Xiaodong"},{"family":"Feng","given":"Jifeng"},{"family":"Niu","given":"Zuoxing"},{"family":"Ba","given":"Yi"},{"family":"Zhang","given":"Helong"},{"family":"Liu","given":"Ying"},{"family":"Zhang","given":"Li"},{"family":"Min","given":"Xuhong"},{"family":"Huang","given":"Jing"},{"family":"Cheng","given":"Ying"},{"family":"Wang","given":"Dong"},{"family":"Shen","given":"Yu"},{"family":"Yang","given":"Qing"},{"family":"Zou","given":"Jianjun"},{"family":"Xu","given":"Rui-Hua"},{"literal":"ESCORT-1st Investigators"}],"issued":{"date-parts":[["2021",9,14]]}}}],"schema":"https://github.com/citation-style-language/schema/raw/master/csl-citation.json"}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[1]</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Nivolumab plus Chemotherapy</w:t>
            </w:r>
          </w:p>
        </w:tc>
        <w:tc>
          <w:tcPr>
            <w:tcW w:w="700"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Anemia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0.097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0.077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0.116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pg1S06Cg","properties":{"unsorted":true,"formattedCitation":"[2]","plainCitation":"[2]","noteIndex":0},"citationItems":[{"id":1587,"uris":["http://zotero.org/users/10452308/items/F7BV9ICS"],"itemData":{"id":1587,"type":"article-journal","call-number":"1","container-title":"New England Journal of Medicine","DOI":"10.1056/NEJMoa2111380","ISSN":"0028-4793","issue":"5","journalAbbreviation":"N Engl J Med","note":"publisher: Massachusetts Medical Society","page":"449-462","source":"158.5","title":"Nivolumab Combination Therapy in Advanced Esophageal Squamous-Cell Carcinoma","volume":"386","author":[{"family":"Doki","given":"Yuichiro"},{"family":"Ajani","given":"Jaffer A."},{"family":"Kato","given":"Ken"},{"family":"Xu","given":"Jianming"},{"family":"Wyrwicz","given":"Lucjan"},{"family":"Motoyama","given":"Satoru"},{"family":"Ogata","given":"Takashi"},{"family":"Kawakami","given":"Hisato"},{"family":"Hsu","given":"Chih-Hung"},{"family":"Adenis","given":"Antoine"},{"family":"El Hajbi","given":"Farid"},{"family":"Di Bartolomeo","given":"Maria"},{"family":"Braghiroli","given":"Maria I."},{"family":"Holtved","given":"Eva"},{"family":"Ostoich","given":"Sandra A."},{"family":"Kim","given":"Hye R."},{"family":"Ueno","given":"Masaki"},{"family":"Mansoor","given":"Wasat"},{"family":"Yang","given":"Wen-Chi"},{"family":"Liu","given":"Tianshu"},{"family":"Bridgewater","given":"John"},{"family":"Makino","given":"Tomoki"},{"family":"Xynos","given":"Ioannis"},{"family":"Liu","given":"Xuan"},{"family":"Lei","given":"Ming"},{"family":"Kondo","given":"Kaoru"},{"family":"Patel","given":"Apurva"},{"family":"Gricar","given":"Joseph"},{"family":"Chau","given":"Ian"},{"family":"Kitagawa","given":"Yuko"}],"issued":{"date-parts":[["2022",2,3]]}}}],"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[2]</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Leukopenia or White Blood Cell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0.081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0.065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0.097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xvaMeiIr","properties":{"unsorted":true,"formattedCitation":"[2]","plainCitation":"[2]","noteIndex":0},"citationItems":[{"id":1587,"uris":["http://zotero.org/users/10452308/items/F7BV9ICS"],"itemData":{"id":1587,"type":"article-journal","call-number":"1","container-title":"New England Journal of Medicine","DOI":"10.1056/NEJMoa2111380","ISSN":"0028-4793","issue":"5","journalAbbreviation":"N Engl J Med","note":"publisher: Massachusetts Medical Society","page":"449-462","source":"158.5","title":"Nivolumab Combination Therapy in Advanced Esophageal Squamous-Cell Carcinoma","volume":"386","author":[{"family":"Doki","given":"Yuichiro"},{"family":"Ajani","given":"Jaffer A."},{"family":"Kato","given":"Ken"},{"family":"Xu","given":"Jianming"},{"family":"Wyrwicz","given":"Lucjan"},{"family":"Motoyama","given":"Satoru"},{"family":"Ogata","given":"Takashi"},{"family":"Kawakami","given":"Hisato"},{"family":"Hsu","given":"Chih-Hung"},{"family":"Adenis","given":"Antoine"},{"family":"El Hajbi","given":"Farid"},{"family":"Di Bartolomeo","given":"Maria"},{"family":"Braghiroli","given":"Maria I."},{"family":"Holtved","given":"Eva"},{"family":"Ostoich","given":"Sandra A."},{"family":"Kim","given":"Hye R."},{"family":"Ueno","given":"Masaki"},{"family":"Mansoor","given":"Wasat"},{"family":"Yang","given":"Wen-Chi"},{"family":"Liu","given":"Tianshu"},{"family":"Bridgewater","given":"John"},{"family":"Makino","given":"Tomoki"},{"family":"Xynos","given":"Ioannis"},{"family":"Liu","given":"Xuan"},{"family":"Lei","given":"Ming"},{"family":"Kondo","given":"Kaoru"},{"family":"Patel","given":"Apurva"},{"family":"Gricar","given":"Joseph"},{"family":"Chau","given":"Ian"},{"family":"Kitagawa","given":"Yuko"}],"issued":{"date-parts":[["2022",2,3]]}}}],"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[2]</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Stomatitis</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0.065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0.052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0.077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BSGh3LZf","properties":{"unsorted":true,"formattedCitation":"[2]","plainCitation":"[2]","noteIndex":0},"citationItems":[{"id":1587,"uris":["http://zotero.org/users/10452308/items/F7BV9ICS"],"itemData":{"id":1587,"type":"article-journal","call-number":"1","container-title":"New England Journal of Medicine","DOI":"10.1056/NEJMoa2111380","ISSN":"0028-4793","issue":"5","journalAbbreviation":"N Engl J Med","note":"publisher: Massachusetts Medical Society","page":"449-462","source":"158.5","title":"Nivolumab Combination Therapy in Advanced Esophageal Squamous-Cell Carcinoma","volume":"386","author":[{"family":"Doki","given":"Yuichiro"},{"family":"Ajani","given":"Jaffer A."},{"family":"Kato","given":"Ken"},{"family":"Xu","given":"Jianming"},{"family":"Wyrwicz","given":"Lucjan"},{"family":"Motoyama","given":"Satoru"},{"family":"Ogata","given":"Takashi"},{"family":"Kawakami","given":"Hisato"},{"family":"Hsu","given":"Chih-Hung"},{"family":"Adenis","given":"Antoine"},{"family":"El Hajbi","given":"Farid"},{"family":"Di Bartolomeo","given":"Maria"},{"family":"Braghiroli","given":"Maria I."},{"family":"Holtved","given":"Eva"},{"family":"Ostoich","given":"Sandra A."},{"family":"Kim","given":"Hye R."},{"family":"Ueno","given":"Masaki"},{"family":"Mansoor","given":"Wasat"},{"family":"Yang","given":"Wen-Chi"},{"family":"Liu","given":"Tianshu"},{"family":"Bridgewater","given":"John"},{"family":"Makino","given":"Tomoki"},{"family":"Xynos","given":"Ioannis"},{"family":"Liu","given":"Xuan"},{"family":"Lei","given":"Ming"},{"family":"Kondo","given":"Kaoru"},{"family":"Patel","given":"Apurva"},{"family":"Gricar","given":"Joseph"},{"family":"Chau","given":"Ian"},{"family":"Kitagawa","given":"Yuko"}],"issued":{"date-parts":[["2022",2,3]]}}}],"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[2]</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Pembrolizumab plus Chemotherapy</w:t>
            </w:r>
          </w:p>
        </w:tc>
        <w:tc>
          <w:tcPr>
            <w:tcW w:w="700"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r>
      <w:tr>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Anemia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0.124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0.099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0.149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{"citationID":"IqsNGwI1","properties":{"formattedCitation":"[3]","plainCitation":"[3]","noteIndex":0},"citationItems":[{"id":1576,"uris":["http://zotero.org/users/10452308/items/RIE5KTBR"],"itemData":{"id":1576,"type":"article-journal","call-number":"1","container-title":"The Lancet","DOI":"10.1016/S0140-6736(21)01234-4","ISSN":"0140-6736, 1474-547X","issue":"10302","journalAbbreviation":"The Lancet","language":"English","note":"publisher: Elsevier\nPMID: 34454674","page":"759-771","source":"168.9","title":"Pembrolizumab plus chemotherapy versus chemotherapy alone for first-line treatment of advanced oesophageal cancer (KEYNOTE-590): a randomised, placebo-controlled, phase 3 study","title-short":"Pembrolizumab plus chemotherapy versus chemotherapy alone for first-line treatment of advanced oesophageal cancer (KEYNOTE-590)","volume":"398","author":[{"family":"Sun","given":"Jong-Mu"},{"family":"Shen","given":"Lin"},{"family":"Shah","given":"Manish A."},{"family":"Enzinger","given":"Peter"},{"family":"Adenis","given":"Antoine"},{"family":"Doi","given":"Toshihiko"},{"family":"Kojima","given":"Takashi"},{"family":"Metges","given":"Jean-Philippe"},{"family":"Li","given":"Zhigang"},{"family":"Kim","given":"Sung-Bae"},{"family":"Cho","given":"Byoung Chul"},{"family":"Mansoor","given":"Wasat"},{"family":"Li","given":"Shau-Hsuan"},{"family":"Sunpaweravong","given":"Patrapim"},{"family":"Maqueda","given":"Maria Alsina"},{"family":"Goekkurt","given":"Eray"},{"family":"Hara","given":"Hiroki"},{"family":"Antunes","given":"Luis"},{"family":"Fountzilas","given":"Christos"},{"family":"Tsuji","given":"Akihito"},{"family":"Oliden","given":"Victor Castro"},{"family":"Liu","given":"Qi"},{"family":"Shah","given":"Sukrut"},{"family":"Bhagia","given":"Pooja"},{"family":"Kato","given":"Ken"}],"issued":{"date-parts":[["2021",8,28]]}}}],"schema":"https://github.com/citation-style-language/schema/raw/master/csl-citation.json"}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[3]</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Neutropenia or Neutrophil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0.370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0.296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0.444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{"citationID":"if8SMnxP","properties":{"formattedCitation":"[3]","plainCitation":"[3]","noteIndex":0},"citationItems":[{"id":1576,"uris":["http://zotero.org/users/10452308/items/RIE5KTBR"],"itemData":{"id":1576,"type":"article-journal","call-number":"1","container-title":"The Lancet","DOI":"10.1016/S0140-6736(21)01234-4","ISSN":"0140-6736, 1474-547X","issue":"10302","journalAbbreviation":"The Lancet","language":"English","note":"publisher: Elsevier\nPMID: 34454674","page":"759-771","source":"168.9","title":"Pembrolizumab plus chemotherapy versus chemotherapy alone for first-line treatment of advanced oesophageal cancer (KEYNOTE-590): a randomised, placebo-controlled, phase 3 study","title-short":"Pembrolizumab plus chemotherapy versus chemotherapy alone for first-line treatment of advanced oesophageal cancer (KEYNOTE-590)","volume":"398","author":[{"family":"Sun","given":"Jong-Mu"},{"family":"Shen","given":"Lin"},{"family":"Shah","given":"Manish A."},{"family":"Enzinger","given":"Peter"},{"family":"Adenis","given":"Antoine"},{"family":"Doi","given":"Toshihiko"},{"family":"Kojima","given":"Takashi"},{"family":"Metges","given":"Jean-Philippe"},{"family":"Li","given":"Zhigang"},{"family":"Kim","given":"Sung-Bae"},{"family":"Cho","given":"Byoung Chul"},{"family":"Mansoor","given":"Wasat"},{"family":"Li","given":"Shau-Hsuan"},{"family":"Sunpaweravong","given":"Patrapim"},{"family":"Maqueda","given":"Maria Alsina"},{"family":"Goekkurt","given":"Eray"},{"family":"Hara","given":"Hiroki"},{"family":"Antunes","given":"Luis"},{"family":"Fountzilas","given":"Christos"},{"family":"Tsuji","given":"Akihito"},{"family":"Oliden","given":"Victor Castro"},{"family":"Liu","given":"Qi"},{"family":"Shah","given":"Sukrut"},{"family":"Bhagia","given":"Pooja"},{"family":"Kato","given":"Ken"}],"issued":{"date-parts":[["2021",8,28]]}}}],"schema":"https://github.com/citation-style-language/schema/raw/master/csl-citation.json"}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[3]</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Leukopenia or White Blood Cell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0.103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0.082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0.123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{"citationID":"wL9yZp9a","properties":{"formattedCitation":"[3]","plainCitation":"[3]","noteIndex":0},"citationItems":[{"id":1576,"uris":["http://zotero.org/users/10452308/items/RIE5KTBR"],"itemData":{"id":1576,"type":"article-journal","call-number":"1","container-title":"The Lancet","DOI":"10.1016/S0140-6736(21)01234-4","ISSN":"0140-6736, 1474-547X","issue":"10302","journalAbbreviation":"The Lancet","language":"English","note":"publisher: Elsevier\nPMID: 34454674","page":"759-771","source":"168.9","title":"Pembrolizumab plus chemotherapy versus chemotherapy alone for first-line treatment of advanced oesophageal cancer (KEYNOTE-590): a randomised, placebo-controlled, phase 3 study","title-short":"Pembrolizumab plus chemotherapy versus chemotherapy alone for first-line treatment of advanced oesophageal cancer (KEYNOTE-590)","volume":"398","author":[{"family":"Sun","given":"Jong-Mu"},{"family":"Shen","given":"Lin"},{"family":"Shah","given":"Manish A."},{"family":"Enzinger","given":"Peter"},{"family":"Adenis","given":"Antoine"},{"family":"Doi","given":"Toshihiko"},{"family":"Kojima","given":"Takashi"},{"family":"Metges","given":"Jean-Philippe"},{"family":"Li","given":"Zhigang"},{"family":"Kim","given":"Sung-Bae"},{"family":"Cho","given":"Byoung Chul"},{"family":"Mansoor","given":"Wasat"},{"family":"Li","given":"Shau-Hsuan"},{"family":"Sunpaweravong","given":"Patrapim"},{"family":"Maqueda","given":"Maria Alsina"},{"family":"Goekkurt","given":"Eray"},{"family":"Hara","given":"Hiroki"},{"family":"Antunes","given":"Luis"},{"family":"Fountzilas","given":"Christos"},{"family":"Tsuji","given":"Akihito"},{"family":"Oliden","given":"Victor Castro"},{"family":"Liu","given":"Qi"},{"family":"Shah","given":"Sukrut"},{"family":"Bhagia","given":"Pooja"},{"family":"Kato","given":"Ken"}],"issued":{"date-parts":[["2021",8,28]]}}}],"schema":"https://github.com/citation-style-language/schema/raw/master/csl-citation.json"}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[3]</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Nausea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0.070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0.056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0.084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{"citationID":"eVdJScfm","properties":{"formattedCitation":"[3]","plainCitation":"[3]","noteIndex":0},"citationItems":[{"id":1576,"uris":["http://zotero.org/users/10452308/items/RIE5KTBR"],"itemData":{"id":1576,"type":"article-journal","call-number":"1","container-title":"The Lancet","DOI":"10.1016/S0140-6736(21)01234-4","ISSN":"0140-6736, 1474-547X","issue":"10302","journalAbbreviation":"The Lancet","language":"English","note":"publisher: Elsevier\nPMID: 34454674","page":"759-771","source":"168.9","title":"Pembrolizumab plus chemotherapy versus chemotherapy alone for first-line treatment of advanced oesophageal cancer (KEYNOTE-590): a randomised, placebo-controlled, phase 3 study","title-short":"Pembrolizumab plus chemotherapy versus chemotherapy alone for first-line treatment of advanced oesophageal cancer (KEYNOTE-590)","volume":"398","author":[{"family":"Sun","given":"Jong-Mu"},{"family":"Shen","given":"Lin"},{"family":"Shah","given":"Manish A."},{"family":"Enzinger","given":"Peter"},{"family":"Adenis","given":"Antoine"},{"family":"Doi","given":"Toshihiko"},{"family":"Kojima","given":"Takashi"},{"family":"Metges","given":"Jean-Philippe"},{"family":"Li","given":"Zhigang"},{"family":"Kim","given":"Sung-Bae"},{"family":"Cho","given":"Byoung Chul"},{"family":"Mansoor","given":"Wasat"},{"family":"Li","given":"Shau-Hsuan"},{"family":"Sunpaweravong","given":"Patrapim"},{"family":"Maqueda","given":"Maria Alsina"},{"family":"Goekkurt","given":"Eray"},{"family":"Hara","given":"Hiroki"},{"family":"Antunes","given":"Luis"},{"family":"Fountzilas","given":"Christos"},{"family":"Tsuji","given":"Akihito"},{"family":"Oliden","given":"Victor Castro"},{"family":"Liu","given":"Qi"},{"family":"Shah","given":"Sukrut"},{"family":"Bhagia","given":"Pooja"},{"family":"Kato","given":"Ken"}],"issued":{"date-parts":[["2021",8,28]]}}}],"schema":"https://github.com/citation-style-language/schema/raw/master/csl-citation.json"}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[3]</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Fatigue or Asthenia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0.095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0.076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0.114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{"citationID":"YFqntRXV","properties":{"formattedCitation":"[3]","plainCitation":"[3]","noteIndex":0},"citationItems":[{"id":1576,"uris":["http://zotero.org/users/10452308/items/RIE5KTBR"],"itemData":{"id":1576,"type":"article-journal","call-number":"1","container-title":"The Lancet","DOI":"10.1016/S0140-6736(21)01234-4","ISSN":"0140-6736, 1474-547X","issue":"10302","journalAbbreviation":"The Lancet","language":"English","note":"publisher: Elsevier\nPMID: 34454674","page":"759-771","source":"168.9","title":"Pembrolizumab plus chemotherapy versus chemotherapy alone for first-line treatment of advanced oesophageal cancer (KEYNOTE-590): a randomised, placebo-controlled, phase 3 study","title-short":"Pembrolizumab plus chemotherapy versus chemotherapy alone for first-line treatment of advanced oesophageal cancer (KEYNOTE-590)","volume":"398","author":[{"family":"Sun","given":"Jong-Mu"},{"family":"Shen","given":"Lin"},{"family":"Shah","given":"Manish A."},{"family":"Enzinger","given":"Peter"},{"family":"Adenis","given":"Antoine"},{"family":"Doi","given":"Toshihiko"},{"family":"Kojima","given":"Takashi"},{"family":"Metges","given":"Jean-Philippe"},{"family":"Li","given":"Zhigang"},{"family":"Kim","given":"Sung-Bae"},{"family":"Cho","given":"Byoung Chul"},{"family":"Mansoor","given":"Wasat"},{"family":"Li","given":"Shau-Hsuan"},{"family":"Sunpaweravong","given":"Patrapim"},{"family":"Maqueda","given":"Maria Alsina"},{"family":"Goekkurt","given":"Eray"},{"family":"Hara","given":"Hiroki"},{"family":"Antunes","given":"Luis"},{"family":"Fountzilas","given":"Christos"},{"family":"Tsuji","given":"Akihito"},{"family":"Oliden","given":"Victor Castro"},{"family":"Liu","given":"Qi"},{"family":"Shah","given":"Sukrut"},{"family":"Bhagia","given":"Pooja"},{"family":"Kato","given":"Ken"}],"issued":{"date-parts":[["2021",8,28]]}}}],"schema":"https://github.com/citation-style-language/schema/raw/master/csl-citation.json"}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[3]</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Vomiting</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0.062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0.050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0.075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{"citationID":"eUOMPun2","properties":{"formattedCitation":"[3]","plainCitation":"[3]","noteIndex":0},"citationItems":[{"id":1576,"uris":["http://zotero.org/users/10452308/items/RIE5KTBR"],"itemData":{"id":1576,"type":"article-journal","call-number":"1","container-title":"The Lancet","DOI":"10.1016/S0140-6736(21)01234-4","ISSN":"0140-6736, 1474-547X","issue":"10302","journalAbbreviation":"The Lancet","language":"English","note":"publisher: Elsevier\nPMID: 34454674","page":"759-771","source":"168.9","title":"Pembrolizumab plus chemotherapy versus chemotherapy alone for first-line treatment of advanced oesophageal cancer (KEYNOTE-590): a randomised, placebo-controlled, phase 3 study","title-short":"Pembrolizumab plus chemotherapy versus chemotherapy alone for first-line treatment of advanced oesophageal cancer (KEYNOTE-590)","volume":"398","author":[{"family":"Sun","given":"Jong-Mu"},{"family":"Shen","given":"Lin"},{"family":"Shah","given":"Manish A."},{"family":"Enzinger","given":"Peter"},{"family":"Adenis","given":"Antoine"},{"family":"Doi","given":"Toshihiko"},{"family":"Kojima","given":"Takashi"},{"family":"Metges","given":"Jean-Philippe"},{"family":"Li","given":"Zhigang"},{"family":"Kim","given":"Sung-Bae"},{"family":"Cho","given":"Byoung Chul"},{"family":"Mansoor","given":"Wasat"},{"family":"Li","given":"Shau-Hsuan"},{"family":"Sunpaweravong","given":"Patrapim"},{"family":"Maqueda","given":"Maria Alsina"},{"family":"Goekkurt","given":"Eray"},{"family":"Hara","given":"Hiroki"},{"family":"Antunes","given":"Luis"},{"family":"Fountzilas","given":"Christos"},{"family":"Tsuji","given":"Akihito"},{"family":"Oliden","given":"Victor Castro"},{"family":"Liu","given":"Qi"},{"family":"Shah","given":"Sukrut"},{"family":"Bhagia","given":"Pooja"},{"family":"Kato","given":"Ken"}],"issued":{"date-parts":[["2021",8,28]]}}}],"schema":"https://github.com/citation-style-language/schema/raw/master/csl-citation.json"}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[3]</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Stomatitis</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0.057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0.045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0.068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{"citationID":"NEbiwYTY","properties":{"formattedCitation":"[3]","plainCitation":"[3]","noteIndex":0},"citationItems":[{"id":1576,"uris":["http://zotero.org/users/10452308/items/RIE5KTBR"],"itemData":{"id":1576,"type":"article-journal","call-number":"1","container-title":"The Lancet","DOI":"10.1016/S0140-6736(21)01234-4","ISSN":"0140-6736, 1474-547X","issue":"10302","journalAbbreviation":"The Lancet","language":"English","note":"publisher: Elsevier\nPMID: 34454674","page":"759-771","source":"168.9","title":"Pembrolizumab plus chemotherapy versus chemotherapy alone for first-line treatment of advanced oesophageal cancer (KEYNOTE-590): a randomised, placebo-controlled, phase 3 study","title-short":"Pembrolizumab plus chemotherapy versus chemotherapy alone for first-line treatment of advanced oesophageal cancer (KEYNOTE-590)","volume":"398","author":[{"family":"Sun","given":"Jong-Mu"},{"family":"Shen","given":"Lin"},{"family":"Shah","given":"Manish A."},{"family":"Enzinger","given":"Peter"},{"family":"Adenis","given":"Antoine"},{"family":"Doi","given":"Toshihiko"},{"family":"Kojima","given":"Takashi"},{"family":"Metges","given":"Jean-Philippe"},{"family":"Li","given":"Zhigang"},{"family":"Kim","given":"Sung-Bae"},{"family":"Cho","given":"Byoung Chul"},{"family":"Mansoor","given":"Wasat"},{"family":"Li","given":"Shau-Hsuan"},{"family":"Sunpaweravong","given":"Patrapim"},{"family":"Maqueda","given":"Maria Alsina"},{"family":"Goekkurt","given":"Eray"},{"family":"Hara","given":"Hiroki"},{"family":"Antunes","given":"Luis"},{"family":"Fountzilas","given":"Christos"},{"family":"Tsuji","given":"Akihito"},{"family":"Oliden","given":"Victor Castro"},{"family":"Liu","given":"Qi"},{"family":"Shah","given":"Sukrut"},{"family":"Bhagia","given":"Pooja"},{"family":"Kato","given":"Ken"}],"issued":{"date-parts":[["2021",8,28]]}}}],"schema":"https://github.com/citation-style-language/schema/raw/master/csl-citation.json"}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[3]</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Hyponatraemia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0.054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0.043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0.065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{"citationID":"45z02K02","properties":{"formattedCitation":"[3]","plainCitation":"[3]","noteIndex":0},"citationItems":[{"id":1576,"uris":["http://zotero.org/users/10452308/items/RIE5KTBR"],"itemData":{"id":1576,"type":"article-journal","call-number":"1","container-title":"The Lancet","DOI":"10.1016/S0140-6736(21)01234-4","ISSN":"0140-6736, 1474-547X","issue":"10302","journalAbbreviation":"The Lancet","language":"English","note":"publisher: Elsevier\nPMID: 34454674","page":"759-771","source":"168.9","title":"Pembrolizumab plus chemotherapy versus chemotherapy alone for first-line treatment of advanced oesophageal cancer (KEYNOTE-590): a randomised, placebo-controlled, phase 3 study","title-short":"Pembrolizumab plus chemotherapy versus chemotherapy alone for first-line treatment of advanced oesophageal cancer (KEYNOTE-590)","volume":"398","author":[{"family":"Sun","given":"Jong-Mu"},{"family":"Shen","given":"Lin"},{"family":"Shah","given":"Manish A."},{"family":"Enzinger","given":"Peter"},{"family":"Adenis","given":"Antoine"},{"family":"Doi","given":"Toshihiko"},{"family":"Kojima","given":"Takashi"},{"family":"Metges","given":"Jean-Philippe"},{"family":"Li","given":"Zhigang"},{"family":"Kim","given":"Sung-Bae"},{"family":"Cho","given":"Byoung Chul"},{"family":"Mansoor","given":"Wasat"},{"family":"Li","given":"Shau-Hsuan"},{"family":"Sunpaweravong","given":"Patrapim"},{"family":"Maqueda","given":"Maria Alsina"},{"family":"Goekkurt","given":"Eray"},{"family":"Hara","given":"Hiroki"},{"family":"Antunes","given":"Luis"},{"family":"Fountzilas","given":"Christos"},{"family":"Tsuji","given":"Akihito"},{"family":"Oliden","given":"Victor Castro"},{"family":"Liu","given":"Qi"},{"family":"Shah","given":"Sukrut"},{"family":"Bhagia","given":"Pooja"},{"family":"Kato","given":"Ken"}],"issued":{"date-parts":[["2021",8,28]]}}}],"schema":"https://github.com/citation-style-language/schema/raw/master/csl-citation.json"}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[3]</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Serplulimab plus Chemotherapy</w:t>
            </w:r>
          </w:p>
        </w:tc>
        <w:tc>
          <w:tcPr>
            <w:tcW w:w="700"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Anemia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0.175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0.140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0.210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{"citationID":"y2R0Vmd2","properties":{"unsorted":true,"formattedCitation":"[4]","plainCitation":"[4]","noteIndex":0},"citationItems":[{"id":1579,"uris":["http://zotero.org/users/10452308/items/2HQDFFYX"],"itemData":{"id":1579,"type":"article-journal","abstract":"First-line systemic therapeutic options for advanced esophageal squamous cell carcinoma (ESCC) are limited. In this multicenter, double-blind phase 3 trial, a total of 551 patients with previously untreated, locally advanced or metastatic ESCC and PD-L1 combined positive score of </w:instrText>
            </w:r>
            <w:r>
              <w:rPr>
                <w:rFonts w:hint="eastAsia" w:ascii="Times New Roman" w:hAnsi="Times New Roman" w:eastAsia="宋体" w:cs="Times New Roman"/>
                <w:kern w:val="0"/>
                <w:sz w:val="16"/>
                <w:szCs w:val="16"/>
              </w:rPr>
              <w:instrText xml:space="preserve">≥</w:instrText>
            </w:r>
            <w:r>
              <w:rPr>
                <w:rFonts w:ascii="Times New Roman" w:hAnsi="Times New Roman" w:eastAsia="宋体" w:cs="Times New Roman"/>
                <w:kern w:val="0"/>
                <w:sz w:val="16"/>
                <w:szCs w:val="16"/>
              </w:rPr>
              <w:instrText xml:space="preserve">1 were randomized (2:1) to receive serplulimab (an anti-PD-1 antibody; 3 mg/kg) or placebo (on day 1), plus cisplatin (50 mg/m2) (on day 1) and continuous infusion of 5-fluorouracil (1,200 mg/m2) (on days 1 and 2), once every 2 weeks. The study met the primary endpoints. At the prespecified final analysis of progression-free survival (PFS) assessed by the blinded independent radiological review committee, serplulimab plus chemotherapy significantly improved PFS compared with placebo plus chemotherapy (median PFS of 5.8 months and 5.3 months, respectively; hazard ratio, 0.60; 95% confidence interval, 0.48–0.75; P &lt; 0.0001). At the prespecified interim analysis of overall survival (OS), serplulimab plus chemotherapy also significantly prolonged OS compared with placebo plus chemotherapy (median OS of 15.3 months and 11.8 months, respectively; hazard ratio, 0.68; 95% confidence interval, 0.53–0.87; P = 0.0020). Grade 3 or higher treatment-related adverse events occurred in 201 (53%) and 81 (48%) patients in the serplulimab plus chemotherapy group and the placebo plus chemotherapy group, respectively. Serplulimab plus chemotherapy administered every 2 weeks significantly improved PFS and OS in patients with previously untreated, PD-L1-positive advanced ESCC, with a manageable safety profile. This study is registered with ClinicalTrials.gov (NCT03958890).","call-number":"1","container-title":"Nature Medicine","DOI":"10.1038/s41591-022-02179-2","ISSN":"1546-170X","issue":"2","journalAbbreviation":"Nat Med","language":"en","license":"2023 The Author(s)","note":"number: 2\npublisher: Nature Publishing Group","page":"473-482","source":"82.9","title":"First-line serplulimab or placebo plus chemotherapy in PD-L1-positive esophageal squamous cell carcinoma: a randomized, double-blind phase 3 trial","title-short":"First-line serplulimab or placebo plus chemotherapy in PD-L1-positive esophageal squamous cell carcinoma","volume":"29","author":[{"family":"Song","given":"Yan"},{"family":"Zhang","given":"Bo"},{"family":"Xin","given":"Dao"},{"family":"Kou","given":"Xiaoge"},{"family":"Tan","given":"Zhenbo"},{"family":"Zhang","given":"Shu"},{"family":"Sun","given":"Meili"},{"family":"Zhou","given":"Jin"},{"family":"Fan","given":"Min"},{"family":"Zhang","given":"Ming"},{"family":"Song","given":"Yongxiang"},{"family":"Li","given":"Suyi"},{"family":"Yuan","given":"Yuan"},{"family":"Zhuang","given":"Wu"},{"family":"Zhang","given":"Jingdong"},{"family":"Zhang","given":"Li"},{"family":"Jiang","given":"Hao"},{"family":"Gu","given":"Kangsheng"},{"family":"Ye","given":"Huangyang"},{"family":"Ke","given":"Ying"},{"family":"Li","given":"Jing"},{"family":"Wang","given":"Qingyu"},{"family":"Zhu","given":"Jun"},{"family":"Huang","given":"Jing"}],"issued":{"date-parts":[["2023",2]]}}}],"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[4]</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Neutropenia or Neutrophil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0.186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0.149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0.223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{"citationID":"zgdncvvI","properties":{"unsorted":true,"formattedCitation":"[4]","plainCitation":"[4]","noteIndex":0},"citationItems":[{"id":1579,"uris":["http://zotero.org/users/10452308/items/2HQDFFYX"],"itemData":{"id":1579,"type":"article-journal","abstract":"First-line systemic therapeutic options for advanced esophageal squamous cell carcinoma (ESCC) are limited. In this multicenter, double-blind phase 3 trial, a total of 551 patients with previously untreated, locally advanced or metastatic ESCC and PD-L1 combined positive score of </w:instrText>
            </w:r>
            <w:r>
              <w:rPr>
                <w:rFonts w:hint="eastAsia" w:ascii="Times New Roman" w:hAnsi="Times New Roman" w:eastAsia="宋体" w:cs="Times New Roman"/>
                <w:kern w:val="0"/>
                <w:sz w:val="16"/>
                <w:szCs w:val="16"/>
              </w:rPr>
              <w:instrText xml:space="preserve">≥</w:instrText>
            </w:r>
            <w:r>
              <w:rPr>
                <w:rFonts w:ascii="Times New Roman" w:hAnsi="Times New Roman" w:eastAsia="宋体" w:cs="Times New Roman"/>
                <w:kern w:val="0"/>
                <w:sz w:val="16"/>
                <w:szCs w:val="16"/>
              </w:rPr>
              <w:instrText xml:space="preserve">1 were randomized (2:1) to receive serplulimab (an anti-PD-1 antibody; 3 mg/kg) or placebo (on day 1), plus cisplatin (50 mg/m2) (on day 1) and continuous infusion of 5-fluorouracil (1,200 mg/m2) (on days 1 and 2), once every 2 weeks. The study met the primary endpoints. At the prespecified final analysis of progression-free survival (PFS) assessed by the blinded independent radiological review committee, serplulimab plus chemotherapy significantly improved PFS compared with placebo plus chemotherapy (median PFS of 5.8 months and 5.3 months, respectively; hazard ratio, 0.60; 95% confidence interval, 0.48–0.75; P &lt; 0.0001). At the prespecified interim analysis of overall survival (OS), serplulimab plus chemotherapy also significantly prolonged OS compared with placebo plus chemotherapy (median OS of 15.3 months and 11.8 months, respectively; hazard ratio, 0.68; 95% confidence interval, 0.53–0.87; P = 0.0020). Grade 3 or higher treatment-related adverse events occurred in 201 (53%) and 81 (48%) patients in the serplulimab plus chemotherapy group and the placebo plus chemotherapy group, respectively. Serplulimab plus chemotherapy administered every 2 weeks significantly improved PFS and OS in patients with previously untreated, PD-L1-positive advanced ESCC, with a manageable safety profile. This study is registered with ClinicalTrials.gov (NCT03958890).","call-number":"1","container-title":"Nature Medicine","DOI":"10.1038/s41591-022-02179-2","ISSN":"1546-170X","issue":"2","journalAbbreviation":"Nat Med","language":"en","license":"2023 The Author(s)","note":"number: 2\npublisher: Nature Publishing Group","page":"473-482","source":"82.9","title":"First-line serplulimab or placebo plus chemotherapy in PD-L1-positive esophageal squamous cell carcinoma: a randomized, double-blind phase 3 trial","title-short":"First-line serplulimab or placebo plus chemotherapy in PD-L1-positive esophageal squamous cell carcinoma","volume":"29","author":[{"family":"Song","given":"Yan"},{"family":"Zhang","given":"Bo"},{"family":"Xin","given":"Dao"},{"family":"Kou","given":"Xiaoge"},{"family":"Tan","given":"Zhenbo"},{"family":"Zhang","given":"Shu"},{"family":"Sun","given":"Meili"},{"family":"Zhou","given":"Jin"},{"family":"Fan","given":"Min"},{"family":"Zhang","given":"Ming"},{"family":"Song","given":"Yongxiang"},{"family":"Li","given":"Suyi"},{"family":"Yuan","given":"Yuan"},{"family":"Zhuang","given":"Wu"},{"family":"Zhang","given":"Jingdong"},{"family":"Zhang","given":"Li"},{"family":"Jiang","given":"Hao"},{"family":"Gu","given":"Kangsheng"},{"family":"Ye","given":"Huangyang"},{"family":"Ke","given":"Ying"},{"family":"Li","given":"Jing"},{"family":"Wang","given":"Qingyu"},{"family":"Zhu","given":"Jun"},{"family":"Huang","given":"Jing"}],"issued":{"date-parts":[["2023",2]]}}}],"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[4]</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Leukopenia or White Blood Cell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0.113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0.090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0.135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{"citationID":"xH6LIkJs","properties":{"unsorted":true,"formattedCitation":"[4]","plainCitation":"[4]","noteIndex":0},"citationItems":[{"id":1579,"uris":["http://zotero.org/users/10452308/items/2HQDFFYX"],"itemData":{"id":1579,"type":"article-journal","abstract":"First-line systemic therapeutic options for advanced esophageal squamous cell carcinoma (ESCC) are limited. In this multicenter, double-blind phase 3 trial, a total of 551 patients with previously untreated, locally advanced or metastatic ESCC and PD-L1 combined positive score of </w:instrText>
            </w:r>
            <w:r>
              <w:rPr>
                <w:rFonts w:hint="eastAsia" w:ascii="Times New Roman" w:hAnsi="Times New Roman" w:eastAsia="宋体" w:cs="Times New Roman"/>
                <w:kern w:val="0"/>
                <w:sz w:val="16"/>
                <w:szCs w:val="16"/>
              </w:rPr>
              <w:instrText xml:space="preserve">≥</w:instrText>
            </w:r>
            <w:r>
              <w:rPr>
                <w:rFonts w:ascii="Times New Roman" w:hAnsi="Times New Roman" w:eastAsia="宋体" w:cs="Times New Roman"/>
                <w:kern w:val="0"/>
                <w:sz w:val="16"/>
                <w:szCs w:val="16"/>
              </w:rPr>
              <w:instrText xml:space="preserve">1 were randomized (2:1) to receive serplulimab (an anti-PD-1 antibody; 3 mg/kg) or placebo (on day 1), plus cisplatin (50 mg/m2) (on day 1) and continuous infusion of 5-fluorouracil (1,200 mg/m2) (on days 1 and 2), once every 2 weeks. The study met the primary endpoints. At the prespecified final analysis of progression-free survival (PFS) assessed by the blinded independent radiological review committee, serplulimab plus chemotherapy significantly improved PFS compared with placebo plus chemotherapy (median PFS of 5.8 months and 5.3 months, respectively; hazard ratio, 0.60; 95% confidence interval, 0.48–0.75; P &lt; 0.0001). At the prespecified interim analysis of overall survival (OS), serplulimab plus chemotherapy also significantly prolonged OS compared with placebo plus chemotherapy (median OS of 15.3 months and 11.8 months, respectively; hazard ratio, 0.68; 95% confidence interval, 0.53–0.87; P = 0.0020). Grade 3 or higher treatment-related adverse events occurred in 201 (53%) and 81 (48%) patients in the serplulimab plus chemotherapy group and the placebo plus chemotherapy group, respectively. Serplulimab plus chemotherapy administered every 2 weeks significantly improved PFS and OS in patients with previously untreated, PD-L1-positive advanced ESCC, with a manageable safety profile. This study is registered with ClinicalTrials.gov (NCT03958890).","call-number":"1","container-title":"Nature Medicine","DOI":"10.1038/s41591-022-02179-2","ISSN":"1546-170X","issue":"2","journalAbbreviation":"Nat Med","language":"en","license":"2023 The Author(s)","note":"number: 2\npublisher: Nature Publishing Group","page":"473-482","source":"82.9","title":"First-line serplulimab or placebo plus chemotherapy in PD-L1-positive esophageal squamous cell carcinoma: a randomized, double-blind phase 3 trial","title-short":"First-line serplulimab or placebo plus chemotherapy in PD-L1-positive esophageal squamous cell carcinoma","volume":"29","author":[{"family":"Song","given":"Yan"},{"family":"Zhang","given":"Bo"},{"family":"Xin","given":"Dao"},{"family":"Kou","given":"Xiaoge"},{"family":"Tan","given":"Zhenbo"},{"family":"Zhang","given":"Shu"},{"family":"Sun","given":"Meili"},{"family":"Zhou","given":"Jin"},{"family":"Fan","given":"Min"},{"family":"Zhang","given":"Ming"},{"family":"Song","given":"Yongxiang"},{"family":"Li","given":"Suyi"},{"family":"Yuan","given":"Yuan"},{"family":"Zhuang","given":"Wu"},{"family":"Zhang","given":"Jingdong"},{"family":"Zhang","given":"Li"},{"family":"Jiang","given":"Hao"},{"family":"Gu","given":"Kangsheng"},{"family":"Ye","given":"Huangyang"},{"family":"Ke","given":"Ying"},{"family":"Li","given":"Jing"},{"family":"Wang","given":"Qingyu"},{"family":"Zhu","given":"Jun"},{"family":"Huang","given":"Jing"}],"issued":{"date-parts":[["2023",2]]}}}],"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[4]</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Sintilimab plus Chemotherapy</w:t>
            </w:r>
          </w:p>
        </w:tc>
        <w:tc>
          <w:tcPr>
            <w:tcW w:w="700"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Anemia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0.125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0.100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0.150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{"citationID":"F4FN4uLo","properties":{"formattedCitation":"[5]","plainCitation":"[5]","noteIndex":0},"citationItems":[{"id":1584,"uris":["http://zotero.org/users/10452308/items/NSDQUIBB"],"itemData":{"id":1584,"type":"article-journal","abstract":"Objective To evaluate sintilimab versus placebo in combination with chemotherapy (cisplatin plus paclitaxel or cisplatin plus 5-fluorouracil) as first line treatment of unresectable locally advanced, recurrent, or metastatic oesop</w:instrText>
            </w:r>
            <w:r>
              <w:rPr>
                <w:rFonts w:hint="eastAsia" w:ascii="Times New Roman" w:hAnsi="Times New Roman" w:eastAsia="宋体" w:cs="Times New Roman"/>
                <w:kern w:val="0"/>
                <w:sz w:val="16"/>
                <w:szCs w:val="16"/>
              </w:rPr>
              <w:instrText xml:space="preserve">hageal squamous cell carcinoma.\nDesign Multicentre, randomised, double blind, phase 3 trial.\nSetting 66 sites in China and 13 sites outside of China between 14 December 2018 and 9 April 2021.\nParticipants 659 adults (aged ≥18 years) with advanced or metastatic oesophageal squamous cell carcinoma who had not received systemic treatment.\nIntervention Participants were randomised 1:1 to receive sintilimab or placebo (3 mg/kg in patients weighing &lt;60 kg or 200 mg in patients weighing ≥60 kg) in combinatio</w:instrText>
            </w:r>
            <w:r>
              <w:rPr>
                <w:rFonts w:ascii="Times New Roman" w:hAnsi="Times New Roman" w:eastAsia="宋体" w:cs="Times New Roman"/>
                <w:kern w:val="0"/>
                <w:sz w:val="16"/>
                <w:szCs w:val="16"/>
              </w:rPr>
              <w:instrText xml:space="preserve">n with cisplatin 75 mg/m2 plus paclitaxel 175 mg/m2 every three weeks. The trial was amended to allow investigators to choose the chemotherapy regimen: cisplatin plus paclitaxel or cisplatin plus 5-fluorouracil (800 mg/m2 continuous infusion on days 1-5).</w:instrText>
            </w:r>
            <w:r>
              <w:rPr>
                <w:rFonts w:hint="eastAsia" w:ascii="Times New Roman" w:hAnsi="Times New Roman" w:eastAsia="宋体" w:cs="Times New Roman"/>
                <w:kern w:val="0"/>
                <w:sz w:val="16"/>
                <w:szCs w:val="16"/>
              </w:rPr>
              <w:instrText xml:space="preserve">\nMain outcome measures Overall survival in all patients and in patients with combined positive scores of ≥10 for expression of programmed cell death ligand 1.\nResults 659 patients were randomly assigned to sintilimab (n=327) or placebo (n=332) with chem</w:instrText>
            </w:r>
            <w:r>
              <w:rPr>
                <w:rFonts w:ascii="Times New Roman" w:hAnsi="Times New Roman" w:eastAsia="宋体" w:cs="Times New Roman"/>
                <w:kern w:val="0"/>
                <w:sz w:val="16"/>
                <w:szCs w:val="16"/>
              </w:rPr>
              <w:instrText xml:space="preserve">otherapy. 616 of 659 patients (93%) received sintilimab or placebo in combination with cisplatin plus paclitaxel and 43 of 659 patients (7%) received sintilimab or placebo in combination with cisplatin plus 5-fluorouracil. At the interim analysis, sintili</w:instrText>
            </w:r>
            <w:r>
              <w:rPr>
                <w:rFonts w:hint="eastAsia" w:ascii="Times New Roman" w:hAnsi="Times New Roman" w:eastAsia="宋体" w:cs="Times New Roman"/>
                <w:kern w:val="0"/>
                <w:sz w:val="16"/>
                <w:szCs w:val="16"/>
              </w:rPr>
              <w:instrText xml:space="preserve">mab with chemotherapy showed better overall survival compared with placebo and chemotherapy in all patients (median 16.7 v 12.5 months, hazard ratio 0.63, 95% confidence interval 0.51 to 0.78, P&lt;0.001) and in patients with combined positive scores of ≥10 </w:instrText>
            </w:r>
            <w:r>
              <w:rPr>
                <w:rFonts w:ascii="Times New Roman" w:hAnsi="Times New Roman" w:eastAsia="宋体" w:cs="Times New Roman"/>
                <w:kern w:val="0"/>
                <w:sz w:val="16"/>
                <w:szCs w:val="16"/>
              </w:rPr>
              <w:instrText xml:space="preserve">(17.2 v 13.6 months, 0.64, 0.48 to 0.85, P=0.002). Sintilimab and chemotherapy significantly improved progression free survival compared with placebo and chemotherapy in all patients (7.2 v 5.7 months, 0.56, 0.46 to 0.68, P&lt;0.001) and in patients with com</w:instrText>
            </w:r>
            <w:r>
              <w:rPr>
                <w:rFonts w:hint="eastAsia" w:ascii="Times New Roman" w:hAnsi="Times New Roman" w:eastAsia="宋体" w:cs="Times New Roman"/>
                <w:kern w:val="0"/>
                <w:sz w:val="16"/>
                <w:szCs w:val="16"/>
              </w:rPr>
              <w:instrText xml:space="preserve">bined positive scores of ≥10 (8.3 v 6.4 months, 0.58, 0.45 to 0.75, P&lt;0.001). Adverse events related to treatment occurred in 321 of 327 patients (98%) in the sintilimab-chemotherapy group versus 326 of 332 (98%) patients in the placebo-chemotherapy group. Rates of adverse events related to treatment, grade ≥3, were 60% (196/327) and 55% (181/332) in the sintilimab-chemotherapy and placebo-chemotherapy groups, respectively.\nConclusions Compared with placebo, sintilimab in combination with cisplatin plus </w:instrText>
            </w:r>
            <w:r>
              <w:rPr>
                <w:rFonts w:ascii="Times New Roman" w:hAnsi="Times New Roman" w:eastAsia="宋体" w:cs="Times New Roman"/>
                <w:kern w:val="0"/>
                <w:sz w:val="16"/>
                <w:szCs w:val="16"/>
              </w:rPr>
              <w:instrText xml:space="preserve">paclitaxel showed significant benefits in overall survival and progression free survival as first line treatment in patients with advanced or metastatic oesophageal squamous cell carcinoma. Similar benefits of sintilimab with cisplatin plus 5-fluorouracil seem promising.\nTrial registration ClinicalTrials.gov NCT03748134.","container-title":"BMJ","DOI":"10.1136/bmj-2021-068714","ISSN":"1756-1833","journalAbbreviation":"BMJ","language":"en","license":"©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35440464","page":"e068714","title":"Sintilimab versus placebo in combination with chemotherapy as first line treatment for locally advanced or metastatic oesophageal squamous cell carcinoma (ORIENT-15): multicentre, randomised, double blind, phase 3 trial","title-short":"Sintilimab versus placebo in combination with chemotherapy as first line treatment for locally advanced or metastatic oesophageal squamous cell carcinoma (ORIENT-15)","volume":"377","author":[{"family":"Lu","given":"Zhihao"},{"family":"Wang","given":"Junye"},{"family":"Shu","given":"Yongqian"},{"family":"Liu","given":"Lianke"},{"family":"Kong","given":"Li"},{"family":"Yang","given":"Lei"},{"family":"Wang","given":"Buhai"},{"family":"Sun","given":"Guogui"},{"family":"Ji","given":"Yinghua"},{"family":"Cao","given":"Guochun"},{"family":"Liu","given":"Hu"},{"family":"Cui","given":"Tongjian"},{"family":"Li","given":"Na"},{"family":"Qiu","given":"Wensheng"},{"family":"Li","given":"Gaofeng"},{"family":"Hou","given":"Xinfang"},{"family":"Luo","given":"Hui"},{"family":"Xue","given":"Liying"},{"family":"Zhang","given":"Yanqiao"},{"family":"Yue","given":"Wenbin"},{"family":"Liu","given":"Zheng"},{"family":"Wang","given":"Xiuwen"},{"family":"Gao","given":"Shegan"},{"family":"Pan","given":"Yueyin"},{"family":"Galais","given":"Marie-Pierre"},{"family":"Zaanan","given":"Aziz"},{"family":"Ma","given":"Zhuo"},{"family":"Li","given":"Haoyu"},{"family":"Wang","given":"Yan"},{"family":"Shen","given":"Lin"}],"issued":{"date-parts":[["2022",4,19]]}}}],"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[5]</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Neutropenia or Neutrophil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0.300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0.240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0.360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{"citationID":"bgltWIhl","properties":{"formattedCitation":"[5]","plainCitation":"[5]","noteIndex":0},"citationItems":[{"id":1584,"uris":["http://zotero.org/users/10452308/items/NSDQUIBB"],"itemData":{"id":1584,"type":"article-journal","abstract":"Objective To evaluate sintilimab versus placebo in combination with chemotherapy (cisplatin plus paclitaxel or cisplatin plus 5-fluorouracil) as first line treatment of unresectable locally advanced, recurrent, or metastatic oesop</w:instrText>
            </w:r>
            <w:r>
              <w:rPr>
                <w:rFonts w:hint="eastAsia" w:ascii="Times New Roman" w:hAnsi="Times New Roman" w:eastAsia="宋体" w:cs="Times New Roman"/>
                <w:kern w:val="0"/>
                <w:sz w:val="16"/>
                <w:szCs w:val="16"/>
              </w:rPr>
              <w:instrText xml:space="preserve">hageal squamous cell carcinoma.\nDesign Multicentre, randomised, double blind, phase 3 trial.\nSetting 66 sites in China and 13 sites outside of China between 14 December 2018 and 9 April 2021.\nParticipants 659 adults (aged ≥18 years) with advanced or metastatic oesophageal squamous cell carcinoma who had not received systemic treatment.\nIntervention Participants were randomised 1:1 to receive sintilimab or placebo (3 mg/kg in patients weighing &lt;60 kg or 200 mg in patients weighing ≥60 kg) in combinatio</w:instrText>
            </w:r>
            <w:r>
              <w:rPr>
                <w:rFonts w:ascii="Times New Roman" w:hAnsi="Times New Roman" w:eastAsia="宋体" w:cs="Times New Roman"/>
                <w:kern w:val="0"/>
                <w:sz w:val="16"/>
                <w:szCs w:val="16"/>
              </w:rPr>
              <w:instrText xml:space="preserve">n with cisplatin 75 mg/m2 plus paclitaxel 175 mg/m2 every three weeks. The trial was amended to allow investigators to choose the chemotherapy regimen: cisplatin plus paclitaxel or cisplatin plus 5-fluorouracil (800 mg/m2 continuous infusion on days 1-5).</w:instrText>
            </w:r>
            <w:r>
              <w:rPr>
                <w:rFonts w:hint="eastAsia" w:ascii="Times New Roman" w:hAnsi="Times New Roman" w:eastAsia="宋体" w:cs="Times New Roman"/>
                <w:kern w:val="0"/>
                <w:sz w:val="16"/>
                <w:szCs w:val="16"/>
              </w:rPr>
              <w:instrText xml:space="preserve">\nMain outcome measures Overall survival in all patients and in patients with combined positive scores of ≥10 for expression of programmed cell death ligand 1.\nResults 659 patients were randomly assigned to sintilimab (n=327) or placebo (n=332) with chem</w:instrText>
            </w:r>
            <w:r>
              <w:rPr>
                <w:rFonts w:ascii="Times New Roman" w:hAnsi="Times New Roman" w:eastAsia="宋体" w:cs="Times New Roman"/>
                <w:kern w:val="0"/>
                <w:sz w:val="16"/>
                <w:szCs w:val="16"/>
              </w:rPr>
              <w:instrText xml:space="preserve">otherapy. 616 of 659 patients (93%) received sintilimab or placebo in combination with cisplatin plus paclitaxel and 43 of 659 patients (7%) received sintilimab or placebo in combination with cisplatin plus 5-fluorouracil. At the interim analysis, sintili</w:instrText>
            </w:r>
            <w:r>
              <w:rPr>
                <w:rFonts w:hint="eastAsia" w:ascii="Times New Roman" w:hAnsi="Times New Roman" w:eastAsia="宋体" w:cs="Times New Roman"/>
                <w:kern w:val="0"/>
                <w:sz w:val="16"/>
                <w:szCs w:val="16"/>
              </w:rPr>
              <w:instrText xml:space="preserve">mab with chemotherapy showed better overall survival compared with placebo and chemotherapy in all patients (median 16.7 v 12.5 months, hazard ratio 0.63, 95% confidence interval 0.51 to 0.78, P&lt;0.001) and in patients with combined positive scores of ≥10 </w:instrText>
            </w:r>
            <w:r>
              <w:rPr>
                <w:rFonts w:ascii="Times New Roman" w:hAnsi="Times New Roman" w:eastAsia="宋体" w:cs="Times New Roman"/>
                <w:kern w:val="0"/>
                <w:sz w:val="16"/>
                <w:szCs w:val="16"/>
              </w:rPr>
              <w:instrText xml:space="preserve">(17.2 v 13.6 months, 0.64, 0.48 to 0.85, P=0.002). Sintilimab and chemotherapy significantly improved progression free survival compared with placebo and chemotherapy in all patients (7.2 v 5.7 months, 0.56, 0.46 to 0.68, P&lt;0.001) and in patients with com</w:instrText>
            </w:r>
            <w:r>
              <w:rPr>
                <w:rFonts w:hint="eastAsia" w:ascii="Times New Roman" w:hAnsi="Times New Roman" w:eastAsia="宋体" w:cs="Times New Roman"/>
                <w:kern w:val="0"/>
                <w:sz w:val="16"/>
                <w:szCs w:val="16"/>
              </w:rPr>
              <w:instrText xml:space="preserve">bined positive scores of ≥10 (8.3 v 6.4 months, 0.58, 0.45 to 0.75, P&lt;0.001). Adverse events related to treatment occurred in 321 of 327 patients (98%) in the sintilimab-chemotherapy group versus 326 of 332 (98%) patients in the placebo-chemotherapy group. Rates of adverse events related to treatment, grade ≥3, were 60% (196/327) and 55% (181/332) in the sintilimab-chemotherapy and placebo-chemotherapy groups, respectively.\nConclusions Compared with placebo, sintilimab in combination with cisplatin plus </w:instrText>
            </w:r>
            <w:r>
              <w:rPr>
                <w:rFonts w:ascii="Times New Roman" w:hAnsi="Times New Roman" w:eastAsia="宋体" w:cs="Times New Roman"/>
                <w:kern w:val="0"/>
                <w:sz w:val="16"/>
                <w:szCs w:val="16"/>
              </w:rPr>
              <w:instrText xml:space="preserve">paclitaxel showed significant benefits in overall survival and progression free survival as first line treatment in patients with advanced or metastatic oesophageal squamous cell carcinoma. Similar benefits of sintilimab with cisplatin plus 5-fluorouracil seem promising.\nTrial registration ClinicalTrials.gov NCT03748134.","container-title":"BMJ","DOI":"10.1136/bmj-2021-068714","ISSN":"1756-1833","journalAbbreviation":"BMJ","language":"en","license":"©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35440464","page":"e068714","title":"Sintilimab versus placebo in combination with chemotherapy as first line treatment for locally advanced or metastatic oesophageal squamous cell carcinoma (ORIENT-15): multicentre, randomised, double blind, phase 3 trial","title-short":"Sintilimab versus placebo in combination with chemotherapy as first line treatment for locally advanced or metastatic oesophageal squamous cell carcinoma (ORIENT-15)","volume":"377","author":[{"family":"Lu","given":"Zhihao"},{"family":"Wang","given":"Junye"},{"family":"Shu","given":"Yongqian"},{"family":"Liu","given":"Lianke"},{"family":"Kong","given":"Li"},{"family":"Yang","given":"Lei"},{"family":"Wang","given":"Buhai"},{"family":"Sun","given":"Guogui"},{"family":"Ji","given":"Yinghua"},{"family":"Cao","given":"Guochun"},{"family":"Liu","given":"Hu"},{"family":"Cui","given":"Tongjian"},{"family":"Li","given":"Na"},{"family":"Qiu","given":"Wensheng"},{"family":"Li","given":"Gaofeng"},{"family":"Hou","given":"Xinfang"},{"family":"Luo","given":"Hui"},{"family":"Xue","given":"Liying"},{"family":"Zhang","given":"Yanqiao"},{"family":"Yue","given":"Wenbin"},{"family":"Liu","given":"Zheng"},{"family":"Wang","given":"Xiuwen"},{"family":"Gao","given":"Shegan"},{"family":"Pan","given":"Yueyin"},{"family":"Galais","given":"Marie-Pierre"},{"family":"Zaanan","given":"Aziz"},{"family":"Ma","given":"Zhuo"},{"family":"Li","given":"Haoyu"},{"family":"Wang","given":"Yan"},{"family":"Shen","given":"Lin"}],"issued":{"date-parts":[["2022",4,19]]}}}],"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[5]</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Leukopenia or White Blood Cell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0.174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0.139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0.209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{"citationID":"VXDRdSff","properties":{"formattedCitation":"[5]","plainCitation":"[5]","noteIndex":0},"citationItems":[{"id":1584,"uris":["http://zotero.org/users/10452308/items/NSDQUIBB"],"itemData":{"id":1584,"type":"article-journal","abstract":"Objective To evaluate sintilimab versus placebo in combination with chemotherapy (cisplatin plus paclitaxel or cisplatin plus 5-fluorouracil) as first line treatment of unresectable locally advanced, recurrent, or metastatic oesop</w:instrText>
            </w:r>
            <w:r>
              <w:rPr>
                <w:rFonts w:hint="eastAsia" w:ascii="Times New Roman" w:hAnsi="Times New Roman" w:eastAsia="宋体" w:cs="Times New Roman"/>
                <w:kern w:val="0"/>
                <w:sz w:val="16"/>
                <w:szCs w:val="16"/>
              </w:rPr>
              <w:instrText xml:space="preserve">hageal squamous cell carcinoma.\nDesign Multicentre, randomised, double blind, phase 3 trial.\nSetting 66 sites in China and 13 sites outside of China between 14 December 2018 and 9 April 2021.\nParticipants 659 adults (aged ≥18 years) with advanced or metastatic oesophageal squamous cell carcinoma who had not received systemic treatment.\nIntervention Participants were randomised 1:1 to receive sintilimab or placebo (3 mg/kg in patients weighing &lt;60 kg or 200 mg in patients weighing ≥60 kg) in combinatio</w:instrText>
            </w:r>
            <w:r>
              <w:rPr>
                <w:rFonts w:ascii="Times New Roman" w:hAnsi="Times New Roman" w:eastAsia="宋体" w:cs="Times New Roman"/>
                <w:kern w:val="0"/>
                <w:sz w:val="16"/>
                <w:szCs w:val="16"/>
              </w:rPr>
              <w:instrText xml:space="preserve">n with cisplatin 75 mg/m2 plus paclitaxel 175 mg/m2 every three weeks. The trial was amended to allow investigators to choose the chemotherapy regimen: cisplatin plus paclitaxel or cisplatin plus 5-fluorouracil (800 mg/m2 continuous infusion on days 1-5).</w:instrText>
            </w:r>
            <w:r>
              <w:rPr>
                <w:rFonts w:hint="eastAsia" w:ascii="Times New Roman" w:hAnsi="Times New Roman" w:eastAsia="宋体" w:cs="Times New Roman"/>
                <w:kern w:val="0"/>
                <w:sz w:val="16"/>
                <w:szCs w:val="16"/>
              </w:rPr>
              <w:instrText xml:space="preserve">\nMain outcome measures Overall survival in all patients and in patients with combined positive scores of ≥10 for expression of programmed cell death ligand 1.\nResults 659 patients were randomly assigned to sintilimab (n=327) or placebo (n=332) with chem</w:instrText>
            </w:r>
            <w:r>
              <w:rPr>
                <w:rFonts w:ascii="Times New Roman" w:hAnsi="Times New Roman" w:eastAsia="宋体" w:cs="Times New Roman"/>
                <w:kern w:val="0"/>
                <w:sz w:val="16"/>
                <w:szCs w:val="16"/>
              </w:rPr>
              <w:instrText xml:space="preserve">otherapy. 616 of 659 patients (93%) received sintilimab or placebo in combination with cisplatin plus paclitaxel and 43 of 659 patients (7%) received sintilimab or placebo in combination with cisplatin plus 5-fluorouracil. At the interim analysis, sintili</w:instrText>
            </w:r>
            <w:r>
              <w:rPr>
                <w:rFonts w:hint="eastAsia" w:ascii="Times New Roman" w:hAnsi="Times New Roman" w:eastAsia="宋体" w:cs="Times New Roman"/>
                <w:kern w:val="0"/>
                <w:sz w:val="16"/>
                <w:szCs w:val="16"/>
              </w:rPr>
              <w:instrText xml:space="preserve">mab with chemotherapy showed better overall survival compared with placebo and chemotherapy in all patients (median 16.7 v 12.5 months, hazard ratio 0.63, 95% confidence interval 0.51 to 0.78, P&lt;0.001) and in patients with combined positive scores of ≥10 </w:instrText>
            </w:r>
            <w:r>
              <w:rPr>
                <w:rFonts w:ascii="Times New Roman" w:hAnsi="Times New Roman" w:eastAsia="宋体" w:cs="Times New Roman"/>
                <w:kern w:val="0"/>
                <w:sz w:val="16"/>
                <w:szCs w:val="16"/>
              </w:rPr>
              <w:instrText xml:space="preserve">(17.2 v 13.6 months, 0.64, 0.48 to 0.85, P=0.002). Sintilimab and chemotherapy significantly improved progression free survival compared with placebo and chemotherapy in all patients (7.2 v 5.7 months, 0.56, 0.46 to 0.68, P&lt;0.001) and in patients with com</w:instrText>
            </w:r>
            <w:r>
              <w:rPr>
                <w:rFonts w:hint="eastAsia" w:ascii="Times New Roman" w:hAnsi="Times New Roman" w:eastAsia="宋体" w:cs="Times New Roman"/>
                <w:kern w:val="0"/>
                <w:sz w:val="16"/>
                <w:szCs w:val="16"/>
              </w:rPr>
              <w:instrText xml:space="preserve">bined positive scores of ≥10 (8.3 v 6.4 months, 0.58, 0.45 to 0.75, P&lt;0.001). Adverse events related to treatment occurred in 321 of 327 patients (98%) in the sintilimab-chemotherapy group versus 326 of 332 (98%) patients in the placebo-chemotherapy group. Rates of adverse events related to treatment, grade ≥3, were 60% (196/327) and 55% (181/332) in the sintilimab-chemotherapy and placebo-chemotherapy groups, respectively.\nConclusions Compared with placebo, sintilimab in combination with cisplatin plus </w:instrText>
            </w:r>
            <w:r>
              <w:rPr>
                <w:rFonts w:ascii="Times New Roman" w:hAnsi="Times New Roman" w:eastAsia="宋体" w:cs="Times New Roman"/>
                <w:kern w:val="0"/>
                <w:sz w:val="16"/>
                <w:szCs w:val="16"/>
              </w:rPr>
              <w:instrText xml:space="preserve">paclitaxel showed significant benefits in overall survival and progression free survival as first line treatment in patients with advanced or metastatic oesophageal squamous cell carcinoma. Similar benefits of sintilimab with cisplatin plus 5-fluorouracil seem promising.\nTrial registration ClinicalTrials.gov NCT03748134.","container-title":"BMJ","DOI":"10.1136/bmj-2021-068714","ISSN":"1756-1833","journalAbbreviation":"BMJ","language":"en","license":"©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35440464","page":"e068714","title":"Sintilimab versus placebo in combination with chemotherapy as first line treatment for locally advanced or metastatic oesophageal squamous cell carcinoma (ORIENT-15): multicentre, randomised, double blind, phase 3 trial","title-short":"Sintilimab versus placebo in combination with chemotherapy as first line treatment for locally advanced or metastatic oesophageal squamous cell carcinoma (ORIENT-15)","volume":"377","author":[{"family":"Lu","given":"Zhihao"},{"family":"Wang","given":"Junye"},{"family":"Shu","given":"Yongqian"},{"family":"Liu","given":"Lianke"},{"family":"Kong","given":"Li"},{"family":"Yang","given":"Lei"},{"family":"Wang","given":"Buhai"},{"family":"Sun","given":"Guogui"},{"family":"Ji","given":"Yinghua"},{"family":"Cao","given":"Guochun"},{"family":"Liu","given":"Hu"},{"family":"Cui","given":"Tongjian"},{"family":"Li","given":"Na"},{"family":"Qiu","given":"Wensheng"},{"family":"Li","given":"Gaofeng"},{"family":"Hou","given":"Xinfang"},{"family":"Luo","given":"Hui"},{"family":"Xue","given":"Liying"},{"family":"Zhang","given":"Yanqiao"},{"family":"Yue","given":"Wenbin"},{"family":"Liu","given":"Zheng"},{"family":"Wang","given":"Xiuwen"},{"family":"Gao","given":"Shegan"},{"family":"Pan","given":"Yueyin"},{"family":"Galais","given":"Marie-Pierre"},{"family":"Zaanan","given":"Aziz"},{"family":"Ma","given":"Zhuo"},{"family":"Li","given":"Haoyu"},{"family":"Wang","given":"Yan"},{"family":"Shen","given":"Lin"}],"issued":{"date-parts":[["2022",4,19]]}}}],"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[5]</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Tislelizumab plus Chemotherapy</w:t>
            </w:r>
          </w:p>
        </w:tc>
        <w:tc>
          <w:tcPr>
            <w:tcW w:w="700"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Anemia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0.145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0.116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0.174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{"citationID":"G9tXjxUG","properties":{"formattedCitation":"[6]","plainCitation":"[6]","noteIndex":0},"citationItems":[{"id":1570,"uris":["http://zotero.org/users/10452308/items/D6DCS7AN"],"itemData":{"id":1570,"type":"article-journal","call-number":"1","container-title":"The Lancet Oncology","DOI":"10.1016/S1470-2045(23)00108-0","ISSN":"1470-2045, 1474-5488","issue":"5","journalAbbreviation":"The Lancet Oncology","language":"English","note":"publisher: Elsevier\nPMID: 37080222","page":"483-495","source":"51.1","title":"Tislelizumab plus chemotherapy versus placebo plus chemotherapy as first-line treatment for advanced or metastatic oesophageal squamous cell carcinoma (RATIONALE-306): a global, randomised, placebo-controlled, phase 3 study","title-short":"Tislelizumab plus chemotherapy versus placebo plus chemotherapy as first-line treatment for advanced or metastatic oesophageal squamous cell carcinoma (RATIONALE-306)","volume":"24","author":[{"family":"Xu","given":"Jianming"},{"family":"Kato","given":"Ken"},{"family":"Raymond","given":"Eric"},{"family":"Hubner","given":"Richard A."},{"family":"Shu","given":"Yongqian"},{"family":"Pan","given":"Yueyin"},{"family":"Park","given":"Sook Ryun"},{"family":"Ping","given":"Lu"},{"family":"Jiang","given":"Yi"},{"family":"Zhang","given":"Jingdong"},{"family":"Wu","given":"Xiaohong"},{"family":"Yao","given":"Yuanhu"},{"family":"Shen","given":"Lin"},{"family":"Kojima","given":"Takashi"},{"family":"Gotovkin","given":"Evgeny"},{"family":"Ishihara","given":"Ryu"},{"family":"Wyrwicz","given":"Lucjan"},{"family":"Cutsem","given":"Eric Van"},{"family":"Jimenez-Fonseca","given":"Paula"},{"family":"Lin","given":"Chen-Yuan"},{"family":"Wang","given":"Lei"},{"family":"Shi","given":"Jingwen"},{"family":"Li","given":"Liyun"},{"family":"Yoon","given":"Harry H."}],"issued":{"date-parts":[["2023",5,1]]}}}],"schema":"https://github.com/citation-style-language/schema/raw/master/csl-citation.json"}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[6]</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Neutropenia or Neutrophil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0.377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0.301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0.452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{"citationID":"BefNGM4H","properties":{"formattedCitation":"[6]","plainCitation":"[6]","noteIndex":0},"citationItems":[{"id":1570,"uris":["http://zotero.org/users/10452308/items/D6DCS7AN"],"itemData":{"id":1570,"type":"article-journal","call-number":"1","container-title":"The Lancet Oncology","DOI":"10.1016/S1470-2045(23)00108-0","ISSN":"1470-2045, 1474-5488","issue":"5","journalAbbreviation":"The Lancet Oncology","language":"English","note":"publisher: Elsevier\nPMID: 37080222","page":"483-495","source":"51.1","title":"Tislelizumab plus chemotherapy versus placebo plus chemotherapy as first-line treatment for advanced or metastatic oesophageal squamous cell carcinoma (RATIONALE-306): a global, randomised, placebo-controlled, phase 3 study","title-short":"Tislelizumab plus chemotherapy versus placebo plus chemotherapy as first-line treatment for advanced or metastatic oesophageal squamous cell carcinoma (RATIONALE-306)","volume":"24","author":[{"family":"Xu","given":"Jianming"},{"family":"Kato","given":"Ken"},{"family":"Raymond","given":"Eric"},{"family":"Hubner","given":"Richard A."},{"family":"Shu","given":"Yongqian"},{"family":"Pan","given":"Yueyin"},{"family":"Park","given":"Sook Ryun"},{"family":"Ping","given":"Lu"},{"family":"Jiang","given":"Yi"},{"family":"Zhang","given":"Jingdong"},{"family":"Wu","given":"Xiaohong"},{"family":"Yao","given":"Yuanhu"},{"family":"Shen","given":"Lin"},{"family":"Kojima","given":"Takashi"},{"family":"Gotovkin","given":"Evgeny"},{"family":"Ishihara","given":"Ryu"},{"family":"Wyrwicz","given":"Lucjan"},{"family":"Cutsem","given":"Eric Van"},{"family":"Jimenez-Fonseca","given":"Paula"},{"family":"Lin","given":"Chen-Yuan"},{"family":"Wang","given":"Lei"},{"family":"Shi","given":"Jingwen"},{"family":"Li","given":"Liyun"},{"family":"Yoon","given":"Harry H."}],"issued":{"date-parts":[["2023",5,1]]}}}],"schema":"https://github.com/citation-style-language/schema/raw/master/csl-citation.json"}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[6]</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Leukopenia or White Blood Cell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0.133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0.106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0.159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{"citationID":"KkZH1mQF","properties":{"formattedCitation":"[6]","plainCitation":"[6]","noteIndex":0},"citationItems":[{"id":1570,"uris":["http://zotero.org/users/10452308/items/D6DCS7AN"],"itemData":{"id":1570,"type":"article-journal","call-number":"1","container-title":"The Lancet Oncology","DOI":"10.1016/S1470-2045(23)00108-0","ISSN":"1470-2045, 1474-5488","issue":"5","journalAbbreviation":"The Lancet Oncology","language":"English","note":"publisher: Elsevier\nPMID: 37080222","page":"483-495","source":"51.1","title":"Tislelizumab plus chemotherapy versus placebo plus chemotherapy as first-line treatment for advanced or metastatic oesophageal squamous cell carcinoma (RATIONALE-306): a global, randomised, placebo-controlled, phase 3 study","title-short":"Tislelizumab plus chemotherapy versus placebo plus chemotherapy as first-line treatment for advanced or metastatic oesophageal squamous cell carcinoma (RATIONALE-306)","volume":"24","author":[{"family":"Xu","given":"Jianming"},{"family":"Kato","given":"Ken"},{"family":"Raymond","given":"Eric"},{"family":"Hubner","given":"Richard A."},{"family":"Shu","given":"Yongqian"},{"family":"Pan","given":"Yueyin"},{"family":"Park","given":"Sook Ryun"},{"family":"Ping","given":"Lu"},{"family":"Jiang","given":"Yi"},{"family":"Zhang","given":"Jingdong"},{"family":"Wu","given":"Xiaohong"},{"family":"Yao","given":"Yuanhu"},{"family":"Shen","given":"Lin"},{"family":"Kojima","given":"Takashi"},{"family":"Gotovkin","given":"Evgeny"},{"family":"Ishihara","given":"Ryu"},{"family":"Wyrwicz","given":"Lucjan"},{"family":"Cutsem","given":"Eric Van"},{"family":"Jimenez-Fonseca","given":"Paula"},{"family":"Lin","given":"Chen-Yuan"},{"family":"Wang","given":"Lei"},{"family":"Shi","given":"Jingwen"},{"family":"Li","given":"Liyun"},{"family":"Yoon","given":"Harry H."}],"issued":{"date-parts":[["2023",5,1]]}}}],"schema":"https://github.com/citation-style-language/schema/raw/master/csl-citation.json"}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[6]</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Fatigue or Asthenia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0.052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0.042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0.063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{"citationID":"lKx9Lk6r","properties":{"formattedCitation":"[6]","plainCitation":"[6]","noteIndex":0},"citationItems":[{"id":1570,"uris":["http://zotero.org/users/10452308/items/D6DCS7AN"],"itemData":{"id":1570,"type":"article-journal","call-number":"1","container-title":"The Lancet Oncology","DOI":"10.1016/S1470-2045(23)00108-0","ISSN":"1470-2045, 1474-5488","issue":"5","journalAbbreviation":"The Lancet Oncology","language":"English","note":"publisher: Elsevier\nPMID: 37080222","page":"483-495","source":"51.1","title":"Tislelizumab plus chemotherapy versus placebo plus chemotherapy as first-line treatment for advanced or metastatic oesophageal squamous cell carcinoma (RATIONALE-306): a global, randomised, placebo-controlled, phase 3 study","title-short":"Tislelizumab plus chemotherapy versus placebo plus chemotherapy as first-line treatment for advanced or metastatic oesophageal squamous cell carcinoma (RATIONALE-306)","volume":"24","author":[{"family":"Xu","given":"Jianming"},{"family":"Kato","given":"Ken"},{"family":"Raymond","given":"Eric"},{"family":"Hubner","given":"Richard A."},{"family":"Shu","given":"Yongqian"},{"family":"Pan","given":"Yueyin"},{"family":"Park","given":"Sook Ryun"},{"family":"Ping","given":"Lu"},{"family":"Jiang","given":"Yi"},{"family":"Zhang","given":"Jingdong"},{"family":"Wu","given":"Xiaohong"},{"family":"Yao","given":"Yuanhu"},{"family":"Shen","given":"Lin"},{"family":"Kojima","given":"Takashi"},{"family":"Gotovkin","given":"Evgeny"},{"family":"Ishihara","given":"Ryu"},{"family":"Wyrwicz","given":"Lucjan"},{"family":"Cutsem","given":"Eric Van"},{"family":"Jimenez-Fonseca","given":"Paula"},{"family":"Lin","given":"Chen-Yuan"},{"family":"Wang","given":"Lei"},{"family":"Shi","given":"Jingwen"},{"family":"Li","given":"Liyun"},{"family":"Yoon","given":"Harry H."}],"issued":{"date-parts":[["2023",5,1]]}}}],"schema":"https://github.com/citation-style-language/schema/raw/master/csl-citation.json"}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[6]</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Hypokalaemia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0.056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0.044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0.067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{"citationID":"QhoTsOL8","properties":{"formattedCitation":"[6]","plainCitation":"[6]","noteIndex":0},"citationItems":[{"id":1570,"uris":["http://zotero.org/users/10452308/items/D6DCS7AN"],"itemData":{"id":1570,"type":"article-journal","call-number":"1","container-title":"The Lancet Oncology","DOI":"10.1016/S1470-2045(23)00108-0","ISSN":"1470-2045, 1474-5488","issue":"5","journalAbbreviation":"The Lancet Oncology","language":"English","note":"publisher: Elsevier\nPMID: 37080222","page":"483-495","source":"51.1","title":"Tislelizumab plus chemotherapy versus placebo plus chemotherapy as first-line treatment for advanced or metastatic oesophageal squamous cell carcinoma (RATIONALE-306): a global, randomised, placebo-controlled, phase 3 study","title-short":"Tislelizumab plus chemotherapy versus placebo plus chemotherapy as first-line treatment for advanced or metastatic oesophageal squamous cell carcinoma (RATIONALE-306)","volume":"24","author":[{"family":"Xu","given":"Jianming"},{"family":"Kato","given":"Ken"},{"family":"Raymond","given":"Eric"},{"family":"Hubner","given":"Richard A."},{"family":"Shu","given":"Yongqian"},{"family":"Pan","given":"Yueyin"},{"family":"Park","given":"Sook Ryun"},{"family":"Ping","given":"Lu"},{"family":"Jiang","given":"Yi"},{"family":"Zhang","given":"Jingdong"},{"family":"Wu","given":"Xiaohong"},{"family":"Yao","given":"Yuanhu"},{"family":"Shen","given":"Lin"},{"family":"Kojima","given":"Takashi"},{"family":"Gotovkin","given":"Evgeny"},{"family":"Ishihara","given":"Ryu"},{"family":"Wyrwicz","given":"Lucjan"},{"family":"Cutsem","given":"Eric Van"},{"family":"Jimenez-Fonseca","given":"Paula"},{"family":"Lin","given":"Chen-Yuan"},{"family":"Wang","given":"Lei"},{"family":"Shi","given":"Jingwen"},{"family":"Li","given":"Liyun"},{"family":"Yoon","given":"Harry H."}],"issued":{"date-parts":[["2023",5,1]]}}}],"schema":"https://github.com/citation-style-language/schema/raw/master/csl-citation.json"}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[6]</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Hyponatraemia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0.068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0.054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0.081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{"citationID":"XWMvoJQ0","properties":{"formattedCitation":"[6]","plainCitation":"[6]","noteIndex":0},"citationItems":[{"id":1570,"uris":["http://zotero.org/users/10452308/items/D6DCS7AN"],"itemData":{"id":1570,"type":"article-journal","call-number":"1","container-title":"The Lancet Oncology","DOI":"10.1016/S1470-2045(23)00108-0","ISSN":"1470-2045, 1474-5488","issue":"5","journalAbbreviation":"The Lancet Oncology","language":"English","note":"publisher: Elsevier\nPMID: 37080222","page":"483-495","source":"51.1","title":"Tislelizumab plus chemotherapy versus placebo plus chemotherapy as first-line treatment for advanced or metastatic oesophageal squamous cell carcinoma (RATIONALE-306): a global, randomised, placebo-controlled, phase 3 study","title-short":"Tislelizumab plus chemotherapy versus placebo plus chemotherapy as first-line treatment for advanced or metastatic oesophageal squamous cell carcinoma (RATIONALE-306)","volume":"24","author":[{"family":"Xu","given":"Jianming"},{"family":"Kato","given":"Ken"},{"family":"Raymond","given":"Eric"},{"family":"Hubner","given":"Richard A."},{"family":"Shu","given":"Yongqian"},{"family":"Pan","given":"Yueyin"},{"family":"Park","given":"Sook Ryun"},{"family":"Ping","given":"Lu"},{"family":"Jiang","given":"Yi"},{"family":"Zhang","given":"Jingdong"},{"family":"Wu","given":"Xiaohong"},{"family":"Yao","given":"Yuanhu"},{"family":"Shen","given":"Lin"},{"family":"Kojima","given":"Takashi"},{"family":"Gotovkin","given":"Evgeny"},{"family":"Ishihara","given":"Ryu"},{"family":"Wyrwicz","given":"Lucjan"},{"family":"Cutsem","given":"Eric Van"},{"family":"Jimenez-Fonseca","given":"Paula"},{"family":"Lin","given":"Chen-Yuan"},{"family":"Wang","given":"Lei"},{"family":"Shi","given":"Jingwen"},{"family":"Li","given":"Liyun"},{"family":"Yoon","given":"Harry H."}],"issued":{"date-parts":[["2023",5,1]]}}}],"schema":"https://github.com/citation-style-language/schema/raw/master/csl-citation.json"}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[6]</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Toripalimab plus Chemotherapy</w:t>
            </w:r>
          </w:p>
        </w:tc>
        <w:tc>
          <w:tcPr>
            <w:tcW w:w="700"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Anemia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0.109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0.087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0.131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{"citationID":"i42FKLRQ","properties":{"formattedCitation":"[7]","plainCitation":"[7]","noteIndex":0},"citationItems":[{"id":1573,"uris":["http://zotero.org/users/10452308/items/FU35U5B7"],"itemData":{"id":1573,"type":"article-journal","call-number":"1","container-title":"Cancer Cell","DOI":"10.1016/j.ccell.2022.02.007","ISSN":"1535-6108, 1878-3686","issue":"3","journalAbbreviation":"Cancer Cell","language":"English","note":"publisher: Elsevier\nPMID: 35245446","page":"277-288.e3","source":"50.3","title":"Toripalimab plus chemotherapy in treatment-naïve, advanced esophageal squamous cell carcinoma (JUPITER-06): A multi-center phase 3 trial","title-short":"Toripalimab plus chemotherapy in treatment-naïve, advanced esophageal squamous cell carcinoma (JUPITER-06)","volume":"40","author":[{"family":"Wang","given":"Zi-Xian"},{"family":"Cui","given":"Chengxu"},{"family":"Yao","given":"Jun"},{"family":"Zhang","given":"Yanqiao"},{"family":"Li","given":"Mengxia"},{"family":"Feng","given":"Jifeng"},{"family":"Yang","given":"Shujun"},{"family":"Fan","given":"Yun"},{"family":"Shi","given":"Jianhua"},{"family":"Zhang","given":"Xizhi"},{"family":"Shen","given":"Lin"},{"family":"Shu","given":"Yongqian"},{"family":"Wang","given":"Cailian"},{"family":"Dai","given":"Tianyang"},{"family":"Mao","given":"Teng"},{"family":"Chen","given":"Long"},{"family":"Guo","given":"Zengqing"},{"family":"Liu","given":"Bo"},{"family":"Pan","given":"Hongming"},{"family":"Cang","given":"Shundong"},{"family":"Jiang","given":"Yi"},{"family":"Wang","given":"Junye"},{"family":"Ye","given":"Min"},{"family":"Chen","given":"Zhendong"},{"family":"Jiang","given":"Da"},{"family":"Lin","given":"Qin"},{"family":"Ren","given":"Wei"},{"family":"Wang","given":"Junsheng"},{"family":"Wu","given":"Lin"},{"family":"Xu","given":"Yong"},{"family":"Miao","given":"Zhanhui"},{"family":"Sun","given":"Meili"},{"family":"Xie","given":"Conghua"},{"family":"Liu","given":"Ying"},{"family":"Wang","given":"Qifeng"},{"family":"Zhao","given":"Lina"},{"family":"Li","given":"Qi"},{"family":"Huang","given":"Canhong"},{"family":"Jiang","given":"Ke"},{"family":"Yang","given":"Kunyu"},{"family":"Li","given":"Daojun"},{"family":"Liu","given":"Yunpeng"},{"family":"Zhu","given":"Zhitu"},{"family":"Chen","given":"Rixin"},{"family":"Jia","given":"Liqun"},{"family":"Li","given":"Wei"},{"family":"Liao","given":"Wangjun"},{"family":"Liu","given":"Hong-Xu"},{"family":"Ma","given":"Daiyuan"},{"family":"Ma","given":"Jie"},{"family":"Qin","given":"Yanru"},{"family":"Shi","given":"Zhihong"},{"family":"Wei","given":"Qichun"},{"family":"Xiao","given":"Ke"},{"family":"Zhang","given":"Yan"},{"family":"Zhang","given":"Ying"},{"family":"Chen","given":"Xin"},{"family":"Dai","given":"Guanghai"},{"family":"He","given":"Jianxing"},{"family":"Li","given":"Junhe"},{"family":"Li","given":"Guanghui"},{"family":"Liu","given":"Yong"},{"family":"Liu","given":"Zhihua"},{"family":"Yuan","given":"Xianglin"},{"family":"Zhang","given":"Junping"},{"family":"Fu","given":"Zhichao"},{"family":"He","given":"Yifu"},{"family":"Ju","given":"Fang"},{"family":"Liu","given":"Zheng"},{"family":"Tang","given":"Peng"},{"family":"Wang","given":"Tiejun"},{"family":"Wang","given":"Weibo"},{"family":"Zhang","given":"Jing"},{"family":"Luo","given":"Xianming"},{"family":"Tang","given":"Xiongwen"},{"family":"May","given":"Rena"},{"family":"Feng","given":"Hui"},{"family":"Yao","given":"Sheng"},{"family":"Keegan","given":"Patricia"},{"family":"Xu","given":"Rui-Hua"},{"family":"Wang","given":"Feng"}],"issued":{"date-parts":[["2022",3,14]]}}}],"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[7]</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Neutropenia or Neutrophil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0.424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0.339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0.509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{"citationID":"EpAPGvrd","properties":{"formattedCitation":"[7]","plainCitation":"[7]","noteIndex":0},"citationItems":[{"id":1573,"uris":["http://zotero.org/users/10452308/items/FU35U5B7"],"itemData":{"id":1573,"type":"article-journal","call-number":"1","container-title":"Cancer Cell","DOI":"10.1016/j.ccell.2022.02.007","ISSN":"1535-6108, 1878-3686","issue":"3","journalAbbreviation":"Cancer Cell","language":"English","note":"publisher: Elsevier\nPMID: 35245446","page":"277-288.e3","source":"50.3","title":"Toripalimab plus chemotherapy in treatment-naïve, advanced esophageal squamous cell carcinoma (JUPITER-06): A multi-center phase 3 trial","title-short":"Toripalimab plus chemotherapy in treatment-naïve, advanced esophageal squamous cell carcinoma (JUPITER-06)","volume":"40","author":[{"family":"Wang","given":"Zi-Xian"},{"family":"Cui","given":"Chengxu"},{"family":"Yao","given":"Jun"},{"family":"Zhang","given":"Yanqiao"},{"family":"Li","given":"Mengxia"},{"family":"Feng","given":"Jifeng"},{"family":"Yang","given":"Shujun"},{"family":"Fan","given":"Yun"},{"family":"Shi","given":"Jianhua"},{"family":"Zhang","given":"Xizhi"},{"family":"Shen","given":"Lin"},{"family":"Shu","given":"Yongqian"},{"family":"Wang","given":"Cailian"},{"family":"Dai","given":"Tianyang"},{"family":"Mao","given":"Teng"},{"family":"Chen","given":"Long"},{"family":"Guo","given":"Zengqing"},{"family":"Liu","given":"Bo"},{"family":"Pan","given":"Hongming"},{"family":"Cang","given":"Shundong"},{"family":"Jiang","given":"Yi"},{"family":"Wang","given":"Junye"},{"family":"Ye","given":"Min"},{"family":"Chen","given":"Zhendong"},{"family":"Jiang","given":"Da"},{"family":"Lin","given":"Qin"},{"family":"Ren","given":"Wei"},{"family":"Wang","given":"Junsheng"},{"family":"Wu","given":"Lin"},{"family":"Xu","given":"Yong"},{"family":"Miao","given":"Zhanhui"},{"family":"Sun","given":"Meili"},{"family":"Xie","given":"Conghua"},{"family":"Liu","given":"Ying"},{"family":"Wang","given":"Qifeng"},{"family":"Zhao","given":"Lina"},{"family":"Li","given":"Qi"},{"family":"Huang","given":"Canhong"},{"family":"Jiang","given":"Ke"},{"family":"Yang","given":"Kunyu"},{"family":"Li","given":"Daojun"},{"family":"Liu","given":"Yunpeng"},{"family":"Zhu","given":"Zhitu"},{"family":"Chen","given":"Rixin"},{"family":"Jia","given":"Liqun"},{"family":"Li","given":"Wei"},{"family":"Liao","given":"Wangjun"},{"family":"Liu","given":"Hong-Xu"},{"family":"Ma","given":"Daiyuan"},{"family":"Ma","given":"Jie"},{"family":"Qin","given":"Yanru"},{"family":"Shi","given":"Zhihong"},{"family":"Wei","given":"Qichun"},{"family":"Xiao","given":"Ke"},{"family":"Zhang","given":"Yan"},{"family":"Zhang","given":"Ying"},{"family":"Chen","given":"Xin"},{"family":"Dai","given":"Guanghai"},{"family":"He","given":"Jianxing"},{"family":"Li","given":"Junhe"},{"family":"Li","given":"Guanghui"},{"family":"Liu","given":"Yong"},{"family":"Liu","given":"Zhihua"},{"family":"Yuan","given":"Xianglin"},{"family":"Zhang","given":"Junping"},{"family":"Fu","given":"Zhichao"},{"family":"He","given":"Yifu"},{"family":"Ju","given":"Fang"},{"family":"Liu","given":"Zheng"},{"family":"Tang","given":"Peng"},{"family":"Wang","given":"Tiejun"},{"family":"Wang","given":"Weibo"},{"family":"Zhang","given":"Jing"},{"family":"Luo","given":"Xianming"},{"family":"Tang","given":"Xiongwen"},{"family":"May","given":"Rena"},{"family":"Feng","given":"Hui"},{"family":"Yao","given":"Sheng"},{"family":"Keegan","given":"Patricia"},{"family":"Xu","given":"Rui-Hua"},{"family":"Wang","given":"Feng"}],"issued":{"date-parts":[["2022",3,14]]}}}],"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[7]</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Leukopenia or White Blood Cell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0.202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0.162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0.243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{"citationID":"xFF6Rgvt","properties":{"formattedCitation":"[7]","plainCitation":"[7]","noteIndex":0},"citationItems":[{"id":1573,"uris":["http://zotero.org/users/10452308/items/FU35U5B7"],"itemData":{"id":1573,"type":"article-journal","call-number":"1","container-title":"Cancer Cell","DOI":"10.1016/j.ccell.2022.02.007","ISSN":"1535-6108, 1878-3686","issue":"3","journalAbbreviation":"Cancer Cell","language":"English","note":"publisher: Elsevier\nPMID: 35245446","page":"277-288.e3","source":"50.3","title":"Toripalimab plus chemotherapy in treatment-naïve, advanced esophageal squamous cell carcinoma (JUPITER-06): A multi-center phase 3 trial","title-short":"Toripalimab plus chemotherapy in treatment-naïve, advanced esophageal squamous cell carcinoma (JUPITER-06)","volume":"40","author":[{"family":"Wang","given":"Zi-Xian"},{"family":"Cui","given":"Chengxu"},{"family":"Yao","given":"Jun"},{"family":"Zhang","given":"Yanqiao"},{"family":"Li","given":"Mengxia"},{"family":"Feng","given":"Jifeng"},{"family":"Yang","given":"Shujun"},{"family":"Fan","given":"Yun"},{"family":"Shi","given":"Jianhua"},{"family":"Zhang","given":"Xizhi"},{"family":"Shen","given":"Lin"},{"family":"Shu","given":"Yongqian"},{"family":"Wang","given":"Cailian"},{"family":"Dai","given":"Tianyang"},{"family":"Mao","given":"Teng"},{"family":"Chen","given":"Long"},{"family":"Guo","given":"Zengqing"},{"family":"Liu","given":"Bo"},{"family":"Pan","given":"Hongming"},{"family":"Cang","given":"Shundong"},{"family":"Jiang","given":"Yi"},{"family":"Wang","given":"Junye"},{"family":"Ye","given":"Min"},{"family":"Chen","given":"Zhendong"},{"family":"Jiang","given":"Da"},{"family":"Lin","given":"Qin"},{"family":"Ren","given":"Wei"},{"family":"Wang","given":"Junsheng"},{"family":"Wu","given":"Lin"},{"family":"Xu","given":"Yong"},{"family":"Miao","given":"Zhanhui"},{"family":"Sun","given":"Meili"},{"family":"Xie","given":"Conghua"},{"family":"Liu","given":"Ying"},{"family":"Wang","given":"Qifeng"},{"family":"Zhao","given":"Lina"},{"family":"Li","given":"Qi"},{"family":"Huang","given":"Canhong"},{"family":"Jiang","given":"Ke"},{"family":"Yang","given":"Kunyu"},{"family":"Li","given":"Daojun"},{"family":"Liu","given":"Yunpeng"},{"family":"Zhu","given":"Zhitu"},{"family":"Chen","given":"Rixin"},{"family":"Jia","given":"Liqun"},{"family":"Li","given":"Wei"},{"family":"Liao","given":"Wangjun"},{"family":"Liu","given":"Hong-Xu"},{"family":"Ma","given":"Daiyuan"},{"family":"Ma","given":"Jie"},{"family":"Qin","given":"Yanru"},{"family":"Shi","given":"Zhihong"},{"family":"Wei","given":"Qichun"},{"family":"Xiao","given":"Ke"},{"family":"Zhang","given":"Yan"},{"family":"Zhang","given":"Ying"},{"family":"Chen","given":"Xin"},{"family":"Dai","given":"Guanghai"},{"family":"He","given":"Jianxing"},{"family":"Li","given":"Junhe"},{"family":"Li","given":"Guanghui"},{"family":"Liu","given":"Yong"},{"family":"Liu","given":"Zhihua"},{"family":"Yuan","given":"Xianglin"},{"family":"Zhang","given":"Junping"},{"family":"Fu","given":"Zhichao"},{"family":"He","given":"Yifu"},{"family":"Ju","given":"Fang"},{"family":"Liu","given":"Zheng"},{"family":"Tang","given":"Peng"},{"family":"Wang","given":"Tiejun"},{"family":"Wang","given":"Weibo"},{"family":"Zhang","given":"Jing"},{"family":"Luo","given":"Xianming"},{"family":"Tang","given":"Xiongwen"},{"family":"May","given":"Rena"},{"family":"Feng","given":"Hui"},{"family":"Yao","given":"Sheng"},{"family":"Keegan","given":"Patricia"},{"family":"Xu","given":"Rui-Hua"},{"family":"Wang","given":"Feng"}],"issued":{"date-parts":[["2022",3,14]]}}}],"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[7]</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Pneumonia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0.058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0.047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0.070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{"citationID":"q2USXOyP","properties":{"formattedCitation":"[7]","plainCitation":"[7]","noteIndex":0},"citationItems":[{"id":1573,"uris":["http://zotero.org/users/10452308/items/FU35U5B7"],"itemData":{"id":1573,"type":"article-journal","call-number":"1","container-title":"Cancer Cell","DOI":"10.1016/j.ccell.2022.02.007","ISSN":"1535-6108, 1878-3686","issue":"3","journalAbbreviation":"Cancer Cell","language":"English","note":"publisher: Elsevier\nPMID: 35245446","page":"277-288.e3","source":"50.3","title":"Toripalimab plus chemotherapy in treatment-naïve, advanced esophageal squamous cell carcinoma (JUPITER-06): A multi-center phase 3 trial","title-short":"Toripalimab plus chemotherapy in treatment-naïve, advanced esophageal squamous cell carcinoma (JUPITER-06)","volume":"40","author":[{"family":"Wang","given":"Zi-Xian"},{"family":"Cui","given":"Chengxu"},{"family":"Yao","given":"Jun"},{"family":"Zhang","given":"Yanqiao"},{"family":"Li","given":"Mengxia"},{"family":"Feng","given":"Jifeng"},{"family":"Yang","given":"Shujun"},{"family":"Fan","given":"Yun"},{"family":"Shi","given":"Jianhua"},{"family":"Zhang","given":"Xizhi"},{"family":"Shen","given":"Lin"},{"family":"Shu","given":"Yongqian"},{"family":"Wang","given":"Cailian"},{"family":"Dai","given":"Tianyang"},{"family":"Mao","given":"Teng"},{"family":"Chen","given":"Long"},{"family":"Guo","given":"Zengqing"},{"family":"Liu","given":"Bo"},{"family":"Pan","given":"Hongming"},{"family":"Cang","given":"Shundong"},{"family":"Jiang","given":"Yi"},{"family":"Wang","given":"Junye"},{"family":"Ye","given":"Min"},{"family":"Chen","given":"Zhendong"},{"family":"Jiang","given":"Da"},{"family":"Lin","given":"Qin"},{"family":"Ren","given":"Wei"},{"family":"Wang","given":"Junsheng"},{"family":"Wu","given":"Lin"},{"family":"Xu","given":"Yong"},{"family":"Miao","given":"Zhanhui"},{"family":"Sun","given":"Meili"},{"family":"Xie","given":"Conghua"},{"family":"Liu","given":"Ying"},{"family":"Wang","given":"Qifeng"},{"family":"Zhao","given":"Lina"},{"family":"Li","given":"Qi"},{"family":"Huang","given":"Canhong"},{"family":"Jiang","given":"Ke"},{"family":"Yang","given":"Kunyu"},{"family":"Li","given":"Daojun"},{"family":"Liu","given":"Yunpeng"},{"family":"Zhu","given":"Zhitu"},{"family":"Chen","given":"Rixin"},{"family":"Jia","given":"Liqun"},{"family":"Li","given":"Wei"},{"family":"Liao","given":"Wangjun"},{"family":"Liu","given":"Hong-Xu"},{"family":"Ma","given":"Daiyuan"},{"family":"Ma","given":"Jie"},{"family":"Qin","given":"Yanru"},{"family":"Shi","given":"Zhihong"},{"family":"Wei","given":"Qichun"},{"family":"Xiao","given":"Ke"},{"family":"Zhang","given":"Yan"},{"family":"Zhang","given":"Ying"},{"family":"Chen","given":"Xin"},{"family":"Dai","given":"Guanghai"},{"family":"He","given":"Jianxing"},{"family":"Li","given":"Junhe"},{"family":"Li","given":"Guanghui"},{"family":"Liu","given":"Yong"},{"family":"Liu","given":"Zhihua"},{"family":"Yuan","given":"Xianglin"},{"family":"Zhang","given":"Junping"},{"family":"Fu","given":"Zhichao"},{"family":"He","given":"Yifu"},{"family":"Ju","given":"Fang"},{"family":"Liu","given":"Zheng"},{"family":"Tang","given":"Peng"},{"family":"Wang","given":"Tiejun"},{"family":"Wang","given":"Weibo"},{"family":"Zhang","given":"Jing"},{"family":"Luo","given":"Xianming"},{"family":"Tang","given":"Xiongwen"},{"family":"May","given":"Rena"},{"family":"Feng","given":"Hui"},{"family":"Yao","given":"Sheng"},{"family":"Keegan","given":"Patricia"},{"family":"Xu","given":"Rui-Hua"},{"family":"Wang","given":"Feng"}],"issued":{"date-parts":[["2022",3,14]]}}}],"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[7]</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Chemotherapy</w:t>
            </w:r>
          </w:p>
        </w:tc>
        <w:tc>
          <w:tcPr>
            <w:tcW w:w="700"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b/>
                <w:bCs/>
                <w:kern w:val="0"/>
                <w:sz w:val="16"/>
                <w:szCs w:val="16"/>
              </w:rPr>
            </w:pP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Anemia</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0.126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0.101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0.151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{"citationID":"Sf3uAbKX","properties":{"formattedCitation":"[1\\uc0\\u8211{}7]","plainCitation":"[1–7]","noteIndex":0},"citationItems":[{"id":1581,"uris":["http://zotero.org/users/10452308/items/HKLVN84L"],"itemData":{"id":1581,"type":"article-journal","abstract":"Standard first-line therapy for advanced or metastatic esophageal carcinoma is chemotherapy, but the prognosis remains poor. Camrelizumab (an anti–programmed death receptor 1 [PD-1] antibody) showed antitumor activity in previously treated advanced or metastatic esophageal squamous cell carcinoma.To evaluate the efficacy and adverse events of camrelizumab plus chemotherapy vs placebo plus chemotherapy as a first-line treatment in advanced or metastatic esophageal squamous cell carcinoma.This randomized, double-blind, placebo-controlled, multicenter, phase 3 trial (ESCORT-1st study) enrolled patients from 60 hospitals in China between December 3, 2018, and May 12, 2020 (final follow-up, October 30, 2020). A total of 751 patients were screened and 596 eligible patients with untreated advanced or metastatic esophageal squamous cell carcinoma were randomized.Patients were randomized 1:1 to receive either camrelizumab 200 mg (n = 298) or placebo (n = 298), combined with up to 6 cycles of paclitaxel (175 mg/m2) and cisplatin (75 mg/m2). All treatments were given intravenously every 3 weeks.Coprimary end points were overall survival (significance threshold, 1-sided P &amp;lt; .02) and progression-free survival (significance threshold, 1-sided P &amp;lt; .005).Of the 596 patients randomized (median age, 62 years [interquartile range, 56-67 years]; 523 men [87.8%]), 1 patient in the placebo-chemotherapy group did not receive planned treatment. A total of 490 patients (82.2%) had discontinued the study treatment. The median follow-up was 10.8 months. The overall survival for the camrelizumab-chemotherapy group was a median of 15.3 months (95% CI, 12.8-17.3; 135 deaths) vs a median of 12.0 months (95% CI, 11.0-13.3; 174 deaths) for the placebo-chemotherapy group (hazard ratio [HR] for death, 0.70 [95% CI, 0.56-0.88]; 1-sided P = .001). Progression-free survival for camrelizumab plus chemotherapy was a median of 6.9 months (95% CI, 5.8-7.4; 199 progression or deaths) vs 5.6 months (95% CI, 5.5-5.7; 229 progression or deaths) for the placebo-chemotherapy group (HR for progression or death, 0.56 [95% CI, 0.46-0.68]; 1-sided P &amp;lt; .001). Treatment-related adverse events of grade 3 or higher occurred in 189 patients (63.4%) in the camrelizumab-chemotherapy group and 201 (67.7%) in the placebo-chemotherapy group, including treatment-related deaths among 9 patients (3.0%) and 11 patients (3.7%), respectively.Among patients with advanced or metastatic esophageal squamous cell carcinoma, the addition of camrelizumab to chemotherapy, compared with placebo and chemotherapy, significantly improved overall survival and progression-free survival.ClinicalTrials.gov Identifier: NCT03691090","container-title":"JAMA","DOI":"10.1001/jama.2021.12836","ISSN":"0098-7484","issue":"10","journalAbbreviation":"JAMA","page":"916-925","title":"Effect of Camrelizumab vs Placebo Added to Chemotherapy on Survival and Progression-Free Survival in Patients With Advanced or Metastatic Esophageal Squamous Cell Carcinoma: The ESCORT-1st Randomized Clinical Trial","title-short":"Effect of Camrelizumab vs Placebo Added to Chemotherapy on Survival and Progression-Free Survival in Patients With Advanced or Metastatic Esophageal Squamous Cell Carcinoma","volume":"326","author":[{"family":"Luo","given":"Huiyan"},{"family":"Lu","given":"Jin"},{"family":"Bai","given":"Yuxian"},{"family":"Mao","given":"Teng"},{"family":"Wang","given":"Jun"},{"family":"Fan","given":"Qingxia"},{"family":"Zhang","given":"Yiping"},{"family":"Zhao","given":"Kuaile"},{"family":"Chen","given":"Zhendong"},{"family":"Gao","given":"Shegan"},{"family":"Li","given":"Jiancheng"},{"family":"Fu","given":"Zhichao"},{"family":"Gu","given":"Kangsheng"},{"family":"Liu","given":"Zhihua"},{"family":"Wu","given":"Lin"},{"family":"Zhang","given":"Xiaodong"},{"family":"Feng","given":"Jifeng"},{"family":"Niu","given":"Zuoxing"},{"family":"Ba","given":"Yi"},{"family":"Zhang","given":"Helong"},{"family":"Liu","given":"Ying"},{"family":"Zhang","given":"Li"},{"family":"Min","given":"Xuhong"},{"family":"Huang","given":"Jing"},{"family":"Cheng","given":"Ying"},{"family":"Wang","given":"Dong"},{"family":"Shen","given":"Yu"},{"family":"Yang","given":"Qing"},{"family":"Zou","given":"Jianjun"},{"family":"Xu","given":"Rui-Hua"},{"literal":"ESCORT-1st Investigators"}],"issued":{"date-parts":[["2021",9,14]]}},"label":"page"},{"id":1587,"uris":["http://zotero.org/users/10452308/items/F7BV9ICS"],"itemData":{"id":1587,"type":"article-journal","call-number":"1","container-title":"New England Journal of Medicine","DOI":"10.1056/NEJMoa2111380","ISSN":"0028-4793","issue":"5","journalAbbreviation":"N Engl J Med","note":"publisher: Massachusetts Medical Society","page":"449-462","source":"158.5","title":"Nivolumab Combination Therapy in Advanced Esophageal Squamous-Cell Carcinoma","volume":"386","author":[{"family":"Doki","given":"Yuichiro"},{"family":"Ajani","given":"Jaffer A."},{"family":"Kato","given":"Ken"},{"family":"Xu","given":"Jianming"},{"family":"Wyrwicz","given":"Lucjan"},{"family":"Motoyama","given":"Satoru"},{"family":"Ogata","given":"Takashi"},{"family":"Kawakami","given":"Hisato"},{"family":"Hsu","given":"Chih-Hung"},{"family":"Adenis","given":"Antoine"},{"family":"El Hajbi","given":"Farid"},{"family":"Di Bartolomeo","given":"Maria"},{"family":"Braghiroli","given":"Maria I."},{"family":"Holtved","given":"Eva"},{"family":"Ostoich","given":"Sandra A."},{"family":"Kim","given":"Hye R."},{"family":"Ueno","given":"Masaki"},{"family":"Mansoor","given":"Wasat"},{"family":"Yang","given":"Wen-Chi"},{"family":"Liu","given":"Tianshu"},{"family":"Bridgewater","given":"John"},{"family":"Makino","given":"Tomoki"},{"family":"Xynos","given":"Ioannis"},{"family":"Liu","given":"Xuan"},{"family":"Lei","given":"Ming"},{"family":"Kondo","given":"Kaoru"},{"family":"Patel","given":"Apurva"},{"family":"Gricar","given":"Joseph"},{"family":"Chau","given":"Ian"},{"family":"Kitagawa","given":"Yuko"}],"issued":{"date-parts":[["2022",2,3]]}},"label":"page"},{"id":1576,"uris":["http://zotero.org/users/10452308/items/RIE5KTBR"],"itemData":{"id":1576,"type":"article-journal","call-number":"1","container-title":"The Lancet","DOI":"10.1016/S0140-6736(21)01234-4","ISSN":"0140-6736, 1474-547X","issue":"10302","journalAbbreviation":"The Lancet","language":"English","note":"publisher: Elsevier\nPMID: 34454674","page":"759-771","source":"168.9","title":"Pembrolizumab plus chemotherapy versus chemotherapy alone for first-line treatment of advanced oesophageal cancer (KEYNOTE-590): a randomised, placebo-controlled, phase 3 study","title-short":"Pembrolizumab plus chemotherapy versus chemotherapy alone for first-line treatment of advanced oesophageal cancer (KEYNOTE-590)","volume":"398","author":[{"family":"Sun","given":"Jong-Mu"},{"family":"Shen","given":"Lin"},{"family":"Shah","given":"Manish A."},{"family":"Enzinger","given":"Peter"},{"family":"Adenis","given":"Antoine"},{"family":"Doi","given":"Toshihiko"},{"family":"Kojima","given":"Takashi"},{"family":"Metges","given":"Jean-Philippe"},{"family":"Li","given":"Zhigang"},{"family":"Kim","given":"Sung-Bae"},{"family":"Cho","given":"Byoung Chul"},{"family":"Mansoor","given":"Wasat"},{"family":"Li","given":"Shau-Hsuan"},{"family":"Sunpaweravong","given":"Patrapim"},{"family":"Maqueda","given":"Maria Alsina"},{"family":"Goekkurt","given":"Eray"},{"family":"Hara","given":"Hiroki"},{"family":"Antunes","given":"Luis"},{"family":"Fountzilas","given":"Christos"},{"family":"Tsuji","given":"Akihito"},{"family":"Oliden","given":"Victor Castro"},{"family":"Liu","given":"Qi"},{"family":"Shah","given":"Sukrut"},{"family":"Bhagia","given":"Pooja"},{"family":"Kato","given":"Ken"}],"issued":{"date-parts":[["2021",8,28]]}},"label":"page"},{"id":1579,"uris":["http://zotero.org/users/10452308/items/2HQDFFYX"],"itemData":{"id":1579,"type":"article-journal","abstract":"First-line systemic therapeutic options for advanced esophageal squamous cell carcinoma (ESCC) are limited. In this multicenter, double-blind phase 3 trial, a total of 551 patients with previously untreated, locally advanced or metastatic ESCC and PD-L1 combined positive score of </w:instrText>
            </w:r>
            <w:r>
              <w:rPr>
                <w:rFonts w:hint="eastAsia" w:ascii="Times New Roman" w:hAnsi="Times New Roman" w:eastAsia="宋体" w:cs="Times New Roman"/>
                <w:kern w:val="0"/>
                <w:sz w:val="16"/>
                <w:szCs w:val="16"/>
              </w:rPr>
              <w:instrText xml:space="preserve">≥</w:instrText>
            </w:r>
            <w:r>
              <w:rPr>
                <w:rFonts w:ascii="Times New Roman" w:hAnsi="Times New Roman" w:eastAsia="宋体" w:cs="Times New Roman"/>
                <w:kern w:val="0"/>
                <w:sz w:val="16"/>
                <w:szCs w:val="16"/>
              </w:rPr>
              <w:instrText xml:space="preserve">1 were randomized (2:1) to receive serplulimab (an anti-PD-1 antibody; 3 mg/kg) or placebo (on day 1), plus cisplatin (50 mg/m2) (on day 1) and continuous infusion of 5-fluorouracil (1,200 mg/m2) (on days 1 and 2), once every 2 weeks. The study met the primary endpoints. At the prespecified final analysis of progression-free survival (PFS) assessed by the blinded independent radiological review committee, serplulimab plus chemotherapy significantly improved PFS compared with placebo plus chemotherapy (median PFS of 5.8 months and 5.3 months, respectively; hazard ratio, 0.60; 95% confidence interval, 0.48–0.75; P &lt; 0.0001). At the prespecified interim analysis of overall survival (OS), serplulimab plus chemotherapy also significantly prolonged OS compared with placebo plus chemotherapy (median OS of 15.3 months and 11.8 months, respectively; hazard ratio, 0.68; 95% confidence interval, 0.53–0.87; P = 0.0020). Grade 3 or higher treatment-related adverse events occurred in 201 (53%) and 81 (48%) patients in the serplulimab plus chemotherapy group and the placebo plus chemotherapy group, respectively. Serplulimab plus chemotherapy administered every 2 weeks significantly improved PFS and OS in patients with previously untreated, PD-L1-positive advanced ESCC, with a manageable safety profile. This study is registered with ClinicalTrials.gov (NCT03958890).","call-number":"1","container-title":"Nature Medicine","DOI":"10.1038/s41591-022-02179-2","ISSN":"1546-170X","issue":"2","journalAbbreviation":"Nat Med","language":"en","license":"2023 The Author(s)","note":"number: 2\npublisher: Nature Publishing Group","page":"473-482","source":"82.9","title":"First-line serplulimab or placebo plus chemotherapy in PD-L1-positive esophageal squamous cell carcinoma: a randomized, double-blind phase 3 trial","title-short":"First-line serplulimab or placebo plus chemotherapy in PD-L1-positive esophageal squamous cell carcinoma","volume":"29","author":[{"family":"Song","given":"Yan"},{"family":"Zhang","given":"Bo"},{"family":"Xin","given":"Dao"},{"family":"Kou","given":"Xiaoge"},{"family":"Tan","given":"Zhenbo"},{"family":"Zhang","given":"Shu"},{"family":"Sun","given":"Meili"},{"family":"Zhou","given":"Jin"},{"family":"Fan","given":"Min"},{"family":"Zhang","given":"Ming"},{"family":"Song","given":"Yongxiang"},{"family":"Li","given":"Suyi"},{"family":"Yuan","given":"Yuan"},{"family":"Zhuang","given":"Wu"},{"family":"Zhang","given":"Jingdong"},{"family":"Zhang","given":"Li"},{"family":"Jiang","given":"Hao"},{"family":"Gu","given":"Kangsheng"},{"family":"Ye","given":"Huangyang"},{"family":"Ke","given":"Ying"},{"family":"Li","given":"Jing"},{"family":"Wang","given":"Qingyu"},{"family":"Zhu","given":"Jun"},{"family":"Huang","given":"Jing"}],"issued":{"date-parts":[["2023",2]]}},"label":"page"},{"id":1584,"uris":["http://zotero.org/users/10452308/items/NSDQUIBB"],"itemData":{"id":1584,"type":"article-journal","abstract":"Objective To evaluate sintilimab versus placebo in combination with chemotherapy (cisplatin plus paclitaxel or cisplatin plus 5-fluorouracil) as first line treatment of unresectable locally advanced, recurrent, or metastatic oesophageal squamous cell carcinoma.\nDesign Multicentre, randomised, double blind,</w:instrText>
            </w:r>
            <w:r>
              <w:rPr>
                <w:rFonts w:hint="eastAsia" w:ascii="Times New Roman" w:hAnsi="Times New Roman" w:eastAsia="宋体" w:cs="Times New Roman"/>
                <w:kern w:val="0"/>
                <w:sz w:val="16"/>
                <w:szCs w:val="16"/>
              </w:rPr>
              <w:instrText xml:space="preserve"> phase 3 trial.\nSetting 66 sites in China and 13 sites outside of China between 14 December 2018 and 9 April 2021.\nParticipants 659 adults (aged ≥18 years) with advanced or metastatic oesophageal squamous cell carcinoma who had not received systemic treatment.\nIntervention Participants were randomised 1:1 to receive sintilimab or placebo (3 mg/kg in patients weighing &lt;60 kg or 200 mg in patients weighing ≥60 kg) in combination with cisplatin 75 mg/m2 plus paclitaxel 175 mg/m2 every three weeks. The tri</w:instrText>
            </w:r>
            <w:r>
              <w:rPr>
                <w:rFonts w:ascii="Times New Roman" w:hAnsi="Times New Roman" w:eastAsia="宋体" w:cs="Times New Roman"/>
                <w:kern w:val="0"/>
                <w:sz w:val="16"/>
                <w:szCs w:val="16"/>
              </w:rPr>
              <w:instrText xml:space="preserve">al was amended to allow investigators to choose the chemotherapy regimen: cisplatin plus paclitaxel or cisplatin plus 5-fluorouracil (800 mg/m2 continuous infusion on days 1-5).\nMain outcome measures Overall survival in all patients and in patients with </w:instrText>
            </w:r>
            <w:r>
              <w:rPr>
                <w:rFonts w:hint="eastAsia" w:ascii="Times New Roman" w:hAnsi="Times New Roman" w:eastAsia="宋体" w:cs="Times New Roman"/>
                <w:kern w:val="0"/>
                <w:sz w:val="16"/>
                <w:szCs w:val="16"/>
              </w:rPr>
              <w:instrText xml:space="preserve">combined positive scores of ≥10 for expression of programmed cell death ligand 1.\nResults 659 patients were randomly assigned to sintilimab (n=327) or placebo (n=332) with chemotherapy. 616 of 659 patients (93%) received sintilimab or placebo in combinat</w:instrText>
            </w:r>
            <w:r>
              <w:rPr>
                <w:rFonts w:ascii="Times New Roman" w:hAnsi="Times New Roman" w:eastAsia="宋体" w:cs="Times New Roman"/>
                <w:kern w:val="0"/>
                <w:sz w:val="16"/>
                <w:szCs w:val="16"/>
              </w:rPr>
              <w:instrText xml:space="preserve">ion with cisplatin plus paclitaxel and 43 of 659 patients (7%) received sintilimab or placebo in combination with cisplatin plus 5-fluorouracil. At the interim analysis, sintilimab with chemotherapy showed better overall survival compared with placebo and</w:instrText>
            </w:r>
            <w:r>
              <w:rPr>
                <w:rFonts w:hint="eastAsia" w:ascii="Times New Roman" w:hAnsi="Times New Roman" w:eastAsia="宋体" w:cs="Times New Roman"/>
                <w:kern w:val="0"/>
                <w:sz w:val="16"/>
                <w:szCs w:val="16"/>
              </w:rPr>
              <w:instrText xml:space="preserve"> chemotherapy in all patients (median 16.7 v 12.5 months, hazard ratio 0.63, 95% confidence interval 0.51 to 0.78, P&lt;0.001) and in patients with combined positive scores of ≥10 (17.2 v 13.6 months, 0.64, 0.48 to 0.85, P=0.002). Sintilimab and chemotherapy significantly improved progression free survival compared with placebo and chemotherapy in all patients (7.2 v 5.7 months, 0.56, 0.46 to 0.68, P&lt;0.001) and in patients with combined positive scores of ≥10 (8.3 v 6.4 months, 0.58, 0.45 to 0.75, P&lt;0.001). Adverse events related to treatment occurred in 321 of 327 patients (98%) in the sintilimab-chemotherapy group versus 326 of 332 (98%) patients in the placebo-chemotherapy group. Rates of adverse events related to treatment, grade ≥3, were 60% (196/327) a</w:instrText>
            </w:r>
            <w:r>
              <w:rPr>
                <w:rFonts w:ascii="Times New Roman" w:hAnsi="Times New Roman" w:eastAsia="宋体" w:cs="Times New Roman"/>
                <w:kern w:val="0"/>
                <w:sz w:val="16"/>
                <w:szCs w:val="16"/>
              </w:rPr>
              <w:instrText xml:space="preserve">nd 55% (181/332) in the sintilimab-chemotherapy and placebo-chemotherapy groups, respectively.\nConclusions Compared with placebo, sintilimab in combination with cisplatin plus paclitaxel showed significant benefits in overall survival and progression free survival as first line treatment in patients with advanced or metastatic oesophageal squamous cell carcinoma. Similar benefits of sintilimab with cisplatin plus 5-fluorouracil seem promising.\nTrial registration ClinicalTrials.gov NCT03748134.","container-title":"BMJ","DOI":"10.1136/bmj-2021-068714","ISSN":"1756-1833","journalAbbreviation":"BMJ","language":"en","license":"©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35440464","page":"e068714","title":"Sintilimab versus placebo in combination with chemotherapy as first line treatment for locally advanced or metastatic oesophageal squamous cell carcinoma (ORIENT-15): multicentre, randomised, double blind, phase 3 trial","title-short":"Sintilimab versus placebo in combination with chemotherapy as first line treatment for locally advanced or metastatic oesophageal squamous cell carcinoma (ORIENT-15)","volume":"377","author":[{"family":"Lu","given":"Zhihao"},{"family":"Wang","given":"Junye"},{"family":"Shu","given":"Yongqian"},{"family":"Liu","given":"Lianke"},{"family":"Kong","given":"Li"},{"family":"Yang","given":"Lei"},{"family":"Wang","given":"Buhai"},{"family":"Sun","given":"Guogui"},{"family":"Ji","given":"Yinghua"},{"family":"Cao","given":"Guochun"},{"family":"Liu","given":"Hu"},{"family":"Cui","given":"Tongjian"},{"family":"Li","given":"Na"},{"family":"Qiu","given":"Wensheng"},{"family":"Li","given":"Gaofeng"},{"family":"Hou","given":"Xinfang"},{"family":"Luo","given":"Hui"},{"family":"Xue","given":"Liying"},{"family":"Zhang","given":"Yanqiao"},{"family":"Yue","given":"Wenbin"},{"family":"Liu","given":"Zheng"},{"family":"Wang","given":"Xiuwen"},{"family":"Gao","given":"Shegan"},{"family":"Pan","given":"Yueyin"},{"family":"Galais","given":"Marie-Pierre"},{"family":"Zaanan","given":"Aziz"},{"family":"Ma","given":"Zhuo"},{"family":"Li","given":"Haoyu"},{"family":"Wang","given":"Yan"},{"family":"Shen","given":"Lin"}],"issued":{"date-parts":[["2022",4,19]]}},"label":"page"},{"id":1570,"uris":["http://zotero.org/users/10452308/items/D6DCS7AN"],"itemData":{"id":1570,"type":"article-journal","call-number":"1","container-title":"The Lancet Oncology","DOI":"10.1016/S1470-2045(23)00108-0","ISSN":"1470-2045, 1474-5488","issue":"5","journalAbbreviation":"The Lancet Oncology","language":"English","note":"publisher: Elsevier\nPMID: 37080222","page":"483-495","source":"51.1","title":"Tislelizumab plus chemotherapy versus placebo plus chemotherapy as first-line treatment for advanced or metastatic oesophageal squamous cell carcinoma (RATIONALE-306): a global, randomised, placebo-controlled, phase 3 study","title-short":"Tislelizumab plus chemotherapy versus placebo plus chemotherapy as first-line treatment for advanced or metastatic oesophageal squamous cell carcinoma (RATIONALE-306)","volume":"24","author":[{"family":"Xu","given":"Jianming"},{"family":"Kato","given":"Ken"},{"family":"Raymond","given":"Eric"},{"family":"Hubner","given":"Richard A."},{"family":"Shu","given":"Yongqian"},{"family":"Pan","given":"Yueyin"},{"family":"Park","given":"Sook Ryun"},{"family":"Ping","given":"Lu"},{"family":"Jiang","given":"Yi"},{"family":"Zhang","given":"Jingdong"},{"family":"Wu","given":"Xiaohong"},{"family":"Yao","given":"Yuanhu"},{"family":"Shen","given":"Lin"},{"family":"Kojima","given":"Takashi"},{"family":"Gotovkin","given":"Evgeny"},{"family":"Ishihara","given":"Ryu"},{"family":"Wyrwicz","given":"Lucjan"},{"family":"Cutsem","given":"Eric Van"},{"family":"Jimenez-Fonseca","given":"Paula"},{"family":"Lin","given":"Chen-Yuan"},{"family":"Wang","given":"Lei"},{"family":"Shi","given":"Jingwen"},{"family":"Li","given":"Liyun"},{"family":"Yoon","given":"Harry H."}],"issued":{"date-parts":[["2023",5,1]]}},"label":"page"},{"id":1573,"uris":["http://zotero.org/users/10452308/items/FU35U5B7"],"itemData":{"id":1573,"type":"article-journal","call-number":"1","container-title":"Cancer Cell","DOI":"10.1016/j.ccell.2022.02.007","ISSN":"1535-6108, 1878-3686","issue":"3","journalAbbreviation":"Cancer Cell","language":"English","note":"publisher: Elsevier\nPMID: 35245446","page":"277-288.e3","source":"50.3","title":"Toripalimab plus chemotherapy in treatment-naïve, advanced esophageal squamous cell carcinoma (JUPITER-06): A multi-center phase 3 trial","title-short":"Toripalimab plus chemotherapy in treatment-naïve, advanced esophageal squamous cell carcinoma (JUPITER-06)","volume":"40","author":[{"family":"Wang","given":"Zi-Xian"},{"family":"Cui","given":"Chengxu"},{"family":"Yao","given":"Jun"},{"family":"Zhang","given":"Yanqiao"},{"family":"Li","given":"Mengxia"},{"family":"Feng","given":"Jifeng"},{"family":"Yang","given":"Shujun"},{"family":"Fan","given":"Yun"},{"family":"Shi","given":"Jianhua"},{"family":"Zhang","given":"Xizhi"},{"family":"Shen","given":"Lin"},{"family":"Shu","given":"Yongqian"},{"family":"Wang","given":"Cailian"},{"family":"Dai","given":"Tianyang"},{"family":"Mao","given":"Teng"},{"family":"Chen","given":"Long"},{"family":"Guo","given":"Zengqing"},{"family":"Liu","given":"Bo"},{"family":"Pan","given":"Hongming"},{"family":"Cang","given":"Shundong"},{"family":"Jiang","given":"Yi"},{"family":"Wang","given":"Junye"},{"family":"Ye","given":"Min"},{"family":"Chen","given":"Zhendong"},{"family":"Jiang","given":"Da"},{"family":"Lin","given":"Qin"},{"family":"Ren","given":"Wei"},{"family":"Wang","given":"Junsheng"},{"family":"Wu","given":"Lin"},{"family":"Xu","given":"Yong"},{"family":"Miao","given":"Zhanhui"},{"family":"Sun","given":"Meili"},{"family":"Xie","given":"Conghua"},{"family":"Liu","given":"Ying"},{"family":"Wang","given":"Qifeng"},{"family":"Zhao","given":"Lina"},{"family":"Li","given":"Qi"},{"family":"Huang","given":"Canhong"},{"family":"Jiang","given":"Ke"},{"family":"Yang","given":"Kunyu"},{"family":"Li","given":"Daojun"},{"family":"Liu","given":"Yunpeng"},{"family":"Zhu","given":"Zhitu"},{"family":"Chen","given":"Rixin"},{"family":"Jia","given":"Liqun"},{"family":"Li","given":"Wei"},{"family":"Liao","given":"Wangjun"},{"family":"Liu","given":"Hong-Xu"},{"family":"Ma","given":"Daiyuan"},{"family":"Ma","given":"Jie"},{"family":"Qin","given":"Yanru"},{"family":"Shi","given":"Zhihong"},{"family":"Wei","given":"Qichun"},{"family":"Xiao","given":"Ke"},{"family":"Zhang","given":"Yan"},{"family":"Zhang","given":"Ying"},{"family":"Chen","given":"Xin"},{"family":"Dai","given":"Guanghai"},{"family":"He","given":"Jianxing"},{"family":"Li","given":"Junhe"},{"family":"Li","given":"Guanghui"},{"family":"Liu","given":"Yong"},{"family":"Liu","given":"Zhihua"},{"family":"Yuan","given":"Xianglin"},{"family":"Zhang","given":"Junping"},{"family":"Fu","given":"Zhichao"},{"family":"He","given":"Yifu"},{"family":"Ju","given":"Fang"},{"family":"Liu","given":"Zheng"},{"family":"Tang","given":"Peng"},{"family":"Wang","given":"Tiejun"},{"family":"Wang","given":"Weibo"},{"family":"Zhang","given":"Jing"},{"family":"Luo","given":"Xianming"},{"family":"Tang","given":"Xiongwen"},{"family":"May","given":"Rena"},{"family":"Feng","given":"Hui"},{"family":"Yao","given":"Sheng"},{"family":"Keegan","given":"Patricia"},{"family":"Xu","given":"Rui-Hua"},{"family":"Wang","given":"Feng"}],"issued":{"date-parts":[["2022",3,14]]}},"label":"page"}],"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kern w:val="0"/>
                <w:sz w:val="16"/>
                <w:szCs w:val="24"/>
              </w:rPr>
              <w:t>[1–7]</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Neutropenia or Neutrophil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0.311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0.249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0.373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{"citationID":"VzlzVxlH","properties":{"formattedCitation":"[1\\uc0\\u8211{}7]","plainCitation":"[1–7]","noteIndex":0},"citationItems":[{"id":1581,"uris":["http://zotero.org/users/10452308/items/HKLVN84L"],"itemData":{"id":1581,"type":"article-journal","abstract":"Standard first-line therapy for advanced or metastatic esophageal carcinoma is chemotherapy, but the prognosis remains poor. Camrelizumab (an anti–programmed death receptor 1 [PD-1] antibody) showed antitumor activity in previously treated advanced or metastatic esophageal squamous cell carcinoma.To evaluate the efficacy and adverse events of camrelizumab plus chemotherapy vs placebo plus chemotherapy as a first-line treatment in advanced or metastatic esophageal squamous cell carcinoma.This randomized, double-blind, placebo-controlled, multicenter, phase 3 trial (ESCORT-1st study) enrolled patients from 60 hospitals in China between December 3, 2018, and May 12, 2020 (final follow-up, October 30, 2020). A total of 751 patients were screened and 596 eligible patients with untreated advanced or metastatic esophageal squamous cell carcinoma were randomized.Patients were randomized 1:1 to receive either camrelizumab 200 mg (n = 298) or placebo (n = 298), combined with up to 6 cycles of paclitaxel (175 mg/m2) and cisplatin (75 mg/m2). All treatments were given intravenously every 3 weeks.Coprimary end points were overall survival (significance threshold, 1-sided P &amp;lt; .02) and progression-free survival (significance threshold, 1-sided P &amp;lt; .005).Of the 596 patients randomized (median age, 62 years [interquartile range, 56-67 years]; 523 men [87.8%]), 1 patient in the placebo-chemotherapy group did not receive planned treatment. A total of 490 patients (82.2%) had discontinued the study treatment. The median follow-up was 10.8 months. The overall survival for the camrelizumab-chemotherapy group was a median of 15.3 months (95% CI, 12.8-17.3; 135 deaths) vs a median of 12.0 months (95% CI, 11.0-13.3; 174 deaths) for the placebo-chemotherapy group (hazard ratio [HR] for death, 0.70 [95% CI, 0.56-0.88]; 1-sided P = .001). Progression-free survival for camrelizumab plus chemotherapy was a median of 6.9 months (95% CI, 5.8-7.4; 199 progression or deaths) vs 5.6 months (95% CI, 5.5-5.7; 229 progression or deaths) for the placebo-chemotherapy group (HR for progression or death, 0.56 [95% CI, 0.46-0.68]; 1-sided P &amp;lt; .001). Treatment-related adverse events of grade 3 or higher occurred in 189 patients (63.4%) in the camrelizumab-chemotherapy group and 201 (67.7%) in the placebo-chemotherapy group, including treatment-related deaths among 9 patients (3.0%) and 11 patients (3.7%), respectively.Among patients with advanced or metastatic esophageal squamous cell carcinoma, the addition of camrelizumab to chemotherapy, compared with placebo and chemotherapy, significantly improved overall survival and progression-free survival.ClinicalTrials.gov Identifier: NCT03691090","container-title":"JAMA","DOI":"10.1001/jama.2021.12836","ISSN":"0098-7484","issue":"10","journalAbbreviation":"JAMA","page":"916-925","title":"Effect of Camrelizumab vs Placebo Added to Chemotherapy on Survival and Progression-Free Survival in Patients With Advanced or Metastatic Esophageal Squamous Cell Carcinoma: The ESCORT-1st Randomized Clinical Trial","title-short":"Effect of Camrelizumab vs Placebo Added to Chemotherapy on Survival and Progression-Free Survival in Patients With Advanced or Metastatic Esophageal Squamous Cell Carcinoma","volume":"326","author":[{"family":"Luo","given":"Huiyan"},{"family":"Lu","given":"Jin"},{"family":"Bai","given":"Yuxian"},{"family":"Mao","given":"Teng"},{"family":"Wang","given":"Jun"},{"family":"Fan","given":"Qingxia"},{"family":"Zhang","given":"Yiping"},{"family":"Zhao","given":"Kuaile"},{"family":"Chen","given":"Zhendong"},{"family":"Gao","given":"Shegan"},{"family":"Li","given":"Jiancheng"},{"family":"Fu","given":"Zhichao"},{"family":"Gu","given":"Kangsheng"},{"family":"Liu","given":"Zhihua"},{"family":"Wu","given":"Lin"},{"family":"Zhang","given":"Xiaodong"},{"family":"Feng","given":"Jifeng"},{"family":"Niu","given":"Zuoxing"},{"family":"Ba","given":"Yi"},{"family":"Zhang","given":"Helong"},{"family":"Liu","given":"Ying"},{"family":"Zhang","given":"Li"},{"family":"Min","given":"Xuhong"},{"family":"Huang","given":"Jing"},{"family":"Cheng","given":"Ying"},{"family":"Wang","given":"Dong"},{"family":"Shen","given":"Yu"},{"family":"Yang","given":"Qing"},{"family":"Zou","given":"Jianjun"},{"family":"Xu","given":"Rui-Hua"},{"literal":"ESCORT-1st Investigators"}],"issued":{"date-parts":[["2021",9,14]]}},"label":"page"},{"id":1587,"uris":["http://zotero.org/users/10452308/items/F7BV9ICS"],"itemData":{"id":1587,"type":"article-journal","call-number":"1","container-title":"New England Journal of Medicine","DOI":"10.1056/NEJMoa2111380","ISSN":"0028-4793","issue":"5","journalAbbreviation":"N Engl J Med","note":"publisher: Massachusetts Medical Society","page":"449-462","source":"158.5","title":"Nivolumab Combination Therapy in Advanced Esophageal Squamous-Cell Carcinoma","volume":"386","author":[{"family":"Doki","given":"Yuichiro"},{"family":"Ajani","given":"Jaffer A."},{"family":"Kato","given":"Ken"},{"family":"Xu","given":"Jianming"},{"family":"Wyrwicz","given":"Lucjan"},{"family":"Motoyama","given":"Satoru"},{"family":"Ogata","given":"Takashi"},{"family":"Kawakami","given":"Hisato"},{"family":"Hsu","given":"Chih-Hung"},{"family":"Adenis","given":"Antoine"},{"family":"El Hajbi","given":"Farid"},{"family":"Di Bartolomeo","given":"Maria"},{"family":"Braghiroli","given":"Maria I."},{"family":"Holtved","given":"Eva"},{"family":"Ostoich","given":"Sandra A."},{"family":"Kim","given":"Hye R."},{"family":"Ueno","given":"Masaki"},{"family":"Mansoor","given":"Wasat"},{"family":"Yang","given":"Wen-Chi"},{"family":"Liu","given":"Tianshu"},{"family":"Bridgewater","given":"John"},{"family":"Makino","given":"Tomoki"},{"family":"Xynos","given":"Ioannis"},{"family":"Liu","given":"Xuan"},{"family":"Lei","given":"Ming"},{"family":"Kondo","given":"Kaoru"},{"family":"Patel","given":"Apurva"},{"family":"Gricar","given":"Joseph"},{"family":"Chau","given":"Ian"},{"family":"Kitagawa","given":"Yuko"}],"issued":{"date-parts":[["2022",2,3]]}},"label":"page"},{"id":1576,"uris":["http://zotero.org/users/10452308/items/RIE5KTBR"],"itemData":{"id":1576,"type":"article-journal","call-number":"1","container-title":"The Lancet","DOI":"10.1016/S0140-6736(21)01234-4","ISSN":"0140-6736, 1474-547X","issue":"10302","journalAbbreviation":"The Lancet","language":"English","note":"publisher: Elsevier\nPMID: 34454674","page":"759-771","source":"168.9","title":"Pembrolizumab plus chemotherapy versus chemotherapy alone for first-line treatment of advanced oesophageal cancer (KEYNOTE-590): a randomised, placebo-controlled, phase 3 study","title-short":"Pembrolizumab plus chemotherapy versus chemotherapy alone for first-line treatment of advanced oesophageal cancer (KEYNOTE-590)","volume":"398","author":[{"family":"Sun","given":"Jong-Mu"},{"family":"Shen","given":"Lin"},{"family":"Shah","given":"Manish A."},{"family":"Enzinger","given":"Peter"},{"family":"Adenis","given":"Antoine"},{"family":"Doi","given":"Toshihiko"},{"family":"Kojima","given":"Takashi"},{"family":"Metges","given":"Jean-Philippe"},{"family":"Li","given":"Zhigang"},{"family":"Kim","given":"Sung-Bae"},{"family":"Cho","given":"Byoung Chul"},{"family":"Mansoor","given":"Wasat"},{"family":"Li","given":"Shau-Hsuan"},{"family":"Sunpaweravong","given":"Patrapim"},{"family":"Maqueda","given":"Maria Alsina"},{"family":"Goekkurt","given":"Eray"},{"family":"Hara","given":"Hiroki"},{"family":"Antunes","given":"Luis"},{"family":"Fountzilas","given":"Christos"},{"family":"Tsuji","given":"Akihito"},{"family":"Oliden","given":"Victor Castro"},{"family":"Liu","given":"Qi"},{"family":"Shah","given":"Sukrut"},{"family":"Bhagia","given":"Pooja"},{"family":"Kato","given":"Ken"}],"issued":{"date-parts":[["2021",8,28]]}},"label":"page"},{"id":1579,"uris":["http://zotero.org/users/10452308/items/2HQDFFYX"],"itemData":{"id":1579,"type":"article-journal","abstract":"First-line systemic therapeutic options for advanced esophageal squamous cell carcinoma (ESCC) are limited. In this multicenter, double-blind phase 3 trial, a total of 551 patients with previously untreated, locally advanced or metastatic ESCC and PD-L1 combined positive score of </w:instrText>
            </w:r>
            <w:r>
              <w:rPr>
                <w:rFonts w:hint="eastAsia" w:ascii="Times New Roman" w:hAnsi="Times New Roman" w:eastAsia="宋体" w:cs="Times New Roman"/>
                <w:kern w:val="0"/>
                <w:sz w:val="16"/>
                <w:szCs w:val="16"/>
              </w:rPr>
              <w:instrText xml:space="preserve">≥</w:instrText>
            </w:r>
            <w:r>
              <w:rPr>
                <w:rFonts w:ascii="Times New Roman" w:hAnsi="Times New Roman" w:eastAsia="宋体" w:cs="Times New Roman"/>
                <w:kern w:val="0"/>
                <w:sz w:val="16"/>
                <w:szCs w:val="16"/>
              </w:rPr>
              <w:instrText xml:space="preserve">1 were randomized (2:1) to receive serplulimab (an anti-PD-1 antibody; 3 mg/kg) or placebo (on day 1), plus cisplatin (50 mg/m2) (on day 1) and continuous infusion of 5-fluorouracil (1,200 mg/m2) (on days 1 and 2), once every 2 weeks. The study met the primary endpoints. At the prespecified final analysis of progression-free survival (PFS) assessed by the blinded independent radiological review committee, serplulimab plus chemotherapy significantly improved PFS compared with placebo plus chemotherapy (median PFS of 5.8 months and 5.3 months, respectively; hazard ratio, 0.60; 95% confidence interval, 0.48–0.75; P &lt; 0.0001). At the prespecified interim analysis of overall survival (OS), serplulimab plus chemotherapy also significantly prolonged OS compared with placebo plus chemotherapy (median OS of 15.3 months and 11.8 months, respectively; hazard ratio, 0.68; 95% confidence interval, 0.53–0.87; P = 0.0020). Grade 3 or higher treatment-related adverse events occurred in 201 (53%) and 81 (48%) patients in the serplulimab plus chemotherapy group and the placebo plus chemotherapy group, respectively. Serplulimab plus chemotherapy administered every 2 weeks significantly improved PFS and OS in patients with previously untreated, PD-L1-positive advanced ESCC, with a manageable safety profile. This study is registered with ClinicalTrials.gov (NCT03958890).","call-number":"1","container-title":"Nature Medicine","DOI":"10.1038/s41591-022-02179-2","ISSN":"1546-170X","issue":"2","journalAbbreviation":"Nat Med","language":"en","license":"2023 The Author(s)","note":"number: 2\npublisher: Nature Publishing Group","page":"473-482","source":"82.9","title":"First-line serplulimab or placebo plus chemotherapy in PD-L1-positive esophageal squamous cell carcinoma: a randomized, double-blind phase 3 trial","title-short":"First-line serplulimab or placebo plus chemotherapy in PD-L1-positive esophageal squamous cell carcinoma","volume":"29","author":[{"family":"Song","given":"Yan"},{"family":"Zhang","given":"Bo"},{"family":"Xin","given":"Dao"},{"family":"Kou","given":"Xiaoge"},{"family":"Tan","given":"Zhenbo"},{"family":"Zhang","given":"Shu"},{"family":"Sun","given":"Meili"},{"family":"Zhou","given":"Jin"},{"family":"Fan","given":"Min"},{"family":"Zhang","given":"Ming"},{"family":"Song","given":"Yongxiang"},{"family":"Li","given":"Suyi"},{"family":"Yuan","given":"Yuan"},{"family":"Zhuang","given":"Wu"},{"family":"Zhang","given":"Jingdong"},{"family":"Zhang","given":"Li"},{"family":"Jiang","given":"Hao"},{"family":"Gu","given":"Kangsheng"},{"family":"Ye","given":"Huangyang"},{"family":"Ke","given":"Ying"},{"family":"Li","given":"Jing"},{"family":"Wang","given":"Qingyu"},{"family":"Zhu","given":"Jun"},{"family":"Huang","given":"Jing"}],"issued":{"date-parts":[["2023",2]]}},"label":"page"},{"id":1584,"uris":["http://zotero.org/users/10452308/items/NSDQUIBB"],"itemData":{"id":1584,"type":"article-journal","abstract":"Objective To evaluate sintilimab versus placebo in combination with chemotherapy (cisplatin plus paclitaxel or cisplatin plus 5-fluorouracil) as first line treatment of unresectable locally advanced, recurrent, or metastatic oesophageal squamous cell carcinoma.\nDesign Multicentre, randomised, double blind,</w:instrText>
            </w:r>
            <w:r>
              <w:rPr>
                <w:rFonts w:hint="eastAsia" w:ascii="Times New Roman" w:hAnsi="Times New Roman" w:eastAsia="宋体" w:cs="Times New Roman"/>
                <w:kern w:val="0"/>
                <w:sz w:val="16"/>
                <w:szCs w:val="16"/>
              </w:rPr>
              <w:instrText xml:space="preserve"> phase 3 trial.\nSetting 66 sites in China and 13 sites outside of China between 14 December 2018 and 9 April 2021.\nParticipants 659 adults (aged ≥18 years) with advanced or metastatic oesophageal squamous cell carcinoma who had not received systemic treatment.\nIntervention Participants were randomised 1:1 to receive sintilimab or placebo (3 mg/kg in patients weighing &lt;60 kg or 200 mg in patients weighing ≥60 kg) in combination with cisplatin 75 mg/m2 plus paclitaxel 175 mg/m2 every three weeks. The tri</w:instrText>
            </w:r>
            <w:r>
              <w:rPr>
                <w:rFonts w:ascii="Times New Roman" w:hAnsi="Times New Roman" w:eastAsia="宋体" w:cs="Times New Roman"/>
                <w:kern w:val="0"/>
                <w:sz w:val="16"/>
                <w:szCs w:val="16"/>
              </w:rPr>
              <w:instrText xml:space="preserve">al was amended to allow investigators to choose the chemotherapy regimen: cisplatin plus paclitaxel or cisplatin plus 5-fluorouracil (800 mg/m2 continuous infusion on days 1-5).\nMain outcome measures Overall survival in all patients and in patients with </w:instrText>
            </w:r>
            <w:r>
              <w:rPr>
                <w:rFonts w:hint="eastAsia" w:ascii="Times New Roman" w:hAnsi="Times New Roman" w:eastAsia="宋体" w:cs="Times New Roman"/>
                <w:kern w:val="0"/>
                <w:sz w:val="16"/>
                <w:szCs w:val="16"/>
              </w:rPr>
              <w:instrText xml:space="preserve">combined positive scores of ≥10 for expression of programmed cell death ligand 1.\nResults 659 patients were randomly assigned to sintilimab (n=327) or placebo (n=332) with chemotherapy. 616 of 659 patients (93%) received sintilimab or placebo in combinat</w:instrText>
            </w:r>
            <w:r>
              <w:rPr>
                <w:rFonts w:ascii="Times New Roman" w:hAnsi="Times New Roman" w:eastAsia="宋体" w:cs="Times New Roman"/>
                <w:kern w:val="0"/>
                <w:sz w:val="16"/>
                <w:szCs w:val="16"/>
              </w:rPr>
              <w:instrText xml:space="preserve">ion with cisplatin plus paclitaxel and 43 of 659 patients (7%) received sintilimab or placebo in combination with cisplatin plus 5-fluorouracil. At the interim analysis, sintilimab with chemotherapy showed better overall survival compared with placebo and</w:instrText>
            </w:r>
            <w:r>
              <w:rPr>
                <w:rFonts w:hint="eastAsia" w:ascii="Times New Roman" w:hAnsi="Times New Roman" w:eastAsia="宋体" w:cs="Times New Roman"/>
                <w:kern w:val="0"/>
                <w:sz w:val="16"/>
                <w:szCs w:val="16"/>
              </w:rPr>
              <w:instrText xml:space="preserve"> chemotherapy in all patients (median 16.7 v 12.5 months, hazard ratio 0.63, 95% confidence interval 0.51 to 0.78, P&lt;0.001) and in patients with combined positive scores of ≥10 (17.2 v 13.6 months, 0.64, 0.48 to 0.85, P=0.002). Sintilimab and chemotherapy significantly improved progression free survival compared with placebo and chemotherapy in all patients (7.2 v 5.7 months, 0.56, 0.46 to 0.68, P&lt;0.001) and in patients with combined positive scores of ≥10 (8.3 v 6.4 months, 0.58, 0.45 to 0.75, P&lt;0.001). Adverse events related to treatment occurred in 321 of 327 patients (98%) in the sintilimab-chemotherapy group versus 326 of 332 (98%) patients in the placebo-chemotherapy group. Rates of adverse events related to treatment, grade ≥3, were 60% (196/327) a</w:instrText>
            </w:r>
            <w:r>
              <w:rPr>
                <w:rFonts w:ascii="Times New Roman" w:hAnsi="Times New Roman" w:eastAsia="宋体" w:cs="Times New Roman"/>
                <w:kern w:val="0"/>
                <w:sz w:val="16"/>
                <w:szCs w:val="16"/>
              </w:rPr>
              <w:instrText xml:space="preserve">nd 55% (181/332) in the sintilimab-chemotherapy and placebo-chemotherapy groups, respectively.\nConclusions Compared with placebo, sintilimab in combination with cisplatin plus paclitaxel showed significant benefits in overall survival and progression free survival as first line treatment in patients with advanced or metastatic oesophageal squamous cell carcinoma. Similar benefits of sintilimab with cisplatin plus 5-fluorouracil seem promising.\nTrial registration ClinicalTrials.gov NCT03748134.","container-title":"BMJ","DOI":"10.1136/bmj-2021-068714","ISSN":"1756-1833","journalAbbreviation":"BMJ","language":"en","license":"©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35440464","page":"e068714","title":"Sintilimab versus placebo in combination with chemotherapy as first line treatment for locally advanced or metastatic oesophageal squamous cell carcinoma (ORIENT-15): multicentre, randomised, double blind, phase 3 trial","title-short":"Sintilimab versus placebo in combination with chemotherapy as first line treatment for locally advanced or metastatic oesophageal squamous cell carcinoma (ORIENT-15)","volume":"377","author":[{"family":"Lu","given":"Zhihao"},{"family":"Wang","given":"Junye"},{"family":"Shu","given":"Yongqian"},{"family":"Liu","given":"Lianke"},{"family":"Kong","given":"Li"},{"family":"Yang","given":"Lei"},{"family":"Wang","given":"Buhai"},{"family":"Sun","given":"Guogui"},{"family":"Ji","given":"Yinghua"},{"family":"Cao","given":"Guochun"},{"family":"Liu","given":"Hu"},{"family":"Cui","given":"Tongjian"},{"family":"Li","given":"Na"},{"family":"Qiu","given":"Wensheng"},{"family":"Li","given":"Gaofeng"},{"family":"Hou","given":"Xinfang"},{"family":"Luo","given":"Hui"},{"family":"Xue","given":"Liying"},{"family":"Zhang","given":"Yanqiao"},{"family":"Yue","given":"Wenbin"},{"family":"Liu","given":"Zheng"},{"family":"Wang","given":"Xiuwen"},{"family":"Gao","given":"Shegan"},{"family":"Pan","given":"Yueyin"},{"family":"Galais","given":"Marie-Pierre"},{"family":"Zaanan","given":"Aziz"},{"family":"Ma","given":"Zhuo"},{"family":"Li","given":"Haoyu"},{"family":"Wang","given":"Yan"},{"family":"Shen","given":"Lin"}],"issued":{"date-parts":[["2022",4,19]]}},"label":"page"},{"id":1570,"uris":["http://zotero.org/users/10452308/items/D6DCS7AN"],"itemData":{"id":1570,"type":"article-journal","call-number":"1","container-title":"The Lancet Oncology","DOI":"10.1016/S1470-2045(23)00108-0","ISSN":"1470-2045, 1474-5488","issue":"5","journalAbbreviation":"The Lancet Oncology","language":"English","note":"publisher: Elsevier\nPMID: 37080222","page":"483-495","source":"51.1","title":"Tislelizumab plus chemotherapy versus placebo plus chemotherapy as first-line treatment for advanced or metastatic oesophageal squamous cell carcinoma (RATIONALE-306): a global, randomised, placebo-controlled, phase 3 study","title-short":"Tislelizumab plus chemotherapy versus placebo plus chemotherapy as first-line treatment for advanced or metastatic oesophageal squamous cell carcinoma (RATIONALE-306)","volume":"24","author":[{"family":"Xu","given":"Jianming"},{"family":"Kato","given":"Ken"},{"family":"Raymond","given":"Eric"},{"family":"Hubner","given":"Richard A."},{"family":"Shu","given":"Yongqian"},{"family":"Pan","given":"Yueyin"},{"family":"Park","given":"Sook Ryun"},{"family":"Ping","given":"Lu"},{"family":"Jiang","given":"Yi"},{"family":"Zhang","given":"Jingdong"},{"family":"Wu","given":"Xiaohong"},{"family":"Yao","given":"Yuanhu"},{"family":"Shen","given":"Lin"},{"family":"Kojima","given":"Takashi"},{"family":"Gotovkin","given":"Evgeny"},{"family":"Ishihara","given":"Ryu"},{"family":"Wyrwicz","given":"Lucjan"},{"family":"Cutsem","given":"Eric Van"},{"family":"Jimenez-Fonseca","given":"Paula"},{"family":"Lin","given":"Chen-Yuan"},{"family":"Wang","given":"Lei"},{"family":"Shi","given":"Jingwen"},{"family":"Li","given":"Liyun"},{"family":"Yoon","given":"Harry H."}],"issued":{"date-parts":[["2023",5,1]]}},"label":"page"},{"id":1573,"uris":["http://zotero.org/users/10452308/items/FU35U5B7"],"itemData":{"id":1573,"type":"article-journal","call-number":"1","container-title":"Cancer Cell","DOI":"10.1016/j.ccell.2022.02.007","ISSN":"1535-6108, 1878-3686","issue":"3","journalAbbreviation":"Cancer Cell","language":"English","note":"publisher: Elsevier\nPMID: 35245446","page":"277-288.e3","source":"50.3","title":"Toripalimab plus chemotherapy in treatment-naïve, advanced esophageal squamous cell carcinoma (JUPITER-06): A multi-center phase 3 trial","title-short":"Toripalimab plus chemotherapy in treatment-naïve, advanced esophageal squamous cell carcinoma (JUPITER-06)","volume":"40","author":[{"family":"Wang","given":"Zi-Xian"},{"family":"Cui","given":"Chengxu"},{"family":"Yao","given":"Jun"},{"family":"Zhang","given":"Yanqiao"},{"family":"Li","given":"Mengxia"},{"family":"Feng","given":"Jifeng"},{"family":"Yang","given":"Shujun"},{"family":"Fan","given":"Yun"},{"family":"Shi","given":"Jianhua"},{"family":"Zhang","given":"Xizhi"},{"family":"Shen","given":"Lin"},{"family":"Shu","given":"Yongqian"},{"family":"Wang","given":"Cailian"},{"family":"Dai","given":"Tianyang"},{"family":"Mao","given":"Teng"},{"family":"Chen","given":"Long"},{"family":"Guo","given":"Zengqing"},{"family":"Liu","given":"Bo"},{"family":"Pan","given":"Hongming"},{"family":"Cang","given":"Shundong"},{"family":"Jiang","given":"Yi"},{"family":"Wang","given":"Junye"},{"family":"Ye","given":"Min"},{"family":"Chen","given":"Zhendong"},{"family":"Jiang","given":"Da"},{"family":"Lin","given":"Qin"},{"family":"Ren","given":"Wei"},{"family":"Wang","given":"Junsheng"},{"family":"Wu","given":"Lin"},{"family":"Xu","given":"Yong"},{"family":"Miao","given":"Zhanhui"},{"family":"Sun","given":"Meili"},{"family":"Xie","given":"Conghua"},{"family":"Liu","given":"Ying"},{"family":"Wang","given":"Qifeng"},{"family":"Zhao","given":"Lina"},{"family":"Li","given":"Qi"},{"family":"Huang","given":"Canhong"},{"family":"Jiang","given":"Ke"},{"family":"Yang","given":"Kunyu"},{"family":"Li","given":"Daojun"},{"family":"Liu","given":"Yunpeng"},{"family":"Zhu","given":"Zhitu"},{"family":"Chen","given":"Rixin"},{"family":"Jia","given":"Liqun"},{"family":"Li","given":"Wei"},{"family":"Liao","given":"Wangjun"},{"family":"Liu","given":"Hong-Xu"},{"family":"Ma","given":"Daiyuan"},{"family":"Ma","given":"Jie"},{"family":"Qin","given":"Yanru"},{"family":"Shi","given":"Zhihong"},{"family":"Wei","given":"Qichun"},{"family":"Xiao","given":"Ke"},{"family":"Zhang","given":"Yan"},{"family":"Zhang","given":"Ying"},{"family":"Chen","given":"Xin"},{"family":"Dai","given":"Guanghai"},{"family":"He","given":"Jianxing"},{"family":"Li","given":"Junhe"},{"family":"Li","given":"Guanghui"},{"family":"Liu","given":"Yong"},{"family":"Liu","given":"Zhihua"},{"family":"Yuan","given":"Xianglin"},{"family":"Zhang","given":"Junping"},{"family":"Fu","given":"Zhichao"},{"family":"He","given":"Yifu"},{"family":"Ju","given":"Fang"},{"family":"Liu","given":"Zheng"},{"family":"Tang","given":"Peng"},{"family":"Wang","given":"Tiejun"},{"family":"Wang","given":"Weibo"},{"family":"Zhang","given":"Jing"},{"family":"Luo","given":"Xianming"},{"family":"Tang","given":"Xiongwen"},{"family":"May","given":"Rena"},{"family":"Feng","given":"Hui"},{"family":"Yao","given":"Sheng"},{"family":"Keegan","given":"Patricia"},{"family":"Xu","given":"Rui-Hua"},{"family":"Wang","given":"Feng"}],"issued":{"date-parts":[["2022",3,14]]}},"label":"page"}],"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kern w:val="0"/>
                <w:sz w:val="16"/>
                <w:szCs w:val="24"/>
              </w:rPr>
              <w:t>[1–7]</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Leukopenia or White Blood Cell Count Decreased</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0.143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0.114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0.172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{"citationID":"HOeTnm0Z","properties":{"formattedCitation":"[1\\uc0\\u8211{}7]","plainCitation":"[1–7]","noteIndex":0},"citationItems":[{"id":1581,"uris":["http://zotero.org/users/10452308/items/HKLVN84L"],"itemData":{"id":1581,"type":"article-journal","abstract":"Standard first-line therapy for advanced or metastatic esophageal carcinoma is chemotherapy, but the prognosis remains poor. Camrelizumab (an anti–programmed death receptor 1 [PD-1] antibody) showed antitumor activity in previously treated advanced or metastatic esophageal squamous cell carcinoma.To evaluate the efficacy and adverse events of camrelizumab plus chemotherapy vs placebo plus chemotherapy as a first-line treatment in advanced or metastatic esophageal squamous cell carcinoma.This randomized, double-blind, placebo-controlled, multicenter, phase 3 trial (ESCORT-1st study) enrolled patients from 60 hospitals in China between December 3, 2018, and May 12, 2020 (final follow-up, October 30, 2020). A total of 751 patients were screened and 596 eligible patients with untreated advanced or metastatic esophageal squamous cell carcinoma were randomized.Patients were randomized 1:1 to receive either camrelizumab 200 mg (n = 298) or placebo (n = 298), combined with up to 6 cycles of paclitaxel (175 mg/m2) and cisplatin (75 mg/m2). All treatments were given intravenously every 3 weeks.Coprimary end points were overall survival (significance threshold, 1-sided P &amp;lt; .02) and progression-free survival (significance threshold, 1-sided P &amp;lt; .005).Of the 596 patients randomized (median age, 62 years [interquartile range, 56-67 years]; 523 men [87.8%]), 1 patient in the placebo-chemotherapy group did not receive planned treatment. A total of 490 patients (82.2%) had discontinued the study treatment. The median follow-up was 10.8 months. The overall survival for the camrelizumab-chemotherapy group was a median of 15.3 months (95% CI, 12.8-17.3; 135 deaths) vs a median of 12.0 months (95% CI, 11.0-13.3; 174 deaths) for the placebo-chemotherapy group (hazard ratio [HR] for death, 0.70 [95% CI, 0.56-0.88]; 1-sided P = .001). Progression-free survival for camrelizumab plus chemotherapy was a median of 6.9 months (95% CI, 5.8-7.4; 199 progression or deaths) vs 5.6 months (95% CI, 5.5-5.7; 229 progression or deaths) for the placebo-chemotherapy group (HR for progression or death, 0.56 [95% CI, 0.46-0.68]; 1-sided P &amp;lt; .001). Treatment-related adverse events of grade 3 or higher occurred in 189 patients (63.4%) in the camrelizumab-chemotherapy group and 201 (67.7%) in the placebo-chemotherapy group, including treatment-related deaths among 9 patients (3.0%) and 11 patients (3.7%), respectively.Among patients with advanced or metastatic esophageal squamous cell carcinoma, the addition of camrelizumab to chemotherapy, compared with placebo and chemotherapy, significantly improved overall survival and progression-free survival.ClinicalTrials.gov Identifier: NCT03691090","container-title":"JAMA","DOI":"10.1001/jama.2021.12836","ISSN":"0098-7484","issue":"10","journalAbbreviation":"JAMA","page":"916-925","title":"Effect of Camrelizumab vs Placebo Added to Chemotherapy on Survival and Progression-Free Survival in Patients With Advanced or Metastatic Esophageal Squamous Cell Carcinoma: The ESCORT-1st Randomized Clinical Trial","title-short":"Effect of Camrelizumab vs Placebo Added to Chemotherapy on Survival and Progression-Free Survival in Patients With Advanced or Metastatic Esophageal Squamous Cell Carcinoma","volume":"326","author":[{"family":"Luo","given":"Huiyan"},{"family":"Lu","given":"Jin"},{"family":"Bai","given":"Yuxian"},{"family":"Mao","given":"Teng"},{"family":"Wang","given":"Jun"},{"family":"Fan","given":"Qingxia"},{"family":"Zhang","given":"Yiping"},{"family":"Zhao","given":"Kuaile"},{"family":"Chen","given":"Zhendong"},{"family":"Gao","given":"Shegan"},{"family":"Li","given":"Jiancheng"},{"family":"Fu","given":"Zhichao"},{"family":"Gu","given":"Kangsheng"},{"family":"Liu","given":"Zhihua"},{"family":"Wu","given":"Lin"},{"family":"Zhang","given":"Xiaodong"},{"family":"Feng","given":"Jifeng"},{"family":"Niu","given":"Zuoxing"},{"family":"Ba","given":"Yi"},{"family":"Zhang","given":"Helong"},{"family":"Liu","given":"Ying"},{"family":"Zhang","given":"Li"},{"family":"Min","given":"Xuhong"},{"family":"Huang","given":"Jing"},{"family":"Cheng","given":"Ying"},{"family":"Wang","given":"Dong"},{"family":"Shen","given":"Yu"},{"family":"Yang","given":"Qing"},{"family":"Zou","given":"Jianjun"},{"family":"Xu","given":"Rui-Hua"},{"literal":"ESCORT-1st Investigators"}],"issued":{"date-parts":[["2021",9,14]]}},"label":"page"},{"id":1587,"uris":["http://zotero.org/users/10452308/items/F7BV9ICS"],"itemData":{"id":1587,"type":"article-journal","call-number":"1","container-title":"New England Journal of Medicine","DOI":"10.1056/NEJMoa2111380","ISSN":"0028-4793","issue":"5","journalAbbreviation":"N Engl J Med","note":"publisher: Massachusetts Medical Society","page":"449-462","source":"158.5","title":"Nivolumab Combination Therapy in Advanced Esophageal Squamous-Cell Carcinoma","volume":"386","author":[{"family":"Doki","given":"Yuichiro"},{"family":"Ajani","given":"Jaffer A."},{"family":"Kato","given":"Ken"},{"family":"Xu","given":"Jianming"},{"family":"Wyrwicz","given":"Lucjan"},{"family":"Motoyama","given":"Satoru"},{"family":"Ogata","given":"Takashi"},{"family":"Kawakami","given":"Hisato"},{"family":"Hsu","given":"Chih-Hung"},{"family":"Adenis","given":"Antoine"},{"family":"El Hajbi","given":"Farid"},{"family":"Di Bartolomeo","given":"Maria"},{"family":"Braghiroli","given":"Maria I."},{"family":"Holtved","given":"Eva"},{"family":"Ostoich","given":"Sandra A."},{"family":"Kim","given":"Hye R."},{"family":"Ueno","given":"Masaki"},{"family":"Mansoor","given":"Wasat"},{"family":"Yang","given":"Wen-Chi"},{"family":"Liu","given":"Tianshu"},{"family":"Bridgewater","given":"John"},{"family":"Makino","given":"Tomoki"},{"family":"Xynos","given":"Ioannis"},{"family":"Liu","given":"Xuan"},{"family":"Lei","given":"Ming"},{"family":"Kondo","given":"Kaoru"},{"family":"Patel","given":"Apurva"},{"family":"Gricar","given":"Joseph"},{"family":"Chau","given":"Ian"},{"family":"Kitagawa","given":"Yuko"}],"issued":{"date-parts":[["2022",2,3]]}},"label":"page"},{"id":1576,"uris":["http://zotero.org/users/10452308/items/RIE5KTBR"],"itemData":{"id":1576,"type":"article-journal","call-number":"1","container-title":"The Lancet","DOI":"10.1016/S0140-6736(21)01234-4","ISSN":"0140-6736, 1474-547X","issue":"10302","journalAbbreviation":"The Lancet","language":"English","note":"publisher: Elsevier\nPMID: 34454674","page":"759-771","source":"168.9","title":"Pembrolizumab plus chemotherapy versus chemotherapy alone for first-line treatment of advanced oesophageal cancer (KEYNOTE-590): a randomised, placebo-controlled, phase 3 study","title-short":"Pembrolizumab plus chemotherapy versus chemotherapy alone for first-line treatment of advanced oesophageal cancer (KEYNOTE-590)","volume":"398","author":[{"family":"Sun","given":"Jong-Mu"},{"family":"Shen","given":"Lin"},{"family":"Shah","given":"Manish A."},{"family":"Enzinger","given":"Peter"},{"family":"Adenis","given":"Antoine"},{"family":"Doi","given":"Toshihiko"},{"family":"Kojima","given":"Takashi"},{"family":"Metges","given":"Jean-Philippe"},{"family":"Li","given":"Zhigang"},{"family":"Kim","given":"Sung-Bae"},{"family":"Cho","given":"Byoung Chul"},{"family":"Mansoor","given":"Wasat"},{"family":"Li","given":"Shau-Hsuan"},{"family":"Sunpaweravong","given":"Patrapim"},{"family":"Maqueda","given":"Maria Alsina"},{"family":"Goekkurt","given":"Eray"},{"family":"Hara","given":"Hiroki"},{"family":"Antunes","given":"Luis"},{"family":"Fountzilas","given":"Christos"},{"family":"Tsuji","given":"Akihito"},{"family":"Oliden","given":"Victor Castro"},{"family":"Liu","given":"Qi"},{"family":"Shah","given":"Sukrut"},{"family":"Bhagia","given":"Pooja"},{"family":"Kato","given":"Ken"}],"issued":{"date-parts":[["2021",8,28]]}},"label":"page"},{"id":1579,"uris":["http://zotero.org/users/10452308/items/2HQDFFYX"],"itemData":{"id":1579,"type":"article-journal","abstract":"First-line systemic therapeutic options for advanced esophageal squamous cell carcinoma (ESCC) are limited. In this multicenter, double-blind phase 3 trial, a total of 551 patients with previously untreated, locally advanced or metastatic ESCC and PD-L1 combined positive score of </w:instrText>
            </w:r>
            <w:r>
              <w:rPr>
                <w:rFonts w:hint="eastAsia" w:ascii="Times New Roman" w:hAnsi="Times New Roman" w:eastAsia="宋体" w:cs="Times New Roman"/>
                <w:kern w:val="0"/>
                <w:sz w:val="16"/>
                <w:szCs w:val="16"/>
              </w:rPr>
              <w:instrText xml:space="preserve">≥</w:instrText>
            </w:r>
            <w:r>
              <w:rPr>
                <w:rFonts w:ascii="Times New Roman" w:hAnsi="Times New Roman" w:eastAsia="宋体" w:cs="Times New Roman"/>
                <w:kern w:val="0"/>
                <w:sz w:val="16"/>
                <w:szCs w:val="16"/>
              </w:rPr>
              <w:instrText xml:space="preserve">1 were randomized (2:1) to receive serplulimab (an anti-PD-1 antibody; 3 mg/kg) or placebo (on day 1), plus cisplatin (50 mg/m2) (on day 1) and continuous infusion of 5-fluorouracil (1,200 mg/m2) (on days 1 and 2), once every 2 weeks. The study met the primary endpoints. At the prespecified final analysis of progression-free survival (PFS) assessed by the blinded independent radiological review committee, serplulimab plus chemotherapy significantly improved PFS compared with placebo plus chemotherapy (median PFS of 5.8 months and 5.3 months, respectively; hazard ratio, 0.60; 95% confidence interval, 0.48–0.75; P &lt; 0.0001). At the prespecified interim analysis of overall survival (OS), serplulimab plus chemotherapy also significantly prolonged OS compared with placebo plus chemotherapy (median OS of 15.3 months and 11.8 months, respectively; hazard ratio, 0.68; 95% confidence interval, 0.53–0.87; P = 0.0020). Grade 3 or higher treatment-related adverse events occurred in 201 (53%) and 81 (48%) patients in the serplulimab plus chemotherapy group and the placebo plus chemotherapy group, respectively. Serplulimab plus chemotherapy administered every 2 weeks significantly improved PFS and OS in patients with previously untreated, PD-L1-positive advanced ESCC, with a manageable safety profile. This study is registered with ClinicalTrials.gov (NCT03958890).","call-number":"1","container-title":"Nature Medicine","DOI":"10.1038/s41591-022-02179-2","ISSN":"1546-170X","issue":"2","journalAbbreviation":"Nat Med","language":"en","license":"2023 The Author(s)","note":"number: 2\npublisher: Nature Publishing Group","page":"473-482","source":"82.9","title":"First-line serplulimab or placebo plus chemotherapy in PD-L1-positive esophageal squamous cell carcinoma: a randomized, double-blind phase 3 trial","title-short":"First-line serplulimab or placebo plus chemotherapy in PD-L1-positive esophageal squamous cell carcinoma","volume":"29","author":[{"family":"Song","given":"Yan"},{"family":"Zhang","given":"Bo"},{"family":"Xin","given":"Dao"},{"family":"Kou","given":"Xiaoge"},{"family":"Tan","given":"Zhenbo"},{"family":"Zhang","given":"Shu"},{"family":"Sun","given":"Meili"},{"family":"Zhou","given":"Jin"},{"family":"Fan","given":"Min"},{"family":"Zhang","given":"Ming"},{"family":"Song","given":"Yongxiang"},{"family":"Li","given":"Suyi"},{"family":"Yuan","given":"Yuan"},{"family":"Zhuang","given":"Wu"},{"family":"Zhang","given":"Jingdong"},{"family":"Zhang","given":"Li"},{"family":"Jiang","given":"Hao"},{"family":"Gu","given":"Kangsheng"},{"family":"Ye","given":"Huangyang"},{"family":"Ke","given":"Ying"},{"family":"Li","given":"Jing"},{"family":"Wang","given":"Qingyu"},{"family":"Zhu","given":"Jun"},{"family":"Huang","given":"Jing"}],"issued":{"date-parts":[["2023",2]]}},"label":"page"},{"id":1584,"uris":["http://zotero.org/users/10452308/items/NSDQUIBB"],"itemData":{"id":1584,"type":"article-journal","abstract":"Objective To evaluate sintilimab versus placebo in combination with chemotherapy (cisplatin plus paclitaxel or cisplatin plus 5-fluorouracil) as first line treatment of unresectable locally advanced, recurrent, or metastatic oesophageal squamous cell carcinoma.\nDesign Multicentre, randomised, double blind,</w:instrText>
            </w:r>
            <w:r>
              <w:rPr>
                <w:rFonts w:hint="eastAsia" w:ascii="Times New Roman" w:hAnsi="Times New Roman" w:eastAsia="宋体" w:cs="Times New Roman"/>
                <w:kern w:val="0"/>
                <w:sz w:val="16"/>
                <w:szCs w:val="16"/>
              </w:rPr>
              <w:instrText xml:space="preserve"> phase 3 trial.\nSetting 66 sites in China and 13 sites outside of China between 14 December 2018 and 9 April 2021.\nParticipants 659 adults (aged ≥18 years) with advanced or metastatic oesophageal squamous cell carcinoma who had not received systemic treatment.\nIntervention Participants were randomised 1:1 to receive sintilimab or placebo (3 mg/kg in patients weighing &lt;60 kg or 200 mg in patients weighing ≥60 kg) in combination with cisplatin 75 mg/m2 plus paclitaxel 175 mg/m2 every three weeks. The tri</w:instrText>
            </w:r>
            <w:r>
              <w:rPr>
                <w:rFonts w:ascii="Times New Roman" w:hAnsi="Times New Roman" w:eastAsia="宋体" w:cs="Times New Roman"/>
                <w:kern w:val="0"/>
                <w:sz w:val="16"/>
                <w:szCs w:val="16"/>
              </w:rPr>
              <w:instrText xml:space="preserve">al was amended to allow investigators to choose the chemotherapy regimen: cisplatin plus paclitaxel or cisplatin plus 5-fluorouracil (800 mg/m2 continuous infusion on days 1-5).\nMain outcome measures Overall survival in all patients and in patients with </w:instrText>
            </w:r>
            <w:r>
              <w:rPr>
                <w:rFonts w:hint="eastAsia" w:ascii="Times New Roman" w:hAnsi="Times New Roman" w:eastAsia="宋体" w:cs="Times New Roman"/>
                <w:kern w:val="0"/>
                <w:sz w:val="16"/>
                <w:szCs w:val="16"/>
              </w:rPr>
              <w:instrText xml:space="preserve">combined positive scores of ≥10 for expression of programmed cell death ligand 1.\nResults 659 patients were randomly assigned to sintilimab (n=327) or placebo (n=332) with chemotherapy. 616 of 659 patients (93%) received sintilimab or placebo in combinat</w:instrText>
            </w:r>
            <w:r>
              <w:rPr>
                <w:rFonts w:ascii="Times New Roman" w:hAnsi="Times New Roman" w:eastAsia="宋体" w:cs="Times New Roman"/>
                <w:kern w:val="0"/>
                <w:sz w:val="16"/>
                <w:szCs w:val="16"/>
              </w:rPr>
              <w:instrText xml:space="preserve">ion with cisplatin plus paclitaxel and 43 of 659 patients (7%) received sintilimab or placebo in combination with cisplatin plus 5-fluorouracil. At the interim analysis, sintilimab with chemotherapy showed better overall survival compared with placebo and</w:instrText>
            </w:r>
            <w:r>
              <w:rPr>
                <w:rFonts w:hint="eastAsia" w:ascii="Times New Roman" w:hAnsi="Times New Roman" w:eastAsia="宋体" w:cs="Times New Roman"/>
                <w:kern w:val="0"/>
                <w:sz w:val="16"/>
                <w:szCs w:val="16"/>
              </w:rPr>
              <w:instrText xml:space="preserve"> chemotherapy in all patients (median 16.7 v 12.5 months, hazard ratio 0.63, 95% confidence interval 0.51 to 0.78, P&lt;0.001) and in patients with combined positive scores of ≥10 (17.2 v 13.6 months, 0.64, 0.48 to 0.85, P=0.002). Sintilimab and chemotherapy significantly improved progression free survival compared with placebo and chemotherapy in all patients (7.2 v 5.7 months, 0.56, 0.46 to 0.68, P&lt;0.001) and in patients with combined positive scores of ≥10 (8.3 v 6.4 months, 0.58, 0.45 to 0.75, P&lt;0.001). Adverse events related to treatment occurred in 321 of 327 patients (98%) in the sintilimab-chemotherapy group versus 326 of 332 (98%) patients in the placebo-chemotherapy group. Rates of adverse events related to treatment, grade ≥3, were 60% (196/327) a</w:instrText>
            </w:r>
            <w:r>
              <w:rPr>
                <w:rFonts w:ascii="Times New Roman" w:hAnsi="Times New Roman" w:eastAsia="宋体" w:cs="Times New Roman"/>
                <w:kern w:val="0"/>
                <w:sz w:val="16"/>
                <w:szCs w:val="16"/>
              </w:rPr>
              <w:instrText xml:space="preserve">nd 55% (181/332) in the sintilimab-chemotherapy and placebo-chemotherapy groups, respectively.\nConclusions Compared with placebo, sintilimab in combination with cisplatin plus paclitaxel showed significant benefits in overall survival and progression free survival as first line treatment in patients with advanced or metastatic oesophageal squamous cell carcinoma. Similar benefits of sintilimab with cisplatin plus 5-fluorouracil seem promising.\nTrial registration ClinicalTrials.gov NCT03748134.","container-title":"BMJ","DOI":"10.1136/bmj-2021-068714","ISSN":"1756-1833","journalAbbreviation":"BMJ","language":"en","license":"©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35440464","page":"e068714","title":"Sintilimab versus placebo in combination with chemotherapy as first line treatment for locally advanced or metastatic oesophageal squamous cell carcinoma (ORIENT-15): multicentre, randomised, double blind, phase 3 trial","title-short":"Sintilimab versus placebo in combination with chemotherapy as first line treatment for locally advanced or metastatic oesophageal squamous cell carcinoma (ORIENT-15)","volume":"377","author":[{"family":"Lu","given":"Zhihao"},{"family":"Wang","given":"Junye"},{"family":"Shu","given":"Yongqian"},{"family":"Liu","given":"Lianke"},{"family":"Kong","given":"Li"},{"family":"Yang","given":"Lei"},{"family":"Wang","given":"Buhai"},{"family":"Sun","given":"Guogui"},{"family":"Ji","given":"Yinghua"},{"family":"Cao","given":"Guochun"},{"family":"Liu","given":"Hu"},{"family":"Cui","given":"Tongjian"},{"family":"Li","given":"Na"},{"family":"Qiu","given":"Wensheng"},{"family":"Li","given":"Gaofeng"},{"family":"Hou","given":"Xinfang"},{"family":"Luo","given":"Hui"},{"family":"Xue","given":"Liying"},{"family":"Zhang","given":"Yanqiao"},{"family":"Yue","given":"Wenbin"},{"family":"Liu","given":"Zheng"},{"family":"Wang","given":"Xiuwen"},{"family":"Gao","given":"Shegan"},{"family":"Pan","given":"Yueyin"},{"family":"Galais","given":"Marie-Pierre"},{"family":"Zaanan","given":"Aziz"},{"family":"Ma","given":"Zhuo"},{"family":"Li","given":"Haoyu"},{"family":"Wang","given":"Yan"},{"family":"Shen","given":"Lin"}],"issued":{"date-parts":[["2022",4,19]]}},"label":"page"},{"id":1570,"uris":["http://zotero.org/users/10452308/items/D6DCS7AN"],"itemData":{"id":1570,"type":"article-journal","call-number":"1","container-title":"The Lancet Oncology","DOI":"10.1016/S1470-2045(23)00108-0","ISSN":"1470-2045, 1474-5488","issue":"5","journalAbbreviation":"The Lancet Oncology","language":"English","note":"publisher: Elsevier\nPMID: 37080222","page":"483-495","source":"51.1","title":"Tislelizumab plus chemotherapy versus placebo plus chemotherapy as first-line treatment for advanced or metastatic oesophageal squamous cell carcinoma (RATIONALE-306): a global, randomised, placebo-controlled, phase 3 study","title-short":"Tislelizumab plus chemotherapy versus placebo plus chemotherapy as first-line treatment for advanced or metastatic oesophageal squamous cell carcinoma (RATIONALE-306)","volume":"24","author":[{"family":"Xu","given":"Jianming"},{"family":"Kato","given":"Ken"},{"family":"Raymond","given":"Eric"},{"family":"Hubner","given":"Richard A."},{"family":"Shu","given":"Yongqian"},{"family":"Pan","given":"Yueyin"},{"family":"Park","given":"Sook Ryun"},{"family":"Ping","given":"Lu"},{"family":"Jiang","given":"Yi"},{"family":"Zhang","given":"Jingdong"},{"family":"Wu","given":"Xiaohong"},{"family":"Yao","given":"Yuanhu"},{"family":"Shen","given":"Lin"},{"family":"Kojima","given":"Takashi"},{"family":"Gotovkin","given":"Evgeny"},{"family":"Ishihara","given":"Ryu"},{"family":"Wyrwicz","given":"Lucjan"},{"family":"Cutsem","given":"Eric Van"},{"family":"Jimenez-Fonseca","given":"Paula"},{"family":"Lin","given":"Chen-Yuan"},{"family":"Wang","given":"Lei"},{"family":"Shi","given":"Jingwen"},{"family":"Li","given":"Liyun"},{"family":"Yoon","given":"Harry H."}],"issued":{"date-parts":[["2023",5,1]]}},"label":"page"},{"id":1573,"uris":["http://zotero.org/users/10452308/items/FU35U5B7"],"itemData":{"id":1573,"type":"article-journal","call-number":"1","container-title":"Cancer Cell","DOI":"10.1016/j.ccell.2022.02.007","ISSN":"1535-6108, 1878-3686","issue":"3","journalAbbreviation":"Cancer Cell","language":"English","note":"publisher: Elsevier\nPMID: 35245446","page":"277-288.e3","source":"50.3","title":"Toripalimab plus chemotherapy in treatment-naïve, advanced esophageal squamous cell carcinoma (JUPITER-06): A multi-center phase 3 trial","title-short":"Toripalimab plus chemotherapy in treatment-naïve, advanced esophageal squamous cell carcinoma (JUPITER-06)","volume":"40","author":[{"family":"Wang","given":"Zi-Xian"},{"family":"Cui","given":"Chengxu"},{"family":"Yao","given":"Jun"},{"family":"Zhang","given":"Yanqiao"},{"family":"Li","given":"Mengxia"},{"family":"Feng","given":"Jifeng"},{"family":"Yang","given":"Shujun"},{"family":"Fan","given":"Yun"},{"family":"Shi","given":"Jianhua"},{"family":"Zhang","given":"Xizhi"},{"family":"Shen","given":"Lin"},{"family":"Shu","given":"Yongqian"},{"family":"Wang","given":"Cailian"},{"family":"Dai","given":"Tianyang"},{"family":"Mao","given":"Teng"},{"family":"Chen","given":"Long"},{"family":"Guo","given":"Zengqing"},{"family":"Liu","given":"Bo"},{"family":"Pan","given":"Hongming"},{"family":"Cang","given":"Shundong"},{"family":"Jiang","given":"Yi"},{"family":"Wang","given":"Junye"},{"family":"Ye","given":"Min"},{"family":"Chen","given":"Zhendong"},{"family":"Jiang","given":"Da"},{"family":"Lin","given":"Qin"},{"family":"Ren","given":"Wei"},{"family":"Wang","given":"Junsheng"},{"family":"Wu","given":"Lin"},{"family":"Xu","given":"Yong"},{"family":"Miao","given":"Zhanhui"},{"family":"Sun","given":"Meili"},{"family":"Xie","given":"Conghua"},{"family":"Liu","given":"Ying"},{"family":"Wang","given":"Qifeng"},{"family":"Zhao","given":"Lina"},{"family":"Li","given":"Qi"},{"family":"Huang","given":"Canhong"},{"family":"Jiang","given":"Ke"},{"family":"Yang","given":"Kunyu"},{"family":"Li","given":"Daojun"},{"family":"Liu","given":"Yunpeng"},{"family":"Zhu","given":"Zhitu"},{"family":"Chen","given":"Rixin"},{"family":"Jia","given":"Liqun"},{"family":"Li","given":"Wei"},{"family":"Liao","given":"Wangjun"},{"family":"Liu","given":"Hong-Xu"},{"family":"Ma","given":"Daiyuan"},{"family":"Ma","given":"Jie"},{"family":"Qin","given":"Yanru"},{"family":"Shi","given":"Zhihong"},{"family":"Wei","given":"Qichun"},{"family":"Xiao","given":"Ke"},{"family":"Zhang","given":"Yan"},{"family":"Zhang","given":"Ying"},{"family":"Chen","given":"Xin"},{"family":"Dai","given":"Guanghai"},{"family":"He","given":"Jianxing"},{"family":"Li","given":"Junhe"},{"family":"Li","given":"Guanghui"},{"family":"Liu","given":"Yong"},{"family":"Liu","given":"Zhihua"},{"family":"Yuan","given":"Xianglin"},{"family":"Zhang","given":"Junping"},{"family":"Fu","given":"Zhichao"},{"family":"He","given":"Yifu"},{"family":"Ju","given":"Fang"},{"family":"Liu","given":"Zheng"},{"family":"Tang","given":"Peng"},{"family":"Wang","given":"Tiejun"},{"family":"Wang","given":"Weibo"},{"family":"Zhang","given":"Jing"},{"family":"Luo","given":"Xianming"},{"family":"Tang","given":"Xiongwen"},{"family":"May","given":"Rena"},{"family":"Feng","given":"Hui"},{"family":"Yao","given":"Sheng"},{"family":"Keegan","given":"Patricia"},{"family":"Xu","given":"Rui-Hua"},{"family":"Wang","given":"Feng"}],"issued":{"date-parts":[["2022",3,14]]}},"label":"page"}],"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kern w:val="0"/>
                <w:sz w:val="16"/>
                <w:szCs w:val="24"/>
              </w:rPr>
              <w:t>[1–7]</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b/>
                <w:bCs/>
                <w:kern w:val="0"/>
                <w:sz w:val="16"/>
                <w:szCs w:val="16"/>
              </w:rPr>
              <w:t>Second-line Therapy Proportion</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Chemotherapy</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0.536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0.429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0.643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{"citationID":"XF56OlaM","properties":{"formattedCitation":"[1\\uc0\\u8211{}7]","plainCitation":"[1–7]","noteIndex":0},"citationItems":[{"id":1581,"uris":["http://zotero.org/users/10452308/items/HKLVN84L"],"itemData":{"id":1581,"type":"article-journal","abstract":"Standard first-line therapy for advanced or metastatic esophageal carcinoma is chemotherapy, but the prognosis remains poor. Camrelizumab (an anti–programmed death receptor 1 [PD-1] antibody) showed antitumor activity in previously treated advanced or metastatic esophageal squamous cell carcinoma.To evaluate the efficacy and adverse events of camrelizumab plus chemotherapy vs placebo plus chemotherapy as a first-line treatment in advanced or metastatic esophageal squamous cell carcinoma.This randomized, double-blind, placebo-controlled, multicenter, phase 3 trial (ESCORT-1st study) enrolled patients from 60 hospitals in China between December 3, 2018, and May 12, 2020 (final follow-up, October 30, 2020). A total of 751 patients were screened and 596 eligible patients with untreated advanced or metastatic esophageal squamous cell carcinoma were randomized.Patients were randomized 1:1 to receive either camrelizumab 200 mg (n = 298) or placebo (n = 298), combined with up to 6 cycles of paclitaxel (175 mg/m2) and cisplatin (75 mg/m2). All treatments were given intravenously every 3 weeks.Coprimary end points were overall survival (significance threshold, 1-sided P &amp;lt; .02) and progression-free survival (significance threshold, 1-sided P &amp;lt; .005).Of the 596 patients randomized (median age, 62 years [interquartile range, 56-67 years]; 523 men [87.8%]), 1 patient in the placebo-chemotherapy group did not receive planned treatment. A total of 490 patients (82.2%) had discontinued the study treatment. The median follow-up was 10.8 months. The overall survival for the camrelizumab-chemotherapy group was a median of 15.3 months (95% CI, 12.8-17.3; 135 deaths) vs a median of 12.0 months (95% CI, 11.0-13.3; 174 deaths) for the placebo-chemotherapy group (hazard ratio [HR] for death, 0.70 [95% CI, 0.56-0.88]; 1-sided P = .001). Progression-free survival for camrelizumab plus chemotherapy was a median of 6.9 months (95% CI, 5.8-7.4; 199 progression or deaths) vs 5.6 months (95% CI, 5.5-5.7; 229 progression or deaths) for the placebo-chemotherapy group (HR for progression or death, 0.56 [95% CI, 0.46-0.68]; 1-sided P &amp;lt; .001). Treatment-related adverse events of grade 3 or higher occurred in 189 patients (63.4%) in the camrelizumab-chemotherapy group and 201 (67.7%) in the placebo-chemotherapy group, including treatment-related deaths among 9 patients (3.0%) and 11 patients (3.7%), respectively.Among patients with advanced or metastatic esophageal squamous cell carcinoma, the addition of camrelizumab to chemotherapy, compared with placebo and chemotherapy, significantly improved overall survival and progression-free survival.ClinicalTrials.gov Identifier: NCT03691090","container-title":"JAMA","DOI":"10.1001/jama.2021.12836","ISSN":"0098-7484","issue":"10","journalAbbreviation":"JAMA","page":"916-925","title":"Effect of Camrelizumab vs Placebo Added to Chemotherapy on Survival and Progression-Free Survival in Patients With Advanced or Metastatic Esophageal Squamous Cell Carcinoma: The ESCORT-1st Randomized Clinical Trial","title-short":"Effect of Camrelizumab vs Placebo Added to Chemotherapy on Survival and Progression-Free Survival in Patients With Advanced or Metastatic Esophageal Squamous Cell Carcinoma","volume":"326","author":[{"family":"Luo","given":"Huiyan"},{"family":"Lu","given":"Jin"},{"family":"Bai","given":"Yuxian"},{"family":"Mao","given":"Teng"},{"family":"Wang","given":"Jun"},{"family":"Fan","given":"Qingxia"},{"family":"Zhang","given":"Yiping"},{"family":"Zhao","given":"Kuaile"},{"family":"Chen","given":"Zhendong"},{"family":"Gao","given":"Shegan"},{"family":"Li","given":"Jiancheng"},{"family":"Fu","given":"Zhichao"},{"family":"Gu","given":"Kangsheng"},{"family":"Liu","given":"Zhihua"},{"family":"Wu","given":"Lin"},{"family":"Zhang","given":"Xiaodong"},{"family":"Feng","given":"Jifeng"},{"family":"Niu","given":"Zuoxing"},{"family":"Ba","given":"Yi"},{"family":"Zhang","given":"Helong"},{"family":"Liu","given":"Ying"},{"family":"Zhang","given":"Li"},{"family":"Min","given":"Xuhong"},{"family":"Huang","given":"Jing"},{"family":"Cheng","given":"Ying"},{"family":"Wang","given":"Dong"},{"family":"Shen","given":"Yu"},{"family":"Yang","given":"Qing"},{"family":"Zou","given":"Jianjun"},{"family":"Xu","given":"Rui-Hua"},{"literal":"ESCORT-1st Investigators"}],"issued":{"date-parts":[["2021",9,14]]}},"label":"page"},{"id":1587,"uris":["http://zotero.org/users/10452308/items/F7BV9ICS"],"itemData":{"id":1587,"type":"article-journal","call-number":"1","container-title":"New England Journal of Medicine","DOI":"10.1056/NEJMoa2111380","ISSN":"0028-4793","issue":"5","journalAbbreviation":"N Engl J Med","note":"publisher: Massachusetts Medical Society","page":"449-462","source":"158.5","title":"Nivolumab Combination Therapy in Advanced Esophageal Squamous-Cell Carcinoma","volume":"386","author":[{"family":"Doki","given":"Yuichiro"},{"family":"Ajani","given":"Jaffer A."},{"family":"Kato","given":"Ken"},{"family":"Xu","given":"Jianming"},{"family":"Wyrwicz","given":"Lucjan"},{"family":"Motoyama","given":"Satoru"},{"family":"Ogata","given":"Takashi"},{"family":"Kawakami","given":"Hisato"},{"family":"Hsu","given":"Chih-Hung"},{"family":"Adenis","given":"Antoine"},{"family":"El Hajbi","given":"Farid"},{"family":"Di Bartolomeo","given":"Maria"},{"family":"Braghiroli","given":"Maria I."},{"family":"Holtved","given":"Eva"},{"family":"Ostoich","given":"Sandra A."},{"family":"Kim","given":"Hye R."},{"family":"Ueno","given":"Masaki"},{"family":"Mansoor","given":"Wasat"},{"family":"Yang","given":"Wen-Chi"},{"family":"Liu","given":"Tianshu"},{"family":"Bridgewater","given":"John"},{"family":"Makino","given":"Tomoki"},{"family":"Xynos","given":"Ioannis"},{"family":"Liu","given":"Xuan"},{"family":"Lei","given":"Ming"},{"family":"Kondo","given":"Kaoru"},{"family":"Patel","given":"Apurva"},{"family":"Gricar","given":"Joseph"},{"family":"Chau","given":"Ian"},{"family":"Kitagawa","given":"Yuko"}],"issued":{"date-parts":[["2022",2,3]]}},"label":"page"},{"id":1576,"uris":["http://zotero.org/users/10452308/items/RIE5KTBR"],"itemData":{"id":1576,"type":"article-journal","call-number":"1","container-title":"The Lancet","DOI":"10.1016/S0140-6736(21)01234-4","ISSN":"0140-6736, 1474-547X","issue":"10302","journalAbbreviation":"The Lancet","language":"English","note":"publisher: Elsevier\nPMID: 34454674","page":"759-771","source":"168.9","title":"Pembrolizumab plus chemotherapy versus chemotherapy alone for first-line treatment of advanced oesophageal cancer (KEYNOTE-590): a randomised, placebo-controlled, phase 3 study","title-short":"Pembrolizumab plus chemotherapy versus chemotherapy alone for first-line treatment of advanced oesophageal cancer (KEYNOTE-590)","volume":"398","author":[{"family":"Sun","given":"Jong-Mu"},{"family":"Shen","given":"Lin"},{"family":"Shah","given":"Manish A."},{"family":"Enzinger","given":"Peter"},{"family":"Adenis","given":"Antoine"},{"family":"Doi","given":"Toshihiko"},{"family":"Kojima","given":"Takashi"},{"family":"Metges","given":"Jean-Philippe"},{"family":"Li","given":"Zhigang"},{"family":"Kim","given":"Sung-Bae"},{"family":"Cho","given":"Byoung Chul"},{"family":"Mansoor","given":"Wasat"},{"family":"Li","given":"Shau-Hsuan"},{"family":"Sunpaweravong","given":"Patrapim"},{"family":"Maqueda","given":"Maria Alsina"},{"family":"Goekkurt","given":"Eray"},{"family":"Hara","given":"Hiroki"},{"family":"Antunes","given":"Luis"},{"family":"Fountzilas","given":"Christos"},{"family":"Tsuji","given":"Akihito"},{"family":"Oliden","given":"Victor Castro"},{"family":"Liu","given":"Qi"},{"family":"Shah","given":"Sukrut"},{"family":"Bhagia","given":"Pooja"},{"family":"Kato","given":"Ken"}],"issued":{"date-parts":[["2021",8,28]]}},"label":"page"},{"id":1579,"uris":["http://zotero.org/users/10452308/items/2HQDFFYX"],"itemData":{"id":1579,"type":"article-journal","abstract":"First-line systemic therapeutic options for advanced esophageal squamous cell carcinoma (ESCC) are limited. In this multicenter, double-blind phase 3 trial, a total of 551 patients with previously untreated, locally advanced or metastatic ESCC and PD-L1 combined positive score of </w:instrText>
            </w:r>
            <w:r>
              <w:rPr>
                <w:rFonts w:hint="eastAsia" w:ascii="Times New Roman" w:hAnsi="Times New Roman" w:eastAsia="宋体" w:cs="Times New Roman"/>
                <w:kern w:val="0"/>
                <w:sz w:val="16"/>
                <w:szCs w:val="16"/>
              </w:rPr>
              <w:instrText xml:space="preserve">≥</w:instrText>
            </w:r>
            <w:r>
              <w:rPr>
                <w:rFonts w:ascii="Times New Roman" w:hAnsi="Times New Roman" w:eastAsia="宋体" w:cs="Times New Roman"/>
                <w:kern w:val="0"/>
                <w:sz w:val="16"/>
                <w:szCs w:val="16"/>
              </w:rPr>
              <w:instrText xml:space="preserve">1 were randomized (2:1) to receive serplulimab (an anti-PD-1 antibody; 3 mg/kg) or placebo (on day 1), plus cisplatin (50 mg/m2) (on day 1) and continuous infusion of 5-fluorouracil (1,200 mg/m2) (on days 1 and 2), once every 2 weeks. The study met the primary endpoints. At the prespecified final analysis of progression-free survival (PFS) assessed by the blinded independent radiological review committee, serplulimab plus chemotherapy significantly improved PFS compared with placebo plus chemotherapy (median PFS of 5.8 months and 5.3 months, respectively; hazard ratio, 0.60; 95% confidence interval, 0.48–0.75; P &lt; 0.0001). At the prespecified interim analysis of overall survival (OS), serplulimab plus chemotherapy also significantly prolonged OS compared with placebo plus chemotherapy (median OS of 15.3 months and 11.8 months, respectively; hazard ratio, 0.68; 95% confidence interval, 0.53–0.87; P = 0.0020). Grade 3 or higher treatment-related adverse events occurred in 201 (53%) and 81 (48%) patients in the serplulimab plus chemotherapy group and the placebo plus chemotherapy group, respectively. Serplulimab plus chemotherapy administered every 2 weeks significantly improved PFS and OS in patients with previously untreated, PD-L1-positive advanced ESCC, with a manageable safety profile. This study is registered with ClinicalTrials.gov (NCT03958890).","call-number":"1","container-title":"Nature Medicine","DOI":"10.1038/s41591-022-02179-2","ISSN":"1546-170X","issue":"2","journalAbbreviation":"Nat Med","language":"en","license":"2023 The Author(s)","note":"number: 2\npublisher: Nature Publishing Group","page":"473-482","source":"82.9","title":"First-line serplulimab or placebo plus chemotherapy in PD-L1-positive esophageal squamous cell carcinoma: a randomized, double-blind phase 3 trial","title-short":"First-line serplulimab or placebo plus chemotherapy in PD-L1-positive esophageal squamous cell carcinoma","volume":"29","author":[{"family":"Song","given":"Yan"},{"family":"Zhang","given":"Bo"},{"family":"Xin","given":"Dao"},{"family":"Kou","given":"Xiaoge"},{"family":"Tan","given":"Zhenbo"},{"family":"Zhang","given":"Shu"},{"family":"Sun","given":"Meili"},{"family":"Zhou","given":"Jin"},{"family":"Fan","given":"Min"},{"family":"Zhang","given":"Ming"},{"family":"Song","given":"Yongxiang"},{"family":"Li","given":"Suyi"},{"family":"Yuan","given":"Yuan"},{"family":"Zhuang","given":"Wu"},{"family":"Zhang","given":"Jingdong"},{"family":"Zhang","given":"Li"},{"family":"Jiang","given":"Hao"},{"family":"Gu","given":"Kangsheng"},{"family":"Ye","given":"Huangyang"},{"family":"Ke","given":"Ying"},{"family":"Li","given":"Jing"},{"family":"Wang","given":"Qingyu"},{"family":"Zhu","given":"Jun"},{"family":"Huang","given":"Jing"}],"issued":{"date-parts":[["2023",2]]}},"label":"page"},{"id":1584,"uris":["http://zotero.org/users/10452308/items/NSDQUIBB"],"itemData":{"id":1584,"type":"article-journal","abstract":"Objective To evaluate sintilimab versus placebo in combination with chemotherapy (cisplatin plus paclitaxel or cisplatin plus 5-fluorouracil) as first line treatment of unresectable locally advanced, recurrent, or metastatic oesophageal squamous cell carcinoma.\nDesign Multicentre, randomised, double blind,</w:instrText>
            </w:r>
            <w:r>
              <w:rPr>
                <w:rFonts w:hint="eastAsia" w:ascii="Times New Roman" w:hAnsi="Times New Roman" w:eastAsia="宋体" w:cs="Times New Roman"/>
                <w:kern w:val="0"/>
                <w:sz w:val="16"/>
                <w:szCs w:val="16"/>
              </w:rPr>
              <w:instrText xml:space="preserve"> phase 3 trial.\nSetting 66 sites in China and 13 sites outside of China between 14 December 2018 and 9 April 2021.\nParticipants 659 adults (aged ≥18 years) with advanced or metastatic oesophageal squamous cell carcinoma who had not received systemic treatment.\nIntervention Participants were randomised 1:1 to receive sintilimab or placebo (3 mg/kg in patients weighing &lt;60 kg or 200 mg in patients weighing ≥60 kg) in combination with cisplatin 75 mg/m2 plus paclitaxel 175 mg/m2 every three weeks. The tri</w:instrText>
            </w:r>
            <w:r>
              <w:rPr>
                <w:rFonts w:ascii="Times New Roman" w:hAnsi="Times New Roman" w:eastAsia="宋体" w:cs="Times New Roman"/>
                <w:kern w:val="0"/>
                <w:sz w:val="16"/>
                <w:szCs w:val="16"/>
              </w:rPr>
              <w:instrText xml:space="preserve">al was amended to allow investigators to choose the chemotherapy regimen: cisplatin plus paclitaxel or cisplatin plus 5-fluorouracil (800 mg/m2 continuous infusion on days 1-5).\nMain outcome measures Overall survival in all patients and in patients with </w:instrText>
            </w:r>
            <w:r>
              <w:rPr>
                <w:rFonts w:hint="eastAsia" w:ascii="Times New Roman" w:hAnsi="Times New Roman" w:eastAsia="宋体" w:cs="Times New Roman"/>
                <w:kern w:val="0"/>
                <w:sz w:val="16"/>
                <w:szCs w:val="16"/>
              </w:rPr>
              <w:instrText xml:space="preserve">combined positive scores of ≥10 for expression of programmed cell death ligand 1.\nResults 659 patients were randomly assigned to sintilimab (n=327) or placebo (n=332) with chemotherapy. 616 of 659 patients (93%) received sintilimab or placebo in combinat</w:instrText>
            </w:r>
            <w:r>
              <w:rPr>
                <w:rFonts w:ascii="Times New Roman" w:hAnsi="Times New Roman" w:eastAsia="宋体" w:cs="Times New Roman"/>
                <w:kern w:val="0"/>
                <w:sz w:val="16"/>
                <w:szCs w:val="16"/>
              </w:rPr>
              <w:instrText xml:space="preserve">ion with cisplatin plus paclitaxel and 43 of 659 patients (7%) received sintilimab or placebo in combination with cisplatin plus 5-fluorouracil. At the interim analysis, sintilimab with chemotherapy showed better overall survival compared with placebo and</w:instrText>
            </w:r>
            <w:r>
              <w:rPr>
                <w:rFonts w:hint="eastAsia" w:ascii="Times New Roman" w:hAnsi="Times New Roman" w:eastAsia="宋体" w:cs="Times New Roman"/>
                <w:kern w:val="0"/>
                <w:sz w:val="16"/>
                <w:szCs w:val="16"/>
              </w:rPr>
              <w:instrText xml:space="preserve"> chemotherapy in all patients (median 16.7 v 12.5 months, hazard ratio 0.63, 95% confidence interval 0.51 to 0.78, P&lt;0.001) and in patients with combined positive scores of ≥10 (17.2 v 13.6 months, 0.64, 0.48 to 0.85, P=0.002). Sintilimab and chemotherapy significantly improved progression free survival compared with placebo and chemotherapy in all patients (7.2 v 5.7 months, 0.56, 0.46 to 0.68, P&lt;0.001) and in patients with combined positive scores of ≥10 (8.3 v 6.4 months, 0.58, 0.45 to 0.75, P&lt;0.001). Adverse events related to treatment occurred in 321 of 327 patients (98%) in the sintilimab-chemotherapy group versus 326 of 332 (98%) patients in the placebo-chemotherapy group. Rates of adverse events related to treatment, grade ≥3, were 60% (196/327) a</w:instrText>
            </w:r>
            <w:r>
              <w:rPr>
                <w:rFonts w:ascii="Times New Roman" w:hAnsi="Times New Roman" w:eastAsia="宋体" w:cs="Times New Roman"/>
                <w:kern w:val="0"/>
                <w:sz w:val="16"/>
                <w:szCs w:val="16"/>
              </w:rPr>
              <w:instrText xml:space="preserve">nd 55% (181/332) in the sintilimab-chemotherapy and placebo-chemotherapy groups, respectively.\nConclusions Compared with placebo, sintilimab in combination with cisplatin plus paclitaxel showed significant benefits in overall survival and progression free survival as first line treatment in patients with advanced or metastatic oesophageal squamous cell carcinoma. Similar benefits of sintilimab with cisplatin plus 5-fluorouracil seem promising.\nTrial registration ClinicalTrials.gov NCT03748134.","container-title":"BMJ","DOI":"10.1136/bmj-2021-068714","ISSN":"1756-1833","journalAbbreviation":"BMJ","language":"en","license":"©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35440464","page":"e068714","title":"Sintilimab versus placebo in combination with chemotherapy as first line treatment for locally advanced or metastatic oesophageal squamous cell carcinoma (ORIENT-15): multicentre, randomised, double blind, phase 3 trial","title-short":"Sintilimab versus placebo in combination with chemotherapy as first line treatment for locally advanced or metastatic oesophageal squamous cell carcinoma (ORIENT-15)","volume":"377","author":[{"family":"Lu","given":"Zhihao"},{"family":"Wang","given":"Junye"},{"family":"Shu","given":"Yongqian"},{"family":"Liu","given":"Lianke"},{"family":"Kong","given":"Li"},{"family":"Yang","given":"Lei"},{"family":"Wang","given":"Buhai"},{"family":"Sun","given":"Guogui"},{"family":"Ji","given":"Yinghua"},{"family":"Cao","given":"Guochun"},{"family":"Liu","given":"Hu"},{"family":"Cui","given":"Tongjian"},{"family":"Li","given":"Na"},{"family":"Qiu","given":"Wensheng"},{"family":"Li","given":"Gaofeng"},{"family":"Hou","given":"Xinfang"},{"family":"Luo","given":"Hui"},{"family":"Xue","given":"Liying"},{"family":"Zhang","given":"Yanqiao"},{"family":"Yue","given":"Wenbin"},{"family":"Liu","given":"Zheng"},{"family":"Wang","given":"Xiuwen"},{"family":"Gao","given":"Shegan"},{"family":"Pan","given":"Yueyin"},{"family":"Galais","given":"Marie-Pierre"},{"family":"Zaanan","given":"Aziz"},{"family":"Ma","given":"Zhuo"},{"family":"Li","given":"Haoyu"},{"family":"Wang","given":"Yan"},{"family":"Shen","given":"Lin"}],"issued":{"date-parts":[["2022",4,19]]}},"label":"page"},{"id":1570,"uris":["http://zotero.org/users/10452308/items/D6DCS7AN"],"itemData":{"id":1570,"type":"article-journal","call-number":"1","container-title":"The Lancet Oncology","DOI":"10.1016/S1470-2045(23)00108-0","ISSN":"1470-2045, 1474-5488","issue":"5","journalAbbreviation":"The Lancet Oncology","language":"English","note":"publisher: Elsevier\nPMID: 37080222","page":"483-495","source":"51.1","title":"Tislelizumab plus chemotherapy versus placebo plus chemotherapy as first-line treatment for advanced or metastatic oesophageal squamous cell carcinoma (RATIONALE-306): a global, randomised, placebo-controlled, phase 3 study","title-short":"Tislelizumab plus chemotherapy versus placebo plus chemotherapy as first-line treatment for advanced or metastatic oesophageal squamous cell carcinoma (RATIONALE-306)","volume":"24","author":[{"family":"Xu","given":"Jianming"},{"family":"Kato","given":"Ken"},{"family":"Raymond","given":"Eric"},{"family":"Hubner","given":"Richard A."},{"family":"Shu","given":"Yongqian"},{"family":"Pan","given":"Yueyin"},{"family":"Park","given":"Sook Ryun"},{"family":"Ping","given":"Lu"},{"family":"Jiang","given":"Yi"},{"family":"Zhang","given":"Jingdong"},{"family":"Wu","given":"Xiaohong"},{"family":"Yao","given":"Yuanhu"},{"family":"Shen","given":"Lin"},{"family":"Kojima","given":"Takashi"},{"family":"Gotovkin","given":"Evgeny"},{"family":"Ishihara","given":"Ryu"},{"family":"Wyrwicz","given":"Lucjan"},{"family":"Cutsem","given":"Eric Van"},{"family":"Jimenez-Fonseca","given":"Paula"},{"family":"Lin","given":"Chen-Yuan"},{"family":"Wang","given":"Lei"},{"family":"Shi","given":"Jingwen"},{"family":"Li","given":"Liyun"},{"family":"Yoon","given":"Harry H."}],"issued":{"date-parts":[["2023",5,1]]}},"label":"page"},{"id":1573,"uris":["http://zotero.org/users/10452308/items/FU35U5B7"],"itemData":{"id":1573,"type":"article-journal","call-number":"1","container-title":"Cancer Cell","DOI":"10.1016/j.ccell.2022.02.007","ISSN":"1535-6108, 1878-3686","issue":"3","journalAbbreviation":"Cancer Cell","language":"English","note":"publisher: Elsevier\nPMID: 35245446","page":"277-288.e3","source":"50.3","title":"Toripalimab plus chemotherapy in treatment-naïve, advanced esophageal squamous cell carcinoma (JUPITER-06): A multi-center phase 3 trial","title-short":"Toripalimab plus chemotherapy in treatment-naïve, advanced esophageal squamous cell carcinoma (JUPITER-06)","volume":"40","author":[{"family":"Wang","given":"Zi-Xian"},{"family":"Cui","given":"Chengxu"},{"family":"Yao","given":"Jun"},{"family":"Zhang","given":"Yanqiao"},{"family":"Li","given":"Mengxia"},{"family":"Feng","given":"Jifeng"},{"family":"Yang","given":"Shujun"},{"family":"Fan","given":"Yun"},{"family":"Shi","given":"Jianhua"},{"family":"Zhang","given":"Xizhi"},{"family":"Shen","given":"Lin"},{"family":"Shu","given":"Yongqian"},{"family":"Wang","given":"Cailian"},{"family":"Dai","given":"Tianyang"},{"family":"Mao","given":"Teng"},{"family":"Chen","given":"Long"},{"family":"Guo","given":"Zengqing"},{"family":"Liu","given":"Bo"},{"family":"Pan","given":"Hongming"},{"family":"Cang","given":"Shundong"},{"family":"Jiang","given":"Yi"},{"family":"Wang","given":"Junye"},{"family":"Ye","given":"Min"},{"family":"Chen","given":"Zhendong"},{"family":"Jiang","given":"Da"},{"family":"Lin","given":"Qin"},{"family":"Ren","given":"Wei"},{"family":"Wang","given":"Junsheng"},{"family":"Wu","given":"Lin"},{"family":"Xu","given":"Yong"},{"family":"Miao","given":"Zhanhui"},{"family":"Sun","given":"Meili"},{"family":"Xie","given":"Conghua"},{"family":"Liu","given":"Ying"},{"family":"Wang","given":"Qifeng"},{"family":"Zhao","given":"Lina"},{"family":"Li","given":"Qi"},{"family":"Huang","given":"Canhong"},{"family":"Jiang","given":"Ke"},{"family":"Yang","given":"Kunyu"},{"family":"Li","given":"Daojun"},{"family":"Liu","given":"Yunpeng"},{"family":"Zhu","given":"Zhitu"},{"family":"Chen","given":"Rixin"},{"family":"Jia","given":"Liqun"},{"family":"Li","given":"Wei"},{"family":"Liao","given":"Wangjun"},{"family":"Liu","given":"Hong-Xu"},{"family":"Ma","given":"Daiyuan"},{"family":"Ma","given":"Jie"},{"family":"Qin","given":"Yanru"},{"family":"Shi","given":"Zhihong"},{"family":"Wei","given":"Qichun"},{"family":"Xiao","given":"Ke"},{"family":"Zhang","given":"Yan"},{"family":"Zhang","given":"Ying"},{"family":"Chen","given":"Xin"},{"family":"Dai","given":"Guanghai"},{"family":"He","given":"Jianxing"},{"family":"Li","given":"Junhe"},{"family":"Li","given":"Guanghui"},{"family":"Liu","given":"Yong"},{"family":"Liu","given":"Zhihua"},{"family":"Yuan","given":"Xianglin"},{"family":"Zhang","given":"Junping"},{"family":"Fu","given":"Zhichao"},{"family":"He","given":"Yifu"},{"family":"Ju","given":"Fang"},{"family":"Liu","given":"Zheng"},{"family":"Tang","given":"Peng"},{"family":"Wang","given":"Tiejun"},{"family":"Wang","given":"Weibo"},{"family":"Zhang","given":"Jing"},{"family":"Luo","given":"Xianming"},{"family":"Tang","given":"Xiongwen"},{"family":"May","given":"Rena"},{"family":"Feng","given":"Hui"},{"family":"Yao","given":"Sheng"},{"family":"Keegan","given":"Patricia"},{"family":"Xu","given":"Rui-Hua"},{"family":"Wang","given":"Feng"}],"issued":{"date-parts":[["2022",3,14]]}},"label":"page"}],"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kern w:val="0"/>
                <w:sz w:val="16"/>
                <w:szCs w:val="24"/>
              </w:rPr>
              <w:t>[1–7]</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Camrelizumab plus Chemotherapy</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0.399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0.319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0.479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{"citationID":"0ZGcpbRH","properties":{"formattedCitation":"[1]","plainCitation":"[1]","noteIndex":0},"citationItems":[{"id":1581,"uris":["http://zotero.org/users/10452308/items/HKLVN84L"],"itemData":{"id":1581,"type":"article-journal","abstract":"Standard first-line therapy for advanced or metastatic esophageal carcinoma is chemotherapy, but the prognosis remains poor. Camrelizumab (an anti–programmed death receptor 1 [PD-1] antibody) showed antitumor activity in previously treated advanced or metastatic esophageal squamous cell carcinoma.To evaluate the efficacy and adverse events of camrelizumab plus chemotherapy vs placebo plus chemotherapy as a first-line treatment in advanced or metastatic esophageal squamous cell carcinoma.This randomized, double-blind, placebo-controlled, multicenter, phase 3 trial (ESCORT-1st study) enrolled patients from 60 hospitals in China between December 3, 2018, and May 12, 2020 (final follow-up, October 30, 2020). A total of 751 patients were screened and 596 eligible patients with untreated advanced or metastatic esophageal squamous cell carcinoma were randomized.Patients were randomized 1:1 to receive either camrelizumab 200 mg (n = 298) or placebo (n = 298), combined with up to 6 cycles of paclitaxel (175 mg/m2) and cisplatin (75 mg/m2). All treatments were given intravenously every 3 weeks.Coprimary end points were overall survival (significance threshold, 1-sided P &amp;lt; .02) and progression-free survival (significance threshold, 1-sided P &amp;lt; .005).Of the 596 patients randomized (median age, 62 years [interquartile range, 56-67 years]; 523 men [87.8%]), 1 patient in the placebo-chemotherapy group did not receive planned treatment. A total of 490 patients (82.2%) had discontinued the study treatment. The median follow-up was 10.8 months. The overall survival for the camrelizumab-chemotherapy group was a median of 15.3 months (95% CI, 12.8-17.3; 135 deaths) vs a median of 12.0 months (95% CI, 11.0-13.3; 174 deaths) for the placebo-chemotherapy group (hazard ratio [HR] for death, 0.70 [95% CI, 0.56-0.88]; 1-sided P = .001). Progression-free survival for camrelizumab plus chemotherapy was a median of 6.9 months (95% CI, 5.8-7.4; 199 progression or deaths) vs 5.6 months (95% CI, 5.5-5.7; 229 progression or deaths) for the placebo-chemotherapy group (HR for progression or death, 0.56 [95% CI, 0.46-0.68]; 1-sided P &amp;lt; .001). Treatment-related adverse events of grade 3 or higher occurred in 189 patients (63.4%) in the camrelizumab-chemotherapy group and 201 (67.7%) in the placebo-chemotherapy group, including treatment-related deaths among 9 patients (3.0%) and 11 patients (3.7%), respectively.Among patients with advanced or metastatic esophageal squamous cell carcinoma, the addition of camrelizumab to chemotherapy, compared with placebo and chemotherapy, significantly improved overall survival and progression-free survival.ClinicalTrials.gov Identifier: NCT03691090","container-title":"JAMA","DOI":"10.1001/jama.2021.12836","ISSN":"0098-7484","issue":"10","journalAbbreviation":"JAMA","page":"916-925","title":"Effect of Camrelizumab vs Placebo Added to Chemotherapy on Survival and Progression-Free Survival in Patients With Advanced or Metastatic Esophageal Squamous Cell Carcinoma: The ESCORT-1st Randomized Clinical Trial","title-short":"Effect of Camrelizumab vs Placebo Added to Chemotherapy on Survival and Progression-Free Survival in Patients With Advanced or Metastatic Esophageal Squamous Cell Carcinoma","volume":"326","author":[{"family":"Luo","given":"Huiyan"},{"family":"Lu","given":"Jin"},{"family":"Bai","given":"Yuxian"},{"family":"Mao","given":"Teng"},{"family":"Wang","given":"Jun"},{"family":"Fan","given":"Qingxia"},{"family":"Zhang","given":"Yiping"},{"family":"Zhao","given":"Kuaile"},{"family":"Chen","given":"Zhendong"},{"family":"Gao","given":"Shegan"},{"family":"Li","given":"Jiancheng"},{"family":"Fu","given":"Zhichao"},{"family":"Gu","given":"Kangsheng"},{"family":"Liu","given":"Zhihua"},{"family":"Wu","given":"Lin"},{"family":"Zhang","given":"Xiaodong"},{"family":"Feng","given":"Jifeng"},{"family":"Niu","given":"Zuoxing"},{"family":"Ba","given":"Yi"},{"family":"Zhang","given":"Helong"},{"family":"Liu","given":"Ying"},{"family":"Zhang","given":"Li"},{"family":"Min","given":"Xuhong"},{"family":"Huang","given":"Jing"},{"family":"Cheng","given":"Ying"},{"family":"Wang","given":"Dong"},{"family":"Shen","given":"Yu"},{"family":"Yang","given":"Qing"},{"family":"Zou","given":"Jianjun"},{"family":"Xu","given":"Rui-Hua"},{"literal":"ESCORT-1st Investigators"}],"issued":{"date-parts":[["2021",9,14]]}}}],"schema":"https://github.com/citation-style-language/schema/raw/master/csl-citation.json"}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[1]</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Nivolumab plus Chemotherapy</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0.508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0.406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0.609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af4WlORh","properties":{"unsorted":true,"formattedCitation":"[2]","plainCitation":"[2]","noteIndex":0},"citationItems":[{"id":1587,"uris":["http://zotero.org/users/10452308/items/F7BV9ICS"],"itemData":{"id":1587,"type":"article-journal","call-number":"1","container-title":"New England Journal of Medicine","DOI":"10.1056/NEJMoa2111380","ISSN":"0028-4793","issue":"5","journalAbbreviation":"N Engl J Med","note":"publisher: Massachusetts Medical Society","page":"449-462","source":"158.5","title":"Nivolumab Combination Therapy in Advanced Esophageal Squamous-Cell Carcinoma","volume":"386","author":[{"family":"Doki","given":"Yuichiro"},{"family":"Ajani","given":"Jaffer A."},{"family":"Kato","given":"Ken"},{"family":"Xu","given":"Jianming"},{"family":"Wyrwicz","given":"Lucjan"},{"family":"Motoyama","given":"Satoru"},{"family":"Ogata","given":"Takashi"},{"family":"Kawakami","given":"Hisato"},{"family":"Hsu","given":"Chih-Hung"},{"family":"Adenis","given":"Antoine"},{"family":"El Hajbi","given":"Farid"},{"family":"Di Bartolomeo","given":"Maria"},{"family":"Braghiroli","given":"Maria I."},{"family":"Holtved","given":"Eva"},{"family":"Ostoich","given":"Sandra A."},{"family":"Kim","given":"Hye R."},{"family":"Ueno","given":"Masaki"},{"family":"Mansoor","given":"Wasat"},{"family":"Yang","given":"Wen-Chi"},{"family":"Liu","given":"Tianshu"},{"family":"Bridgewater","given":"John"},{"family":"Makino","given":"Tomoki"},{"family":"Xynos","given":"Ioannis"},{"family":"Liu","given":"Xuan"},{"family":"Lei","given":"Ming"},{"family":"Kondo","given":"Kaoru"},{"family":"Patel","given":"Apurva"},{"family":"Gricar","given":"Joseph"},{"family":"Chau","given":"Ian"},{"family":"Kitagawa","given":"Yuko"}],"issued":{"date-parts":[["2022",2,3]]}}}],"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[2]</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Pembrolizumab plus Chemotherapy</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0.435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0.348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0.522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{"citationID":"aXL4eq41","properties":{"formattedCitation":"[3]","plainCitation":"[3]","noteIndex":0},"citationItems":[{"id":1576,"uris":["http://zotero.org/users/10452308/items/RIE5KTBR"],"itemData":{"id":1576,"type":"article-journal","call-number":"1","container-title":"The Lancet","DOI":"10.1016/S0140-6736(21)01234-4","ISSN":"0140-6736, 1474-547X","issue":"10302","journalAbbreviation":"The Lancet","language":"English","note":"publisher: Elsevier\nPMID: 34454674","page":"759-771","source":"168.9","title":"Pembrolizumab plus chemotherapy versus chemotherapy alone for first-line treatment of advanced oesophageal cancer (KEYNOTE-590): a randomised, placebo-controlled, phase 3 study","title-short":"Pembrolizumab plus chemotherapy versus chemotherapy alone for first-line treatment of advanced oesophageal cancer (KEYNOTE-590)","volume":"398","author":[{"family":"Sun","given":"Jong-Mu"},{"family":"Shen","given":"Lin"},{"family":"Shah","given":"Manish A."},{"family":"Enzinger","given":"Peter"},{"family":"Adenis","given":"Antoine"},{"family":"Doi","given":"Toshihiko"},{"family":"Kojima","given":"Takashi"},{"family":"Metges","given":"Jean-Philippe"},{"family":"Li","given":"Zhigang"},{"family":"Kim","given":"Sung-Bae"},{"family":"Cho","given":"Byoung Chul"},{"family":"Mansoor","given":"Wasat"},{"family":"Li","given":"Shau-Hsuan"},{"family":"Sunpaweravong","given":"Patrapim"},{"family":"Maqueda","given":"Maria Alsina"},{"family":"Goekkurt","given":"Eray"},{"family":"Hara","given":"Hiroki"},{"family":"Antunes","given":"Luis"},{"family":"Fountzilas","given":"Christos"},{"family":"Tsuji","given":"Akihito"},{"family":"Oliden","given":"Victor Castro"},{"family":"Liu","given":"Qi"},{"family":"Shah","given":"Sukrut"},{"family":"Bhagia","given":"Pooja"},{"family":"Kato","given":"Ken"}],"issued":{"date-parts":[["2021",8,28]]}}}],"schema":"https://github.com/citation-style-language/schema/raw/master/csl-citation.json"}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[3]</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Serplulimab plus Chemotherapy</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0.378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0.302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0.453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{"citationID":"jxIcB2EZ","properties":{"unsorted":true,"formattedCitation":"[4]","plainCitation":"[4]","noteIndex":0},"citationItems":[{"id":1579,"uris":["http://zotero.org/users/10452308/items/2HQDFFYX"],"itemData":{"id":1579,"type":"article-journal","abstract":"First-line systemic therapeutic options for advanced esophageal squamous cell carcinoma (ESCC) are limited. In this multicenter, double-blind phase 3 trial, a total of 551 patients with previously untreated, locally advanced or metastatic ESCC and PD-L1 combined positive score of </w:instrText>
            </w:r>
            <w:r>
              <w:rPr>
                <w:rFonts w:hint="eastAsia" w:ascii="Times New Roman" w:hAnsi="Times New Roman" w:eastAsia="宋体" w:cs="Times New Roman"/>
                <w:kern w:val="0"/>
                <w:sz w:val="16"/>
                <w:szCs w:val="16"/>
              </w:rPr>
              <w:instrText xml:space="preserve">≥</w:instrText>
            </w:r>
            <w:r>
              <w:rPr>
                <w:rFonts w:ascii="Times New Roman" w:hAnsi="Times New Roman" w:eastAsia="宋体" w:cs="Times New Roman"/>
                <w:kern w:val="0"/>
                <w:sz w:val="16"/>
                <w:szCs w:val="16"/>
              </w:rPr>
              <w:instrText xml:space="preserve">1 were randomized (2:1) to receive serplulimab (an anti-PD-1 antibody; 3 mg/kg) or placebo (on day 1), plus cisplatin (50 mg/m2) (on day 1) and continuous infusion of 5-fluorouracil (1,200 mg/m2) (on days 1 and 2), once every 2 weeks. The study met the primary endpoints. At the prespecified final analysis of progression-free survival (PFS) assessed by the blinded independent radiological review committee, serplulimab plus chemotherapy significantly improved PFS compared with placebo plus chemotherapy (median PFS of 5.8 months and 5.3 months, respectively; hazard ratio, 0.60; 95% confidence interval, 0.48–0.75; P &lt; 0.0001). At the prespecified interim analysis of overall survival (OS), serplulimab plus chemotherapy also significantly prolonged OS compared with placebo plus chemotherapy (median OS of 15.3 months and 11.8 months, respectively; hazard ratio, 0.68; 95% confidence interval, 0.53–0.87; P = 0.0020). Grade 3 or higher treatment-related adverse events occurred in 201 (53%) and 81 (48%) patients in the serplulimab plus chemotherapy group and the placebo plus chemotherapy group, respectively. Serplulimab plus chemotherapy administered every 2 weeks significantly improved PFS and OS in patients with previously untreated, PD-L1-positive advanced ESCC, with a manageable safety profile. This study is registered with ClinicalTrials.gov (NCT03958890).","call-number":"1","container-title":"Nature Medicine","DOI":"10.1038/s41591-022-02179-2","ISSN":"1546-170X","issue":"2","journalAbbreviation":"Nat Med","language":"en","license":"2023 The Author(s)","note":"number: 2\npublisher: Nature Publishing Group","page":"473-482","source":"82.9","title":"First-line serplulimab or placebo plus chemotherapy in PD-L1-positive esophageal squamous cell carcinoma: a randomized, double-blind phase 3 trial","title-short":"First-line serplulimab or placebo plus chemotherapy in PD-L1-positive esophageal squamous cell carcinoma","volume":"29","author":[{"family":"Song","given":"Yan"},{"family":"Zhang","given":"Bo"},{"family":"Xin","given":"Dao"},{"family":"Kou","given":"Xiaoge"},{"family":"Tan","given":"Zhenbo"},{"family":"Zhang","given":"Shu"},{"family":"Sun","given":"Meili"},{"family":"Zhou","given":"Jin"},{"family":"Fan","given":"Min"},{"family":"Zhang","given":"Ming"},{"family":"Song","given":"Yongxiang"},{"family":"Li","given":"Suyi"},{"family":"Yuan","given":"Yuan"},{"family":"Zhuang","given":"Wu"},{"family":"Zhang","given":"Jingdong"},{"family":"Zhang","given":"Li"},{"family":"Jiang","given":"Hao"},{"family":"Gu","given":"Kangsheng"},{"family":"Ye","given":"Huangyang"},{"family":"Ke","given":"Ying"},{"family":"Li","given":"Jing"},{"family":"Wang","given":"Qingyu"},{"family":"Zhu","given":"Jun"},{"family":"Huang","given":"Jing"}],"issued":{"date-parts":[["2023",2]]}}}],"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[4]</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Sintilimab plus Chemotherapy</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0.410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0.328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0.492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{"citationID":"lFhX8d1u","properties":{"formattedCitation":"[5]","plainCitation":"[5]","noteIndex":0},"citationItems":[{"id":1584,"uris":["http://zotero.org/users/10452308/items/NSDQUIBB"],"itemData":{"id":1584,"type":"article-journal","abstract":"Objective To evaluate sintilimab versus placebo in combination with chemotherapy (cisplatin plus paclitaxel or cisplatin plus 5-fluorouracil) as first line treatment of unresectable locally advanced, recurrent, or metastatic oesop</w:instrText>
            </w:r>
            <w:r>
              <w:rPr>
                <w:rFonts w:hint="eastAsia" w:ascii="Times New Roman" w:hAnsi="Times New Roman" w:eastAsia="宋体" w:cs="Times New Roman"/>
                <w:kern w:val="0"/>
                <w:sz w:val="16"/>
                <w:szCs w:val="16"/>
              </w:rPr>
              <w:instrText xml:space="preserve">hageal squamous cell carcinoma.\nDesign Multicentre, randomised, double blind, phase 3 trial.\nSetting 66 sites in China and 13 sites outside of China between 14 December 2018 and 9 April 2021.\nParticipants 659 adults (aged ≥18 years) with advanced or metastatic oesophageal squamous cell carcinoma who had not received systemic treatment.\nIntervention Participants were randomised 1:1 to receive sintilimab or placebo (3 mg/kg in patients weighing &lt;60 kg or 200 mg in patients weighing ≥60 kg) in combinatio</w:instrText>
            </w:r>
            <w:r>
              <w:rPr>
                <w:rFonts w:ascii="Times New Roman" w:hAnsi="Times New Roman" w:eastAsia="宋体" w:cs="Times New Roman"/>
                <w:kern w:val="0"/>
                <w:sz w:val="16"/>
                <w:szCs w:val="16"/>
              </w:rPr>
              <w:instrText xml:space="preserve">n with cisplatin 75 mg/m2 plus paclitaxel 175 mg/m2 every three weeks. The trial was amended to allow investigators to choose the chemotherapy regimen: cisplatin plus paclitaxel or cisplatin plus 5-fluorouracil (800 mg/m2 continuous infusion on days 1-5).</w:instrText>
            </w:r>
            <w:r>
              <w:rPr>
                <w:rFonts w:hint="eastAsia" w:ascii="Times New Roman" w:hAnsi="Times New Roman" w:eastAsia="宋体" w:cs="Times New Roman"/>
                <w:kern w:val="0"/>
                <w:sz w:val="16"/>
                <w:szCs w:val="16"/>
              </w:rPr>
              <w:instrText xml:space="preserve">\nMain outcome measures Overall survival in all patients and in patients with combined positive scores of ≥10 for expression of programmed cell death ligand 1.\nResults 659 patients were randomly assigned to sintilimab (n=327) or placebo (n=332) with chem</w:instrText>
            </w:r>
            <w:r>
              <w:rPr>
                <w:rFonts w:ascii="Times New Roman" w:hAnsi="Times New Roman" w:eastAsia="宋体" w:cs="Times New Roman"/>
                <w:kern w:val="0"/>
                <w:sz w:val="16"/>
                <w:szCs w:val="16"/>
              </w:rPr>
              <w:instrText xml:space="preserve">otherapy. 616 of 659 patients (93%) received sintilimab or placebo in combination with cisplatin plus paclitaxel and 43 of 659 patients (7%) received sintilimab or placebo in combination with cisplatin plus 5-fluorouracil. At the interim analysis, sintili</w:instrText>
            </w:r>
            <w:r>
              <w:rPr>
                <w:rFonts w:hint="eastAsia" w:ascii="Times New Roman" w:hAnsi="Times New Roman" w:eastAsia="宋体" w:cs="Times New Roman"/>
                <w:kern w:val="0"/>
                <w:sz w:val="16"/>
                <w:szCs w:val="16"/>
              </w:rPr>
              <w:instrText xml:space="preserve">mab with chemotherapy showed better overall survival compared with placebo and chemotherapy in all patients (median 16.7 v 12.5 months, hazard ratio 0.63, 95% confidence interval 0.51 to 0.78, P&lt;0.001) and in patients with combined positive scores of ≥10 </w:instrText>
            </w:r>
            <w:r>
              <w:rPr>
                <w:rFonts w:ascii="Times New Roman" w:hAnsi="Times New Roman" w:eastAsia="宋体" w:cs="Times New Roman"/>
                <w:kern w:val="0"/>
                <w:sz w:val="16"/>
                <w:szCs w:val="16"/>
              </w:rPr>
              <w:instrText xml:space="preserve">(17.2 v 13.6 months, 0.64, 0.48 to 0.85, P=0.002). Sintilimab and chemotherapy significantly improved progression free survival compared with placebo and chemotherapy in all patients (7.2 v 5.7 months, 0.56, 0.46 to 0.68, P&lt;0.001) and in patients with com</w:instrText>
            </w:r>
            <w:r>
              <w:rPr>
                <w:rFonts w:hint="eastAsia" w:ascii="Times New Roman" w:hAnsi="Times New Roman" w:eastAsia="宋体" w:cs="Times New Roman"/>
                <w:kern w:val="0"/>
                <w:sz w:val="16"/>
                <w:szCs w:val="16"/>
              </w:rPr>
              <w:instrText xml:space="preserve">bined positive scores of ≥10 (8.3 v 6.4 months, 0.58, 0.45 to 0.75, P&lt;0.001). Adverse events related to treatment occurred in 321 of 327 patients (98%) in the sintilimab-chemotherapy group versus 326 of 332 (98%) patients in the placebo-chemotherapy group. Rates of adverse events related to treatment, grade ≥3, were 60% (196/327) and 55% (181/332) in the sintilimab-chemotherapy and placebo-chemotherapy groups, respectively.\nConclusions Compared with placebo, sintilimab in combination with cisplatin plus </w:instrText>
            </w:r>
            <w:r>
              <w:rPr>
                <w:rFonts w:ascii="Times New Roman" w:hAnsi="Times New Roman" w:eastAsia="宋体" w:cs="Times New Roman"/>
                <w:kern w:val="0"/>
                <w:sz w:val="16"/>
                <w:szCs w:val="16"/>
              </w:rPr>
              <w:instrText xml:space="preserve">paclitaxel showed significant benefits in overall survival and progression free survival as first line treatment in patients with advanced or metastatic oesophageal squamous cell carcinoma. Similar benefits of sintilimab with cisplatin plus 5-fluorouracil seem promising.\nTrial registration ClinicalTrials.gov NCT03748134.","container-title":"BMJ","DOI":"10.1136/bmj-2021-068714","ISSN":"1756-1833","journalAbbreviation":"BMJ","language":"en","license":"©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35440464","page":"e068714","title":"Sintilimab versus placebo in combination with chemotherapy as first line treatment for locally advanced or metastatic oesophageal squamous cell carcinoma (ORIENT-15): multicentre, randomised, double blind, phase 3 trial","title-short":"Sintilimab versus placebo in combination with chemotherapy as first line treatment for locally advanced or metastatic oesophageal squamous cell carcinoma (ORIENT-15)","volume":"377","author":[{"family":"Lu","given":"Zhihao"},{"family":"Wang","given":"Junye"},{"family":"Shu","given":"Yongqian"},{"family":"Liu","given":"Lianke"},{"family":"Kong","given":"Li"},{"family":"Yang","given":"Lei"},{"family":"Wang","given":"Buhai"},{"family":"Sun","given":"Guogui"},{"family":"Ji","given":"Yinghua"},{"family":"Cao","given":"Guochun"},{"family":"Liu","given":"Hu"},{"family":"Cui","given":"Tongjian"},{"family":"Li","given":"Na"},{"family":"Qiu","given":"Wensheng"},{"family":"Li","given":"Gaofeng"},{"family":"Hou","given":"Xinfang"},{"family":"Luo","given":"Hui"},{"family":"Xue","given":"Liying"},{"family":"Zhang","given":"Yanqiao"},{"family":"Yue","given":"Wenbin"},{"family":"Liu","given":"Zheng"},{"family":"Wang","given":"Xiuwen"},{"family":"Gao","given":"Shegan"},{"family":"Pan","given":"Yueyin"},{"family":"Galais","given":"Marie-Pierre"},{"family":"Zaanan","given":"Aziz"},{"family":"Ma","given":"Zhuo"},{"family":"Li","given":"Haoyu"},{"family":"Wang","given":"Yan"},{"family":"Shen","given":"Lin"}],"issued":{"date-parts":[["2022",4,19]]}}}],"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[5]</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nil"/>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Tislelizumab plus Chemotherapy</w:t>
            </w:r>
          </w:p>
        </w:tc>
        <w:tc>
          <w:tcPr>
            <w:tcW w:w="70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0.482 </w:t>
            </w:r>
          </w:p>
        </w:tc>
        <w:tc>
          <w:tcPr>
            <w:tcW w:w="520"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0.385 </w:t>
            </w:r>
          </w:p>
        </w:tc>
        <w:tc>
          <w:tcPr>
            <w:tcW w:w="53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0.578 </w:t>
            </w:r>
          </w:p>
        </w:tc>
        <w:tc>
          <w:tcPr>
            <w:tcW w:w="604"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nil"/>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{"citationID":"A82wg7Gi","properties":{"formattedCitation":"[6]","plainCitation":"[6]","noteIndex":0},"citationItems":[{"id":1570,"uris":["http://zotero.org/users/10452308/items/D6DCS7AN"],"itemData":{"id":1570,"type":"article-journal","call-number":"1","container-title":"The Lancet Oncology","DOI":"10.1016/S1470-2045(23)00108-0","ISSN":"1470-2045, 1474-5488","issue":"5","journalAbbreviation":"The Lancet Oncology","language":"English","note":"publisher: Elsevier\nPMID: 37080222","page":"483-495","source":"51.1","title":"Tislelizumab plus chemotherapy versus placebo plus chemotherapy as first-line treatment for advanced or metastatic oesophageal squamous cell carcinoma (RATIONALE-306): a global, randomised, placebo-controlled, phase 3 study","title-short":"Tislelizumab plus chemotherapy versus placebo plus chemotherapy as first-line treatment for advanced or metastatic oesophageal squamous cell carcinoma (RATIONALE-306)","volume":"24","author":[{"family":"Xu","given":"Jianming"},{"family":"Kato","given":"Ken"},{"family":"Raymond","given":"Eric"},{"family":"Hubner","given":"Richard A."},{"family":"Shu","given":"Yongqian"},{"family":"Pan","given":"Yueyin"},{"family":"Park","given":"Sook Ryun"},{"family":"Ping","given":"Lu"},{"family":"Jiang","given":"Yi"},{"family":"Zhang","given":"Jingdong"},{"family":"Wu","given":"Xiaohong"},{"family":"Yao","given":"Yuanhu"},{"family":"Shen","given":"Lin"},{"family":"Kojima","given":"Takashi"},{"family":"Gotovkin","given":"Evgeny"},{"family":"Ishihara","given":"Ryu"},{"family":"Wyrwicz","given":"Lucjan"},{"family":"Cutsem","given":"Eric Van"},{"family":"Jimenez-Fonseca","given":"Paula"},{"family":"Lin","given":"Chen-Yuan"},{"family":"Wang","given":"Lei"},{"family":"Shi","given":"Jingwen"},{"family":"Li","given":"Liyun"},{"family":"Yoon","given":"Harry H."}],"issued":{"date-parts":[["2023",5,1]]}}}],"schema":"https://github.com/citation-style-language/schema/raw/master/csl-citation.json"}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[6]</w:t>
            </w:r>
            <w:r>
              <w:rPr>
                <w:rFonts w:ascii="Times New Roman" w:hAnsi="Times New Roman" w:eastAsia="宋体" w:cs="Times New Roman"/>
                <w:kern w:val="0"/>
                <w:sz w:val="16"/>
                <w:szCs w:val="16"/>
              </w:rPr>
              <w:fldChar w:fldCharType="end"/>
            </w:r>
          </w:p>
        </w:tc>
      </w:tr>
      <w:tr>
        <w:tblPrEx>
          <w:tblCellMar>
            <w:top w:w="0" w:type="dxa"/>
            <w:left w:w="108" w:type="dxa"/>
            <w:bottom w:w="0" w:type="dxa"/>
            <w:right w:w="108" w:type="dxa"/>
          </w:tblCellMar>
        </w:tblPrEx>
        <w:trPr>
          <w:trHeight w:val="23" w:hRule="atLeast"/>
        </w:trPr>
        <w:tc>
          <w:tcPr>
            <w:tcW w:w="2043" w:type="pct"/>
            <w:tcBorders>
              <w:top w:val="nil"/>
              <w:left w:val="nil"/>
              <w:bottom w:val="single" w:color="auto" w:sz="8" w:space="0"/>
              <w:right w:val="nil"/>
            </w:tcBorders>
            <w:shd w:val="clear" w:color="auto" w:fill="FFFFFF"/>
            <w:noWrap/>
            <w:vAlign w:val="center"/>
          </w:tcPr>
          <w:p>
            <w:pPr>
              <w:widowControl/>
              <w:autoSpaceDE w:val="0"/>
              <w:jc w:val="left"/>
              <w:rPr>
                <w:rFonts w:ascii="Times New Roman" w:hAnsi="Times New Roman" w:eastAsia="宋体" w:cs="Times New Roman"/>
                <w:kern w:val="0"/>
                <w:sz w:val="16"/>
                <w:szCs w:val="16"/>
              </w:rPr>
            </w:pPr>
            <w:r>
              <w:rPr>
                <w:rFonts w:ascii="Times New Roman" w:hAnsi="Times New Roman" w:eastAsia="宋体" w:cs="Times New Roman"/>
                <w:kern w:val="0"/>
                <w:sz w:val="16"/>
                <w:szCs w:val="16"/>
              </w:rPr>
              <w:t>Toripalimab plus Chemotherapy</w:t>
            </w:r>
          </w:p>
        </w:tc>
        <w:tc>
          <w:tcPr>
            <w:tcW w:w="700" w:type="pct"/>
            <w:tcBorders>
              <w:top w:val="nil"/>
              <w:left w:val="nil"/>
              <w:bottom w:val="single" w:color="auto" w:sz="8" w:space="0"/>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0.385 </w:t>
            </w:r>
          </w:p>
        </w:tc>
        <w:tc>
          <w:tcPr>
            <w:tcW w:w="520" w:type="pct"/>
            <w:tcBorders>
              <w:top w:val="nil"/>
              <w:left w:val="nil"/>
              <w:bottom w:val="single" w:color="auto" w:sz="8" w:space="0"/>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0.308 </w:t>
            </w:r>
          </w:p>
        </w:tc>
        <w:tc>
          <w:tcPr>
            <w:tcW w:w="534" w:type="pct"/>
            <w:tcBorders>
              <w:top w:val="nil"/>
              <w:left w:val="nil"/>
              <w:bottom w:val="single" w:color="auto" w:sz="8" w:space="0"/>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0.462 </w:t>
            </w:r>
          </w:p>
        </w:tc>
        <w:tc>
          <w:tcPr>
            <w:tcW w:w="604" w:type="pct"/>
            <w:tcBorders>
              <w:top w:val="nil"/>
              <w:left w:val="nil"/>
              <w:bottom w:val="single" w:color="auto" w:sz="8" w:space="0"/>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Beta</w:t>
            </w:r>
          </w:p>
        </w:tc>
        <w:tc>
          <w:tcPr>
            <w:tcW w:w="599" w:type="pct"/>
            <w:tcBorders>
              <w:top w:val="nil"/>
              <w:left w:val="nil"/>
              <w:bottom w:val="single" w:color="auto" w:sz="8" w:space="0"/>
              <w:right w:val="nil"/>
            </w:tcBorders>
            <w:shd w:val="clear" w:color="auto" w:fill="FFFFFF"/>
            <w:noWrap/>
            <w:vAlign w:val="center"/>
          </w:tcPr>
          <w:p>
            <w:pPr>
              <w:widowControl/>
              <w:autoSpaceDE w:val="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fldChar w:fldCharType="begin"/>
            </w:r>
            <w:r>
              <w:rPr>
                <w:rFonts w:ascii="Times New Roman" w:hAnsi="Times New Roman" w:eastAsia="宋体" w:cs="Times New Roman"/>
                <w:kern w:val="0"/>
                <w:sz w:val="16"/>
                <w:szCs w:val="16"/>
              </w:rPr>
              <w:instrText xml:space="preserve"> ADDIN ZOTERO_ITEM CSL_CITATION {"citationID":"us9KYLBr","properties":{"formattedCitation":"[7]","plainCitation":"[7]","noteIndex":0},"citationItems":[{"id":1573,"uris":["http://zotero.org/users/10452308/items/FU35U5B7"],"itemData":{"id":1573,"type":"article-journal","call-number":"1","container-title":"Cancer Cell","DOI":"10.1016/j.ccell.2022.02.007","ISSN":"1535-6108, 1878-3686","issue":"3","journalAbbreviation":"Cancer Cell","language":"English","note":"publisher: Elsevier\nPMID: 35245446","page":"277-288.e3","source":"50.3","title":"Toripalimab plus chemotherapy in treatment-naïve, advanced esophageal squamous cell carcinoma (JUPITER-06): A multi-center phase 3 trial","title-short":"Toripalimab plus chemotherapy in treatment-naïve, advanced esophageal squamous cell carcinoma (JUPITER-06)","volume":"40","author":[{"family":"Wang","given":"Zi-Xian"},{"family":"Cui","given":"Chengxu"},{"family":"Yao","given":"Jun"},{"family":"Zhang","given":"Yanqiao"},{"family":"Li","given":"Mengxia"},{"family":"Feng","given":"Jifeng"},{"family":"Yang","given":"Shujun"},{"family":"Fan","given":"Yun"},{"family":"Shi","given":"Jianhua"},{"family":"Zhang","given":"Xizhi"},{"family":"Shen","given":"Lin"},{"family":"Shu","given":"Yongqian"},{"family":"Wang","given":"Cailian"},{"family":"Dai","given":"Tianyang"},{"family":"Mao","given":"Teng"},{"family":"Chen","given":"Long"},{"family":"Guo","given":"Zengqing"},{"family":"Liu","given":"Bo"},{"family":"Pan","given":"Hongming"},{"family":"Cang","given":"Shundong"},{"family":"Jiang","given":"Yi"},{"family":"Wang","given":"Junye"},{"family":"Ye","given":"Min"},{"family":"Chen","given":"Zhendong"},{"family":"Jiang","given":"Da"},{"family":"Lin","given":"Qin"},{"family":"Ren","given":"Wei"},{"family":"Wang","given":"Junsheng"},{"family":"Wu","given":"Lin"},{"family":"Xu","given":"Yong"},{"family":"Miao","given":"Zhanhui"},{"family":"Sun","given":"Meili"},{"family":"Xie","given":"Conghua"},{"family":"Liu","given":"Ying"},{"family":"Wang","given":"Qifeng"},{"family":"Zhao","given":"Lina"},{"family":"Li","given":"Qi"},{"family":"Huang","given":"Canhong"},{"family":"Jiang","given":"Ke"},{"family":"Yang","given":"Kunyu"},{"family":"Li","given":"Daojun"},{"family":"Liu","given":"Yunpeng"},{"family":"Zhu","given":"Zhitu"},{"family":"Chen","given":"Rixin"},{"family":"Jia","given":"Liqun"},{"family":"Li","given":"Wei"},{"family":"Liao","given":"Wangjun"},{"family":"Liu","given":"Hong-Xu"},{"family":"Ma","given":"Daiyuan"},{"family":"Ma","given":"Jie"},{"family":"Qin","given":"Yanru"},{"family":"Shi","given":"Zhihong"},{"family":"Wei","given":"Qichun"},{"family":"Xiao","given":"Ke"},{"family":"Zhang","given":"Yan"},{"family":"Zhang","given":"Ying"},{"family":"Chen","given":"Xin"},{"family":"Dai","given":"Guanghai"},{"family":"He","given":"Jianxing"},{"family":"Li","given":"Junhe"},{"family":"Li","given":"Guanghui"},{"family":"Liu","given":"Yong"},{"family":"Liu","given":"Zhihua"},{"family":"Yuan","given":"Xianglin"},{"family":"Zhang","given":"Junping"},{"family":"Fu","given":"Zhichao"},{"family":"He","given":"Yifu"},{"family":"Ju","given":"Fang"},{"family":"Liu","given":"Zheng"},{"family":"Tang","given":"Peng"},{"family":"Wang","given":"Tiejun"},{"family":"Wang","given":"Weibo"},{"family":"Zhang","given":"Jing"},{"family":"Luo","given":"Xianming"},{"family":"Tang","given":"Xiongwen"},{"family":"May","given":"Rena"},{"family":"Feng","given":"Hui"},{"family":"Yao","given":"Sheng"},{"family":"Keegan","given":"Patricia"},{"family":"Xu","given":"Rui-Hua"},{"family":"Wang","given":"Feng"}],"issued":{"date-parts":[["2022",3,14]]}}}],"schema":"https://github.com/citation-style-language/schema/raw/master/csl-citation.json"} </w:instrText>
            </w:r>
            <w:r>
              <w:rPr>
                <w:rFonts w:ascii="Times New Roman" w:hAnsi="Times New Roman" w:eastAsia="宋体" w:cs="Times New Roman"/>
                <w:kern w:val="0"/>
                <w:sz w:val="16"/>
                <w:szCs w:val="16"/>
              </w:rPr>
              <w:fldChar w:fldCharType="separate"/>
            </w:r>
            <w:r>
              <w:rPr>
                <w:rFonts w:ascii="Times New Roman" w:hAnsi="Times New Roman" w:cs="Times New Roman"/>
                <w:sz w:val="16"/>
              </w:rPr>
              <w:t>[7]</w:t>
            </w:r>
            <w:r>
              <w:rPr>
                <w:rFonts w:ascii="Times New Roman" w:hAnsi="Times New Roman" w:eastAsia="宋体" w:cs="Times New Roman"/>
                <w:kern w:val="0"/>
                <w:sz w:val="16"/>
                <w:szCs w:val="16"/>
              </w:rPr>
              <w:fldChar w:fldCharType="end"/>
            </w:r>
          </w:p>
        </w:tc>
      </w:tr>
    </w:tbl>
    <w:p>
      <w:pPr>
        <w:rPr>
          <w:rFonts w:ascii="Times New Roman" w:hAnsi="Times New Roman" w:eastAsia="等线" w:cs="Times New Roman"/>
          <w:sz w:val="16"/>
          <w:szCs w:val="16"/>
        </w:rPr>
      </w:pPr>
      <w:r>
        <w:rPr>
          <w:rFonts w:ascii="Times New Roman" w:hAnsi="Times New Roman" w:eastAsia="等线" w:cs="Times New Roman"/>
          <w:sz w:val="16"/>
          <w:szCs w:val="16"/>
        </w:rPr>
        <w:t>TrAEs: Treatment-related adverse events</w:t>
      </w:r>
    </w:p>
    <w:p>
      <w:pPr>
        <w:rPr>
          <w:rFonts w:ascii="Times New Roman" w:hAnsi="Times New Roman" w:eastAsia="等线" w:cs="Times New Roman"/>
          <w:sz w:val="16"/>
          <w:szCs w:val="16"/>
        </w:rPr>
      </w:pPr>
    </w:p>
    <w:p>
      <w:pPr>
        <w:spacing w:line="480" w:lineRule="auto"/>
        <w:jc w:val="left"/>
        <w:rPr>
          <w:rFonts w:ascii="Times New Roman" w:hAnsi="Times New Roman" w:cs="Times New Roman"/>
          <w:sz w:val="20"/>
          <w:szCs w:val="20"/>
        </w:rPr>
      </w:pPr>
      <w:r>
        <w:rPr>
          <w:rFonts w:ascii="Times New Roman" w:hAnsi="Times New Roman" w:cs="Times New Roman"/>
          <w:b/>
          <w:bCs/>
          <w:sz w:val="20"/>
          <w:szCs w:val="20"/>
        </w:rPr>
        <w:t xml:space="preserve">Table </w:t>
      </w:r>
      <w:r>
        <w:rPr>
          <w:rFonts w:hint="eastAsia" w:ascii="Times New Roman" w:hAnsi="Times New Roman" w:cs="Times New Roman"/>
          <w:b/>
          <w:bCs/>
          <w:sz w:val="20"/>
          <w:szCs w:val="20"/>
          <w:lang w:val="en-US" w:eastAsia="zh-CN"/>
        </w:rPr>
        <w:t>A</w:t>
      </w:r>
      <w:r>
        <w:rPr>
          <w:rFonts w:ascii="Times New Roman" w:hAnsi="Times New Roman" w:cs="Times New Roman"/>
          <w:b/>
          <w:bCs/>
          <w:sz w:val="20"/>
          <w:szCs w:val="20"/>
        </w:rPr>
        <w:t>3</w:t>
      </w:r>
      <w:r>
        <w:rPr>
          <w:rFonts w:ascii="Times New Roman" w:hAnsi="Times New Roman" w:cs="Times New Roman"/>
          <w:sz w:val="20"/>
          <w:szCs w:val="20"/>
        </w:rPr>
        <w:t xml:space="preserve"> DIC Values of OS and PFS Based on Fractional Polynomial Models Fitting</w:t>
      </w:r>
    </w:p>
    <w:p>
      <w:pPr>
        <w:spacing w:line="480" w:lineRule="auto"/>
        <w:jc w:val="left"/>
        <w:rPr>
          <w:rFonts w:ascii="Times New Roman" w:hAnsi="Times New Roman" w:eastAsia="黑体" w:cs="Times New Roman"/>
          <w:sz w:val="20"/>
          <w:szCs w:val="20"/>
        </w:rPr>
      </w:pPr>
      <w:r>
        <w:rPr>
          <w:rFonts w:hint="eastAsia" w:ascii="Times New Roman" w:hAnsi="Times New Roman" w:eastAsia="黑体" w:cs="Times New Roman"/>
          <w:b/>
          <w:bCs/>
          <w:sz w:val="20"/>
          <w:szCs w:val="20"/>
        </w:rPr>
        <w:t>(</w:t>
      </w:r>
      <w:r>
        <w:rPr>
          <w:rFonts w:ascii="Times New Roman" w:hAnsi="Times New Roman" w:eastAsia="黑体" w:cs="Times New Roman"/>
          <w:b/>
          <w:bCs/>
          <w:sz w:val="20"/>
          <w:szCs w:val="20"/>
        </w:rPr>
        <w:t>A</w:t>
      </w:r>
      <w:r>
        <w:rPr>
          <w:rFonts w:hint="eastAsia" w:ascii="Times New Roman" w:hAnsi="Times New Roman" w:eastAsia="黑体" w:cs="Times New Roman"/>
          <w:b/>
          <w:bCs/>
          <w:sz w:val="20"/>
          <w:szCs w:val="20"/>
        </w:rPr>
        <w:t>)</w:t>
      </w:r>
      <w:r>
        <w:rPr>
          <w:rFonts w:ascii="Times New Roman" w:hAnsi="Times New Roman" w:eastAsia="黑体" w:cs="Times New Roman"/>
          <w:sz w:val="20"/>
          <w:szCs w:val="20"/>
        </w:rPr>
        <w:t xml:space="preserve"> OS</w:t>
      </w:r>
    </w:p>
    <w:tbl>
      <w:tblPr>
        <w:tblStyle w:val="3"/>
        <w:tblW w:w="4999"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85"/>
        <w:gridCol w:w="1460"/>
        <w:gridCol w:w="1012"/>
        <w:gridCol w:w="1458"/>
        <w:gridCol w:w="1180"/>
        <w:gridCol w:w="1458"/>
        <w:gridCol w:w="1044"/>
        <w:gridCol w:w="1463"/>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jc w:val="center"/>
        </w:trPr>
        <w:tc>
          <w:tcPr>
            <w:tcW w:w="1177" w:type="pct"/>
            <w:gridSpan w:val="2"/>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lang w:bidi="ar"/>
              </w:rPr>
              <w:t>First Order FP</w:t>
            </w:r>
          </w:p>
        </w:tc>
        <w:tc>
          <w:tcPr>
            <w:tcW w:w="3822" w:type="pct"/>
            <w:gridSpan w:val="6"/>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lang w:bidi="ar"/>
              </w:rPr>
              <w:t>Second Order FP</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jc w:val="center"/>
        </w:trPr>
        <w:tc>
          <w:tcPr>
            <w:tcW w:w="444"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Power</w:t>
            </w:r>
          </w:p>
        </w:tc>
        <w:tc>
          <w:tcPr>
            <w:tcW w:w="732"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DIC</w:t>
            </w:r>
          </w:p>
        </w:tc>
        <w:tc>
          <w:tcPr>
            <w:tcW w:w="508"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Power</w:t>
            </w:r>
          </w:p>
        </w:tc>
        <w:tc>
          <w:tcPr>
            <w:tcW w:w="732"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DIC</w:t>
            </w:r>
          </w:p>
        </w:tc>
        <w:tc>
          <w:tcPr>
            <w:tcW w:w="592"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Power</w:t>
            </w:r>
          </w:p>
        </w:tc>
        <w:tc>
          <w:tcPr>
            <w:tcW w:w="732"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DIC</w:t>
            </w:r>
          </w:p>
        </w:tc>
        <w:tc>
          <w:tcPr>
            <w:tcW w:w="524"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Power</w:t>
            </w:r>
          </w:p>
        </w:tc>
        <w:tc>
          <w:tcPr>
            <w:tcW w:w="732"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DIC</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jc w:val="center"/>
        </w:trPr>
        <w:tc>
          <w:tcPr>
            <w:tcW w:w="444"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w:t>
            </w:r>
          </w:p>
        </w:tc>
        <w:tc>
          <w:tcPr>
            <w:tcW w:w="732"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1 764.76</w:t>
            </w:r>
          </w:p>
        </w:tc>
        <w:tc>
          <w:tcPr>
            <w:tcW w:w="508"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(-2,-2)</w:t>
            </w:r>
          </w:p>
        </w:tc>
        <w:tc>
          <w:tcPr>
            <w:tcW w:w="732" w:type="pct"/>
            <w:tcBorders>
              <w:top w:val="single" w:color="auto" w:sz="8" w:space="0"/>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1 671.91</w:t>
            </w:r>
          </w:p>
        </w:tc>
        <w:tc>
          <w:tcPr>
            <w:tcW w:w="592"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(-1,1)</w:t>
            </w:r>
          </w:p>
        </w:tc>
        <w:tc>
          <w:tcPr>
            <w:tcW w:w="732" w:type="pct"/>
            <w:tcBorders>
              <w:top w:val="single" w:color="auto" w:sz="8" w:space="0"/>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1 677.99</w:t>
            </w:r>
          </w:p>
        </w:tc>
        <w:tc>
          <w:tcPr>
            <w:tcW w:w="524"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(0,2)</w:t>
            </w:r>
          </w:p>
        </w:tc>
        <w:tc>
          <w:tcPr>
            <w:tcW w:w="732" w:type="pct"/>
            <w:tcBorders>
              <w:top w:val="single" w:color="auto" w:sz="8" w:space="0"/>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169 126.20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jc w:val="center"/>
        </w:trPr>
        <w:tc>
          <w:tcPr>
            <w:tcW w:w="44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1 689.84</w:t>
            </w: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(-2,-1)</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1 685.16</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(-1,2)</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14 468.62</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(0,3)</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8 300 139.00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jc w:val="center"/>
        </w:trPr>
        <w:tc>
          <w:tcPr>
            <w:tcW w:w="44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1 691.96</w:t>
            </w: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(-2,-0.5)</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1 698.93</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(-1,3)</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8 758 082.00</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(0.5,0.5)</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1 619.81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jc w:val="center"/>
        </w:trPr>
        <w:tc>
          <w:tcPr>
            <w:tcW w:w="44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1 735.83</w:t>
            </w: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(-2,0)</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1 714.23</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(-0.5,-0.5)</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1 678.90</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(0.5,1)</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1 617.80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jc w:val="center"/>
        </w:trPr>
        <w:tc>
          <w:tcPr>
            <w:tcW w:w="44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1 804.05</w:t>
            </w: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(-2,0.5)</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1 729.32</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(-0.5,0)</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1 666.81</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(0.5,2)</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95 160.14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jc w:val="center"/>
        </w:trPr>
        <w:tc>
          <w:tcPr>
            <w:tcW w:w="44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1 869.38</w:t>
            </w: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(-2,1)</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1 738.89</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(-0.5,0.5)</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1 654.90</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(0.5,3)</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6 759 639.00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jc w:val="center"/>
        </w:trPr>
        <w:tc>
          <w:tcPr>
            <w:tcW w:w="44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15 684.63</w:t>
            </w: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(-2,2)</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15 052.49</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(-0.5,1)</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1 645.93</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(1,1)</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1 642.33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jc w:val="center"/>
        </w:trPr>
        <w:tc>
          <w:tcPr>
            <w:tcW w:w="44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3</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9 229 361.08</w:t>
            </w: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(-2,3)</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sz w:val="16"/>
                <w:szCs w:val="16"/>
              </w:rPr>
              <w:t>8 797 187.00</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(-0.5,2)</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11 711.57</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(1,2)</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373 049.10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jc w:val="center"/>
        </w:trPr>
        <w:tc>
          <w:tcPr>
            <w:tcW w:w="444" w:type="pct"/>
            <w:tcBorders>
              <w:top w:val="nil"/>
              <w:left w:val="nil"/>
              <w:bottom w:val="nil"/>
              <w:right w:val="nil"/>
            </w:tcBorders>
            <w:noWrap/>
            <w:vAlign w:val="center"/>
          </w:tcPr>
          <w:p>
            <w:pPr>
              <w:jc w:val="center"/>
              <w:rPr>
                <w:rFonts w:ascii="Times New Roman" w:hAnsi="Times New Roman" w:eastAsia="宋体" w:cs="Times New Roman"/>
                <w:sz w:val="16"/>
                <w:szCs w:val="16"/>
              </w:rPr>
            </w:pPr>
          </w:p>
        </w:tc>
        <w:tc>
          <w:tcPr>
            <w:tcW w:w="732" w:type="pct"/>
            <w:tcBorders>
              <w:top w:val="nil"/>
              <w:left w:val="nil"/>
              <w:bottom w:val="nil"/>
              <w:right w:val="nil"/>
            </w:tcBorders>
            <w:noWrap/>
            <w:vAlign w:val="center"/>
          </w:tcPr>
          <w:p>
            <w:pPr>
              <w:jc w:val="center"/>
              <w:rPr>
                <w:rFonts w:ascii="Times New Roman" w:hAnsi="Times New Roman" w:eastAsia="宋体" w:cs="Times New Roman"/>
                <w:sz w:val="16"/>
                <w:szCs w:val="16"/>
              </w:rPr>
            </w:pP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(-1,-1)</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1 687.41</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(-0.5,3)</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8 580 664.00</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(1,3)</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2 042 957.00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jc w:val="center"/>
        </w:trPr>
        <w:tc>
          <w:tcPr>
            <w:tcW w:w="444" w:type="pct"/>
            <w:tcBorders>
              <w:top w:val="nil"/>
              <w:left w:val="nil"/>
              <w:bottom w:val="nil"/>
              <w:right w:val="nil"/>
            </w:tcBorders>
            <w:noWrap/>
            <w:vAlign w:val="center"/>
          </w:tcPr>
          <w:p>
            <w:pPr>
              <w:jc w:val="center"/>
              <w:rPr>
                <w:rFonts w:ascii="Times New Roman" w:hAnsi="Times New Roman" w:eastAsia="宋体" w:cs="Times New Roman"/>
                <w:sz w:val="16"/>
                <w:szCs w:val="16"/>
              </w:rPr>
            </w:pPr>
          </w:p>
        </w:tc>
        <w:tc>
          <w:tcPr>
            <w:tcW w:w="732" w:type="pct"/>
            <w:tcBorders>
              <w:top w:val="nil"/>
              <w:left w:val="nil"/>
              <w:bottom w:val="nil"/>
              <w:right w:val="nil"/>
            </w:tcBorders>
            <w:noWrap/>
            <w:vAlign w:val="center"/>
          </w:tcPr>
          <w:p>
            <w:pPr>
              <w:jc w:val="center"/>
              <w:rPr>
                <w:rFonts w:ascii="Times New Roman" w:hAnsi="Times New Roman" w:eastAsia="宋体" w:cs="Times New Roman"/>
                <w:sz w:val="16"/>
                <w:szCs w:val="16"/>
              </w:rPr>
            </w:pP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(-1,-0.5)</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1 687.98</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(0,0)</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1 648.40</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(2,2)</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3 229 431.00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0" w:hRule="atLeast"/>
          <w:jc w:val="center"/>
        </w:trPr>
        <w:tc>
          <w:tcPr>
            <w:tcW w:w="444" w:type="pct"/>
            <w:tcBorders>
              <w:top w:val="nil"/>
              <w:left w:val="nil"/>
              <w:bottom w:val="nil"/>
              <w:right w:val="nil"/>
            </w:tcBorders>
            <w:noWrap/>
            <w:vAlign w:val="center"/>
          </w:tcPr>
          <w:p>
            <w:pPr>
              <w:jc w:val="center"/>
              <w:rPr>
                <w:rFonts w:ascii="Times New Roman" w:hAnsi="Times New Roman" w:eastAsia="宋体" w:cs="Times New Roman"/>
                <w:sz w:val="16"/>
                <w:szCs w:val="16"/>
              </w:rPr>
            </w:pPr>
          </w:p>
        </w:tc>
        <w:tc>
          <w:tcPr>
            <w:tcW w:w="732" w:type="pct"/>
            <w:tcBorders>
              <w:top w:val="nil"/>
              <w:left w:val="nil"/>
              <w:bottom w:val="nil"/>
              <w:right w:val="nil"/>
            </w:tcBorders>
            <w:noWrap/>
            <w:vAlign w:val="center"/>
          </w:tcPr>
          <w:p>
            <w:pPr>
              <w:jc w:val="center"/>
              <w:rPr>
                <w:rFonts w:ascii="Times New Roman" w:hAnsi="Times New Roman" w:eastAsia="宋体" w:cs="Times New Roman"/>
                <w:sz w:val="16"/>
                <w:szCs w:val="16"/>
              </w:rPr>
            </w:pP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(-1,0)</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1 685.71</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(0,0.5)</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1 632.39</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(2,3)</w:t>
            </w:r>
          </w:p>
        </w:tc>
        <w:tc>
          <w:tcPr>
            <w:tcW w:w="732" w:type="pct"/>
            <w:tcBorders>
              <w:top w:val="nil"/>
              <w:left w:val="nil"/>
              <w:bottom w:val="nil"/>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409 418.00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0" w:hRule="atLeast"/>
          <w:jc w:val="center"/>
        </w:trPr>
        <w:tc>
          <w:tcPr>
            <w:tcW w:w="444" w:type="pct"/>
            <w:tcBorders>
              <w:top w:val="nil"/>
              <w:left w:val="nil"/>
              <w:bottom w:val="single" w:color="auto" w:sz="8" w:space="0"/>
              <w:right w:val="nil"/>
            </w:tcBorders>
            <w:noWrap/>
            <w:vAlign w:val="center"/>
          </w:tcPr>
          <w:p>
            <w:pPr>
              <w:jc w:val="center"/>
              <w:rPr>
                <w:rFonts w:ascii="Times New Roman" w:hAnsi="Times New Roman" w:eastAsia="宋体" w:cs="Times New Roman"/>
                <w:sz w:val="16"/>
                <w:szCs w:val="16"/>
              </w:rPr>
            </w:pPr>
          </w:p>
        </w:tc>
        <w:tc>
          <w:tcPr>
            <w:tcW w:w="732" w:type="pct"/>
            <w:tcBorders>
              <w:top w:val="nil"/>
              <w:left w:val="nil"/>
              <w:bottom w:val="single" w:color="auto" w:sz="8" w:space="0"/>
              <w:right w:val="nil"/>
            </w:tcBorders>
            <w:noWrap/>
            <w:vAlign w:val="center"/>
          </w:tcPr>
          <w:p>
            <w:pPr>
              <w:jc w:val="center"/>
              <w:rPr>
                <w:rFonts w:ascii="Times New Roman" w:hAnsi="Times New Roman" w:eastAsia="宋体" w:cs="Times New Roman"/>
                <w:sz w:val="16"/>
                <w:szCs w:val="16"/>
              </w:rPr>
            </w:pPr>
          </w:p>
        </w:tc>
        <w:tc>
          <w:tcPr>
            <w:tcW w:w="508" w:type="pct"/>
            <w:tcBorders>
              <w:top w:val="nil"/>
              <w:left w:val="nil"/>
              <w:bottom w:val="single" w:color="auto" w:sz="8" w:space="0"/>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(-1,0.5)</w:t>
            </w:r>
          </w:p>
        </w:tc>
        <w:tc>
          <w:tcPr>
            <w:tcW w:w="732" w:type="pct"/>
            <w:tcBorders>
              <w:top w:val="nil"/>
              <w:left w:val="nil"/>
              <w:bottom w:val="single" w:color="auto" w:sz="8" w:space="0"/>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1 682.27</w:t>
            </w:r>
          </w:p>
        </w:tc>
        <w:tc>
          <w:tcPr>
            <w:tcW w:w="592" w:type="pct"/>
            <w:tcBorders>
              <w:top w:val="nil"/>
              <w:left w:val="nil"/>
              <w:bottom w:val="single" w:color="auto" w:sz="8" w:space="0"/>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(0,1)</w:t>
            </w:r>
          </w:p>
        </w:tc>
        <w:tc>
          <w:tcPr>
            <w:tcW w:w="732" w:type="pct"/>
            <w:tcBorders>
              <w:top w:val="nil"/>
              <w:left w:val="nil"/>
              <w:bottom w:val="single" w:color="auto" w:sz="8" w:space="0"/>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1 625.18</w:t>
            </w:r>
          </w:p>
        </w:tc>
        <w:tc>
          <w:tcPr>
            <w:tcW w:w="524" w:type="pct"/>
            <w:tcBorders>
              <w:top w:val="nil"/>
              <w:left w:val="nil"/>
              <w:bottom w:val="single" w:color="auto" w:sz="8" w:space="0"/>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(3,3)</w:t>
            </w:r>
          </w:p>
        </w:tc>
        <w:tc>
          <w:tcPr>
            <w:tcW w:w="732" w:type="pct"/>
            <w:tcBorders>
              <w:top w:val="nil"/>
              <w:left w:val="nil"/>
              <w:bottom w:val="single" w:color="auto" w:sz="8" w:space="0"/>
              <w:right w:val="nil"/>
            </w:tcBorders>
            <w:noWrap/>
            <w:vAlign w:val="bottom"/>
          </w:tcPr>
          <w:p>
            <w:pPr>
              <w:widowControl/>
              <w:jc w:val="center"/>
              <w:textAlignment w:val="bottom"/>
              <w:rPr>
                <w:rFonts w:ascii="Times New Roman" w:hAnsi="Times New Roman" w:eastAsia="宋体" w:cs="Times New Roman"/>
                <w:sz w:val="16"/>
                <w:szCs w:val="16"/>
              </w:rPr>
            </w:pPr>
            <w:r>
              <w:rPr>
                <w:rFonts w:ascii="Times New Roman" w:hAnsi="Times New Roman" w:eastAsia="宋体" w:cs="Times New Roman"/>
                <w:kern w:val="0"/>
                <w:sz w:val="16"/>
                <w:szCs w:val="16"/>
              </w:rPr>
              <w:t>50 031.71</w:t>
            </w:r>
          </w:p>
        </w:tc>
      </w:tr>
    </w:tbl>
    <w:p>
      <w:pPr>
        <w:spacing w:line="480" w:lineRule="auto"/>
        <w:jc w:val="left"/>
        <w:rPr>
          <w:rFonts w:ascii="Times New Roman" w:hAnsi="Times New Roman" w:eastAsia="黑体" w:cs="Times New Roman"/>
          <w:sz w:val="20"/>
          <w:szCs w:val="20"/>
        </w:rPr>
      </w:pPr>
      <w:r>
        <w:rPr>
          <w:rFonts w:hint="eastAsia" w:ascii="Times New Roman" w:hAnsi="Times New Roman" w:eastAsia="黑体" w:cs="Times New Roman"/>
          <w:b/>
          <w:bCs/>
          <w:sz w:val="20"/>
          <w:szCs w:val="20"/>
        </w:rPr>
        <w:t>(</w:t>
      </w:r>
      <w:r>
        <w:rPr>
          <w:rFonts w:ascii="Times New Roman" w:hAnsi="Times New Roman" w:eastAsia="黑体" w:cs="Times New Roman"/>
          <w:b/>
          <w:bCs/>
          <w:sz w:val="20"/>
          <w:szCs w:val="20"/>
        </w:rPr>
        <w:t>B</w:t>
      </w:r>
      <w:r>
        <w:rPr>
          <w:rFonts w:hint="eastAsia" w:ascii="Times New Roman" w:hAnsi="Times New Roman" w:eastAsia="黑体" w:cs="Times New Roman"/>
          <w:b/>
          <w:bCs/>
          <w:sz w:val="20"/>
          <w:szCs w:val="20"/>
        </w:rPr>
        <w:t>)</w:t>
      </w:r>
      <w:r>
        <w:rPr>
          <w:rFonts w:ascii="Times New Roman" w:hAnsi="Times New Roman" w:eastAsia="黑体" w:cs="Times New Roman"/>
          <w:sz w:val="20"/>
          <w:szCs w:val="20"/>
        </w:rPr>
        <w:t xml:space="preserve"> PFS</w:t>
      </w:r>
    </w:p>
    <w:tbl>
      <w:tblPr>
        <w:tblStyle w:val="3"/>
        <w:tblW w:w="4999"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85"/>
        <w:gridCol w:w="1460"/>
        <w:gridCol w:w="1012"/>
        <w:gridCol w:w="1458"/>
        <w:gridCol w:w="1180"/>
        <w:gridCol w:w="1458"/>
        <w:gridCol w:w="1044"/>
        <w:gridCol w:w="1463"/>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1177" w:type="pct"/>
            <w:gridSpan w:val="2"/>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lang w:bidi="ar"/>
              </w:rPr>
              <w:t>First Order FP</w:t>
            </w:r>
          </w:p>
        </w:tc>
        <w:tc>
          <w:tcPr>
            <w:tcW w:w="3822" w:type="pct"/>
            <w:gridSpan w:val="6"/>
            <w:tcBorders>
              <w:top w:val="single" w:color="auto" w:sz="8" w:space="0"/>
              <w:left w:val="nil"/>
              <w:bottom w:val="single" w:color="auto" w:sz="4" w:space="0"/>
              <w:right w:val="nil"/>
            </w:tcBorders>
            <w:noWrap/>
            <w:vAlign w:val="center"/>
          </w:tcPr>
          <w:p>
            <w:pPr>
              <w:widowControl/>
              <w:jc w:val="center"/>
              <w:textAlignment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lang w:bidi="ar"/>
              </w:rPr>
              <w:t>Second Order FP</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444"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Power</w:t>
            </w:r>
          </w:p>
        </w:tc>
        <w:tc>
          <w:tcPr>
            <w:tcW w:w="732"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DIC</w:t>
            </w:r>
          </w:p>
        </w:tc>
        <w:tc>
          <w:tcPr>
            <w:tcW w:w="508"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Power</w:t>
            </w:r>
          </w:p>
        </w:tc>
        <w:tc>
          <w:tcPr>
            <w:tcW w:w="732"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DIC</w:t>
            </w:r>
          </w:p>
        </w:tc>
        <w:tc>
          <w:tcPr>
            <w:tcW w:w="592"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Power</w:t>
            </w:r>
          </w:p>
        </w:tc>
        <w:tc>
          <w:tcPr>
            <w:tcW w:w="732"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DIC</w:t>
            </w:r>
          </w:p>
        </w:tc>
        <w:tc>
          <w:tcPr>
            <w:tcW w:w="524"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Power</w:t>
            </w:r>
          </w:p>
        </w:tc>
        <w:tc>
          <w:tcPr>
            <w:tcW w:w="732" w:type="pct"/>
            <w:tcBorders>
              <w:top w:val="single" w:color="auto" w:sz="8"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lang w:bidi="ar"/>
              </w:rPr>
              <w:t>DIC</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444"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w:t>
            </w:r>
          </w:p>
        </w:tc>
        <w:tc>
          <w:tcPr>
            <w:tcW w:w="732"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1 999.72</w:t>
            </w:r>
          </w:p>
        </w:tc>
        <w:tc>
          <w:tcPr>
            <w:tcW w:w="508"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(-2,-2)</w:t>
            </w:r>
          </w:p>
        </w:tc>
        <w:tc>
          <w:tcPr>
            <w:tcW w:w="732"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1 971.96</w:t>
            </w:r>
          </w:p>
        </w:tc>
        <w:tc>
          <w:tcPr>
            <w:tcW w:w="592"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(-1,1)</w:t>
            </w:r>
          </w:p>
        </w:tc>
        <w:tc>
          <w:tcPr>
            <w:tcW w:w="732"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1 836.14 </w:t>
            </w:r>
          </w:p>
        </w:tc>
        <w:tc>
          <w:tcPr>
            <w:tcW w:w="524"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(0,2)</w:t>
            </w:r>
          </w:p>
        </w:tc>
        <w:tc>
          <w:tcPr>
            <w:tcW w:w="732"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4 937.74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44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2 054.14 </w:t>
            </w: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(-2,-1)</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1 960.03</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(-1,2)</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3 001.16</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(0,3)</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1 021 103.00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44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2 138.53</w:t>
            </w: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(-2,-0.5)</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1 949.44 </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(-1,3)</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1 194 956.00 </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(0.5,0.5)</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1 802.00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44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2 254.13</w:t>
            </w: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(-2,0)</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1 934.23 </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(-0.5,-0.5)</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1 882.85</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(0.5,1)</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1 805.31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44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2 367.16 </w:t>
            </w: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(-2,0.5)</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1 917.16 </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(-0.5,0)</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1 854.95 </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(0.5,2)</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37 024.06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44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2 447.83 </w:t>
            </w: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(-2,1)</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1 896.35 </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(-0.5,0.5)</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1 830.15</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(0.5,3)</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475 455.40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44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3 261.55</w:t>
            </w: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(-2,2)</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3 739.62 </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(-0.5,1)</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1 811.85</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(1,1)</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1 826.98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44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3</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1 466 889.99 </w:t>
            </w: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(-2,3)</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1 298 813.00 </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(-0.5,2)</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3 649.72</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(1,2)</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6 695.87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444" w:type="pct"/>
            <w:tcBorders>
              <w:top w:val="nil"/>
              <w:left w:val="nil"/>
              <w:bottom w:val="nil"/>
              <w:right w:val="nil"/>
            </w:tcBorders>
            <w:noWrap/>
            <w:vAlign w:val="center"/>
          </w:tcPr>
          <w:p>
            <w:pPr>
              <w:jc w:val="center"/>
              <w:rPr>
                <w:rFonts w:ascii="Times New Roman" w:hAnsi="Times New Roman" w:eastAsia="宋体" w:cs="Times New Roman"/>
                <w:sz w:val="16"/>
                <w:szCs w:val="16"/>
              </w:rPr>
            </w:pPr>
          </w:p>
        </w:tc>
        <w:tc>
          <w:tcPr>
            <w:tcW w:w="732" w:type="pct"/>
            <w:tcBorders>
              <w:top w:val="nil"/>
              <w:left w:val="nil"/>
              <w:bottom w:val="nil"/>
              <w:right w:val="nil"/>
            </w:tcBorders>
            <w:noWrap/>
            <w:vAlign w:val="center"/>
          </w:tcPr>
          <w:p>
            <w:pPr>
              <w:jc w:val="center"/>
              <w:rPr>
                <w:rFonts w:ascii="Times New Roman" w:hAnsi="Times New Roman" w:eastAsia="宋体" w:cs="Times New Roman"/>
                <w:sz w:val="16"/>
                <w:szCs w:val="16"/>
              </w:rPr>
            </w:pP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(-1,-1)</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1 931.92 </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(-0.5,3)</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1 106 999.00 </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(1,3)</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276 980.10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444" w:type="pct"/>
            <w:tcBorders>
              <w:top w:val="nil"/>
              <w:left w:val="nil"/>
              <w:bottom w:val="nil"/>
              <w:right w:val="nil"/>
            </w:tcBorders>
            <w:noWrap/>
            <w:vAlign w:val="center"/>
          </w:tcPr>
          <w:p>
            <w:pPr>
              <w:jc w:val="center"/>
              <w:rPr>
                <w:rFonts w:ascii="Times New Roman" w:hAnsi="Times New Roman" w:eastAsia="宋体" w:cs="Times New Roman"/>
                <w:sz w:val="16"/>
                <w:szCs w:val="16"/>
              </w:rPr>
            </w:pPr>
          </w:p>
        </w:tc>
        <w:tc>
          <w:tcPr>
            <w:tcW w:w="732" w:type="pct"/>
            <w:tcBorders>
              <w:top w:val="nil"/>
              <w:left w:val="nil"/>
              <w:bottom w:val="nil"/>
              <w:right w:val="nil"/>
            </w:tcBorders>
            <w:noWrap/>
            <w:vAlign w:val="center"/>
          </w:tcPr>
          <w:p>
            <w:pPr>
              <w:jc w:val="center"/>
              <w:rPr>
                <w:rFonts w:ascii="Times New Roman" w:hAnsi="Times New Roman" w:eastAsia="宋体" w:cs="Times New Roman"/>
                <w:sz w:val="16"/>
                <w:szCs w:val="16"/>
              </w:rPr>
            </w:pP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(-1,-0.5)</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1 909.47 </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(0,0)</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1 828.96 </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(2,2)</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715 115.20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444" w:type="pct"/>
            <w:tcBorders>
              <w:top w:val="nil"/>
              <w:left w:val="nil"/>
              <w:bottom w:val="nil"/>
              <w:right w:val="nil"/>
            </w:tcBorders>
            <w:noWrap/>
            <w:vAlign w:val="center"/>
          </w:tcPr>
          <w:p>
            <w:pPr>
              <w:jc w:val="center"/>
              <w:rPr>
                <w:rFonts w:ascii="Times New Roman" w:hAnsi="Times New Roman" w:eastAsia="宋体" w:cs="Times New Roman"/>
                <w:sz w:val="16"/>
                <w:szCs w:val="16"/>
              </w:rPr>
            </w:pPr>
          </w:p>
        </w:tc>
        <w:tc>
          <w:tcPr>
            <w:tcW w:w="732" w:type="pct"/>
            <w:tcBorders>
              <w:top w:val="nil"/>
              <w:left w:val="nil"/>
              <w:bottom w:val="nil"/>
              <w:right w:val="nil"/>
            </w:tcBorders>
            <w:noWrap/>
            <w:vAlign w:val="center"/>
          </w:tcPr>
          <w:p>
            <w:pPr>
              <w:jc w:val="center"/>
              <w:rPr>
                <w:rFonts w:ascii="Times New Roman" w:hAnsi="Times New Roman" w:eastAsia="宋体" w:cs="Times New Roman"/>
                <w:sz w:val="16"/>
                <w:szCs w:val="16"/>
              </w:rPr>
            </w:pPr>
          </w:p>
        </w:tc>
        <w:tc>
          <w:tcPr>
            <w:tcW w:w="508"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(-1,0)</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1 883.99 </w:t>
            </w:r>
          </w:p>
        </w:tc>
        <w:tc>
          <w:tcPr>
            <w:tcW w:w="59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(0,0.5)</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1 809.82 </w:t>
            </w:r>
          </w:p>
        </w:tc>
        <w:tc>
          <w:tcPr>
            <w:tcW w:w="52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(2,3)</w:t>
            </w:r>
          </w:p>
        </w:tc>
        <w:tc>
          <w:tcPr>
            <w:tcW w:w="732"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399 955.90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 w:hRule="atLeast"/>
          <w:jc w:val="center"/>
        </w:trPr>
        <w:tc>
          <w:tcPr>
            <w:tcW w:w="444" w:type="pct"/>
            <w:tcBorders>
              <w:top w:val="nil"/>
              <w:left w:val="nil"/>
              <w:bottom w:val="single" w:color="auto" w:sz="8" w:space="0"/>
              <w:right w:val="nil"/>
            </w:tcBorders>
            <w:noWrap/>
            <w:vAlign w:val="center"/>
          </w:tcPr>
          <w:p>
            <w:pPr>
              <w:jc w:val="center"/>
              <w:rPr>
                <w:rFonts w:ascii="Times New Roman" w:hAnsi="Times New Roman" w:eastAsia="宋体" w:cs="Times New Roman"/>
                <w:sz w:val="16"/>
                <w:szCs w:val="16"/>
              </w:rPr>
            </w:pPr>
          </w:p>
        </w:tc>
        <w:tc>
          <w:tcPr>
            <w:tcW w:w="732" w:type="pct"/>
            <w:tcBorders>
              <w:top w:val="nil"/>
              <w:left w:val="nil"/>
              <w:bottom w:val="single" w:color="auto" w:sz="8" w:space="0"/>
              <w:right w:val="nil"/>
            </w:tcBorders>
            <w:noWrap/>
            <w:vAlign w:val="center"/>
          </w:tcPr>
          <w:p>
            <w:pPr>
              <w:jc w:val="center"/>
              <w:rPr>
                <w:rFonts w:ascii="Times New Roman" w:hAnsi="Times New Roman" w:eastAsia="宋体" w:cs="Times New Roman"/>
                <w:sz w:val="16"/>
                <w:szCs w:val="16"/>
              </w:rPr>
            </w:pPr>
          </w:p>
        </w:tc>
        <w:tc>
          <w:tcPr>
            <w:tcW w:w="508" w:type="pct"/>
            <w:tcBorders>
              <w:top w:val="nil"/>
              <w:left w:val="nil"/>
              <w:bottom w:val="single" w:color="auto" w:sz="8" w:space="0"/>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(-1,0.5)</w:t>
            </w:r>
          </w:p>
        </w:tc>
        <w:tc>
          <w:tcPr>
            <w:tcW w:w="732" w:type="pct"/>
            <w:tcBorders>
              <w:top w:val="nil"/>
              <w:left w:val="nil"/>
              <w:bottom w:val="single" w:color="auto" w:sz="8" w:space="0"/>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1 857.51 </w:t>
            </w:r>
          </w:p>
        </w:tc>
        <w:tc>
          <w:tcPr>
            <w:tcW w:w="592" w:type="pct"/>
            <w:tcBorders>
              <w:top w:val="nil"/>
              <w:left w:val="nil"/>
              <w:bottom w:val="single" w:color="auto" w:sz="8" w:space="0"/>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(0,1)</w:t>
            </w:r>
          </w:p>
        </w:tc>
        <w:tc>
          <w:tcPr>
            <w:tcW w:w="732" w:type="pct"/>
            <w:tcBorders>
              <w:top w:val="nil"/>
              <w:left w:val="nil"/>
              <w:bottom w:val="single" w:color="auto" w:sz="8" w:space="0"/>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1 799.36 </w:t>
            </w:r>
          </w:p>
        </w:tc>
        <w:tc>
          <w:tcPr>
            <w:tcW w:w="524" w:type="pct"/>
            <w:tcBorders>
              <w:top w:val="nil"/>
              <w:left w:val="nil"/>
              <w:bottom w:val="single" w:color="auto" w:sz="8" w:space="0"/>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(3,3)</w:t>
            </w:r>
          </w:p>
        </w:tc>
        <w:tc>
          <w:tcPr>
            <w:tcW w:w="732" w:type="pct"/>
            <w:tcBorders>
              <w:top w:val="nil"/>
              <w:left w:val="nil"/>
              <w:bottom w:val="single" w:color="auto" w:sz="8" w:space="0"/>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72 947.33 </w:t>
            </w:r>
          </w:p>
        </w:tc>
      </w:tr>
    </w:tbl>
    <w:p>
      <w:pPr>
        <w:spacing w:after="156" w:afterLines="50"/>
        <w:rPr>
          <w:rFonts w:ascii="Times New Roman" w:hAnsi="Times New Roman" w:eastAsia="宋体" w:cs="Times New Roman"/>
          <w:sz w:val="16"/>
          <w:szCs w:val="16"/>
        </w:rPr>
      </w:pPr>
      <w:r>
        <w:rPr>
          <w:rFonts w:ascii="Times New Roman" w:hAnsi="Times New Roman" w:cs="Times New Roman"/>
          <w:sz w:val="16"/>
          <w:szCs w:val="16"/>
        </w:rPr>
        <w:t>DIC: Deviance information criterion; FP: Fractional polynomial; OS: Overall survival; PFS: Progression-free survival</w:t>
      </w:r>
    </w:p>
    <w:p>
      <w:pPr>
        <w:rPr>
          <w:rFonts w:ascii="Times New Roman" w:hAnsi="Times New Roman" w:eastAsia="宋体" w:cs="Times New Roman"/>
          <w:sz w:val="16"/>
          <w:szCs w:val="16"/>
        </w:rPr>
      </w:pPr>
    </w:p>
    <w:p>
      <w:pPr>
        <w:spacing w:line="480" w:lineRule="auto"/>
        <w:jc w:val="left"/>
        <w:rPr>
          <w:rFonts w:ascii="Times New Roman" w:hAnsi="Times New Roman" w:eastAsia="黑体" w:cs="Times New Roman"/>
          <w:sz w:val="20"/>
          <w:szCs w:val="20"/>
        </w:rPr>
      </w:pPr>
      <w:r>
        <w:rPr>
          <w:rFonts w:ascii="Times New Roman" w:hAnsi="Times New Roman" w:eastAsia="黑体" w:cs="Times New Roman"/>
          <w:b/>
          <w:bCs/>
          <w:sz w:val="20"/>
          <w:szCs w:val="20"/>
        </w:rPr>
        <w:t xml:space="preserve">Table </w:t>
      </w:r>
      <w:r>
        <w:rPr>
          <w:rFonts w:hint="eastAsia" w:ascii="Times New Roman" w:hAnsi="Times New Roman" w:eastAsia="黑体" w:cs="Times New Roman"/>
          <w:b/>
          <w:bCs/>
          <w:sz w:val="20"/>
          <w:szCs w:val="20"/>
          <w:lang w:val="en-US" w:eastAsia="zh-CN"/>
        </w:rPr>
        <w:t>A</w:t>
      </w:r>
      <w:r>
        <w:rPr>
          <w:rFonts w:ascii="Times New Roman" w:hAnsi="Times New Roman" w:eastAsia="黑体" w:cs="Times New Roman"/>
          <w:b/>
          <w:bCs/>
          <w:sz w:val="20"/>
          <w:szCs w:val="20"/>
        </w:rPr>
        <w:t>4</w:t>
      </w:r>
      <w:r>
        <w:rPr>
          <w:rFonts w:ascii="Times New Roman" w:hAnsi="Times New Roman" w:eastAsia="黑体" w:cs="Times New Roman"/>
          <w:sz w:val="20"/>
          <w:szCs w:val="20"/>
        </w:rPr>
        <w:t xml:space="preserve"> AIC and BIC values for the fitted distribution of survival curves in the chemotherapy group</w:t>
      </w:r>
    </w:p>
    <w:tbl>
      <w:tblPr>
        <w:tblStyle w:val="3"/>
        <w:tblW w:w="4999"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97"/>
        <w:gridCol w:w="1761"/>
        <w:gridCol w:w="1771"/>
        <w:gridCol w:w="1761"/>
        <w:gridCol w:w="177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4" w:type="pct"/>
            <w:vMerge w:val="restar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sz w:val="16"/>
                <w:szCs w:val="16"/>
              </w:rPr>
              <w:t>Parametric models</w:t>
            </w:r>
          </w:p>
        </w:tc>
        <w:tc>
          <w:tcPr>
            <w:tcW w:w="1773" w:type="pct"/>
            <w:gridSpan w:val="2"/>
            <w:tcBorders>
              <w:top w:val="single" w:color="auto" w:sz="8" w:space="0"/>
              <w:left w:val="nil"/>
              <w:bottom w:val="single" w:color="auto" w:sz="4"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rPr>
              <w:t>OS</w:t>
            </w:r>
          </w:p>
        </w:tc>
        <w:tc>
          <w:tcPr>
            <w:tcW w:w="1772" w:type="pct"/>
            <w:gridSpan w:val="2"/>
            <w:tcBorders>
              <w:top w:val="single" w:color="auto" w:sz="8" w:space="0"/>
              <w:left w:val="nil"/>
              <w:bottom w:val="single" w:color="auto" w:sz="4"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rPr>
              <w:t>PFS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4" w:type="pct"/>
            <w:vMerge w:val="continue"/>
            <w:tcBorders>
              <w:top w:val="single" w:color="auto" w:sz="8" w:space="0"/>
              <w:left w:val="nil"/>
              <w:bottom w:val="single" w:color="auto" w:sz="8" w:space="0"/>
              <w:right w:val="nil"/>
            </w:tcBorders>
            <w:vAlign w:val="center"/>
          </w:tcPr>
          <w:p>
            <w:pPr>
              <w:widowControl/>
              <w:jc w:val="left"/>
              <w:rPr>
                <w:rFonts w:ascii="Times New Roman" w:hAnsi="Times New Roman" w:eastAsia="宋体" w:cs="Times New Roman"/>
                <w:b/>
                <w:bCs/>
                <w:sz w:val="16"/>
                <w:szCs w:val="16"/>
              </w:rPr>
            </w:pPr>
          </w:p>
        </w:tc>
        <w:tc>
          <w:tcPr>
            <w:tcW w:w="884" w:type="pct"/>
            <w:tcBorders>
              <w:top w:val="single" w:color="auto" w:sz="4"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rPr>
              <w:t>AIC</w:t>
            </w:r>
          </w:p>
        </w:tc>
        <w:tc>
          <w:tcPr>
            <w:tcW w:w="889" w:type="pct"/>
            <w:tcBorders>
              <w:top w:val="single" w:color="auto" w:sz="4"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rPr>
              <w:t>BIC</w:t>
            </w:r>
          </w:p>
        </w:tc>
        <w:tc>
          <w:tcPr>
            <w:tcW w:w="884" w:type="pct"/>
            <w:tcBorders>
              <w:top w:val="single" w:color="auto" w:sz="4"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rPr>
              <w:t>AIC</w:t>
            </w:r>
          </w:p>
        </w:tc>
        <w:tc>
          <w:tcPr>
            <w:tcW w:w="887" w:type="pct"/>
            <w:tcBorders>
              <w:top w:val="single" w:color="auto" w:sz="4" w:space="0"/>
              <w:left w:val="nil"/>
              <w:bottom w:val="single" w:color="auto" w:sz="8" w:space="0"/>
              <w:right w:val="nil"/>
            </w:tcBorders>
            <w:noWrap/>
            <w:vAlign w:val="center"/>
          </w:tcPr>
          <w:p>
            <w:pPr>
              <w:widowControl/>
              <w:jc w:val="center"/>
              <w:textAlignment w:val="center"/>
              <w:rPr>
                <w:rFonts w:ascii="Times New Roman" w:hAnsi="Times New Roman" w:eastAsia="宋体" w:cs="Times New Roman"/>
                <w:b/>
                <w:bCs/>
                <w:sz w:val="16"/>
                <w:szCs w:val="16"/>
              </w:rPr>
            </w:pPr>
            <w:r>
              <w:rPr>
                <w:rFonts w:ascii="Times New Roman" w:hAnsi="Times New Roman" w:eastAsia="宋体" w:cs="Times New Roman"/>
                <w:b/>
                <w:bCs/>
                <w:kern w:val="0"/>
                <w:sz w:val="16"/>
                <w:szCs w:val="16"/>
              </w:rPr>
              <w:t>BIC</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4" w:type="pct"/>
            <w:tcBorders>
              <w:top w:val="single" w:color="auto" w:sz="8" w:space="0"/>
              <w:left w:val="nil"/>
              <w:bottom w:val="nil"/>
              <w:right w:val="nil"/>
            </w:tcBorders>
            <w:noWrap/>
            <w:vAlign w:val="center"/>
          </w:tcPr>
          <w:p>
            <w:pPr>
              <w:widowControl/>
              <w:jc w:val="left"/>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Exponential</w:t>
            </w:r>
          </w:p>
        </w:tc>
        <w:tc>
          <w:tcPr>
            <w:tcW w:w="884"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1 632.22 </w:t>
            </w:r>
          </w:p>
        </w:tc>
        <w:tc>
          <w:tcPr>
            <w:tcW w:w="889"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1 635.84 </w:t>
            </w:r>
          </w:p>
        </w:tc>
        <w:tc>
          <w:tcPr>
            <w:tcW w:w="884"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1 443.51 </w:t>
            </w:r>
          </w:p>
        </w:tc>
        <w:tc>
          <w:tcPr>
            <w:tcW w:w="887" w:type="pct"/>
            <w:tcBorders>
              <w:top w:val="single" w:color="auto" w:sz="8" w:space="0"/>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1 447.12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4" w:type="pct"/>
            <w:tcBorders>
              <w:top w:val="nil"/>
              <w:left w:val="nil"/>
              <w:bottom w:val="nil"/>
              <w:right w:val="nil"/>
            </w:tcBorders>
            <w:noWrap/>
            <w:vAlign w:val="center"/>
          </w:tcPr>
          <w:p>
            <w:pPr>
              <w:widowControl/>
              <w:jc w:val="left"/>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Gompertz</w:t>
            </w:r>
          </w:p>
        </w:tc>
        <w:tc>
          <w:tcPr>
            <w:tcW w:w="88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1 630.96 </w:t>
            </w:r>
          </w:p>
        </w:tc>
        <w:tc>
          <w:tcPr>
            <w:tcW w:w="889"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1 638.19 </w:t>
            </w:r>
          </w:p>
        </w:tc>
        <w:tc>
          <w:tcPr>
            <w:tcW w:w="88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1 440.03 </w:t>
            </w:r>
          </w:p>
        </w:tc>
        <w:tc>
          <w:tcPr>
            <w:tcW w:w="887"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1 447.25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4" w:type="pct"/>
            <w:tcBorders>
              <w:top w:val="nil"/>
              <w:left w:val="nil"/>
              <w:bottom w:val="nil"/>
              <w:right w:val="nil"/>
            </w:tcBorders>
            <w:noWrap/>
            <w:vAlign w:val="center"/>
          </w:tcPr>
          <w:p>
            <w:pPr>
              <w:widowControl/>
              <w:jc w:val="left"/>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Gamma</w:t>
            </w:r>
          </w:p>
        </w:tc>
        <w:tc>
          <w:tcPr>
            <w:tcW w:w="88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1 614.93 </w:t>
            </w:r>
          </w:p>
        </w:tc>
        <w:tc>
          <w:tcPr>
            <w:tcW w:w="889"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1 622.15 </w:t>
            </w:r>
          </w:p>
        </w:tc>
        <w:tc>
          <w:tcPr>
            <w:tcW w:w="88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1 412.54 </w:t>
            </w:r>
          </w:p>
        </w:tc>
        <w:tc>
          <w:tcPr>
            <w:tcW w:w="887"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1 419.76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4" w:type="pct"/>
            <w:tcBorders>
              <w:top w:val="nil"/>
              <w:left w:val="nil"/>
              <w:bottom w:val="nil"/>
              <w:right w:val="nil"/>
            </w:tcBorders>
            <w:noWrap/>
            <w:vAlign w:val="center"/>
          </w:tcPr>
          <w:p>
            <w:pPr>
              <w:widowControl/>
              <w:jc w:val="left"/>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Gengamma</w:t>
            </w:r>
          </w:p>
        </w:tc>
        <w:tc>
          <w:tcPr>
            <w:tcW w:w="88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1 615.22 </w:t>
            </w:r>
          </w:p>
        </w:tc>
        <w:tc>
          <w:tcPr>
            <w:tcW w:w="889"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1 626.06 </w:t>
            </w:r>
          </w:p>
        </w:tc>
        <w:tc>
          <w:tcPr>
            <w:tcW w:w="88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1 413.62</w:t>
            </w:r>
          </w:p>
        </w:tc>
        <w:tc>
          <w:tcPr>
            <w:tcW w:w="887"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1 424.46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4" w:type="pct"/>
            <w:tcBorders>
              <w:top w:val="nil"/>
              <w:left w:val="nil"/>
              <w:bottom w:val="nil"/>
              <w:right w:val="nil"/>
            </w:tcBorders>
            <w:noWrap/>
            <w:vAlign w:val="center"/>
          </w:tcPr>
          <w:p>
            <w:pPr>
              <w:widowControl/>
              <w:jc w:val="left"/>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Weibull</w:t>
            </w:r>
          </w:p>
        </w:tc>
        <w:tc>
          <w:tcPr>
            <w:tcW w:w="88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1 618.41 </w:t>
            </w:r>
          </w:p>
        </w:tc>
        <w:tc>
          <w:tcPr>
            <w:tcW w:w="889"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1 625.64 </w:t>
            </w:r>
          </w:p>
        </w:tc>
        <w:tc>
          <w:tcPr>
            <w:tcW w:w="88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1 418.15 </w:t>
            </w:r>
          </w:p>
        </w:tc>
        <w:tc>
          <w:tcPr>
            <w:tcW w:w="887"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1 425.37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4" w:type="pct"/>
            <w:tcBorders>
              <w:top w:val="nil"/>
              <w:left w:val="nil"/>
              <w:bottom w:val="nil"/>
              <w:right w:val="nil"/>
            </w:tcBorders>
            <w:noWrap/>
            <w:vAlign w:val="center"/>
          </w:tcPr>
          <w:p>
            <w:pPr>
              <w:widowControl/>
              <w:jc w:val="left"/>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Log-logistic</w:t>
            </w:r>
          </w:p>
        </w:tc>
        <w:tc>
          <w:tcPr>
            <w:tcW w:w="88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1 607.51 </w:t>
            </w:r>
          </w:p>
        </w:tc>
        <w:tc>
          <w:tcPr>
            <w:tcW w:w="889"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1 614.74 </w:t>
            </w:r>
          </w:p>
        </w:tc>
        <w:tc>
          <w:tcPr>
            <w:tcW w:w="884"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1 409.57 </w:t>
            </w:r>
          </w:p>
        </w:tc>
        <w:tc>
          <w:tcPr>
            <w:tcW w:w="887" w:type="pct"/>
            <w:tcBorders>
              <w:top w:val="nil"/>
              <w:left w:val="nil"/>
              <w:bottom w:val="nil"/>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1 416.80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4" w:type="pct"/>
            <w:tcBorders>
              <w:top w:val="nil"/>
              <w:left w:val="nil"/>
              <w:bottom w:val="single" w:color="auto" w:sz="8" w:space="0"/>
              <w:right w:val="nil"/>
            </w:tcBorders>
            <w:noWrap/>
            <w:vAlign w:val="center"/>
          </w:tcPr>
          <w:p>
            <w:pPr>
              <w:widowControl/>
              <w:jc w:val="left"/>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Lognormal</w:t>
            </w:r>
          </w:p>
        </w:tc>
        <w:tc>
          <w:tcPr>
            <w:tcW w:w="884" w:type="pct"/>
            <w:tcBorders>
              <w:top w:val="nil"/>
              <w:left w:val="nil"/>
              <w:bottom w:val="single" w:color="auto" w:sz="8" w:space="0"/>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1 627.26 </w:t>
            </w:r>
          </w:p>
        </w:tc>
        <w:tc>
          <w:tcPr>
            <w:tcW w:w="889" w:type="pct"/>
            <w:tcBorders>
              <w:top w:val="nil"/>
              <w:left w:val="nil"/>
              <w:bottom w:val="single" w:color="auto" w:sz="8" w:space="0"/>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1 634.49 </w:t>
            </w:r>
          </w:p>
        </w:tc>
        <w:tc>
          <w:tcPr>
            <w:tcW w:w="884" w:type="pct"/>
            <w:tcBorders>
              <w:top w:val="nil"/>
              <w:left w:val="nil"/>
              <w:bottom w:val="single" w:color="auto" w:sz="8" w:space="0"/>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1 442.13 </w:t>
            </w:r>
          </w:p>
        </w:tc>
        <w:tc>
          <w:tcPr>
            <w:tcW w:w="887" w:type="pct"/>
            <w:tcBorders>
              <w:top w:val="nil"/>
              <w:left w:val="nil"/>
              <w:bottom w:val="single" w:color="auto" w:sz="8" w:space="0"/>
              <w:right w:val="nil"/>
            </w:tcBorders>
            <w:noWrap/>
            <w:vAlign w:val="center"/>
          </w:tcPr>
          <w:p>
            <w:pPr>
              <w:widowControl/>
              <w:jc w:val="center"/>
              <w:textAlignment w:val="center"/>
              <w:rPr>
                <w:rFonts w:ascii="Times New Roman" w:hAnsi="Times New Roman" w:eastAsia="宋体" w:cs="Times New Roman"/>
                <w:sz w:val="16"/>
                <w:szCs w:val="16"/>
              </w:rPr>
            </w:pPr>
            <w:r>
              <w:rPr>
                <w:rFonts w:ascii="Times New Roman" w:hAnsi="Times New Roman" w:eastAsia="宋体" w:cs="Times New Roman"/>
                <w:kern w:val="0"/>
                <w:sz w:val="16"/>
                <w:szCs w:val="16"/>
              </w:rPr>
              <w:t xml:space="preserve">1 449.35 </w:t>
            </w:r>
          </w:p>
        </w:tc>
      </w:tr>
    </w:tbl>
    <w:p>
      <w:pPr>
        <w:rPr>
          <w:rFonts w:ascii="Times New Roman" w:hAnsi="Times New Roman" w:cs="Times New Roman"/>
          <w:sz w:val="16"/>
          <w:szCs w:val="16"/>
        </w:rPr>
      </w:pPr>
      <w:r>
        <w:rPr>
          <w:rFonts w:ascii="Times New Roman" w:hAnsi="Times New Roman" w:cs="Times New Roman"/>
          <w:sz w:val="16"/>
          <w:szCs w:val="16"/>
        </w:rPr>
        <w:t>AIC: Akaike’ s information criterion; BIC: Bayesian information criterion; OS: Overall survival; PFS: Progression-free survival</w:t>
      </w:r>
    </w:p>
    <w:p>
      <w:pPr>
        <w:rPr>
          <w:rFonts w:ascii="Times New Roman" w:hAnsi="Times New Roman" w:eastAsia="宋体" w:cs="Times New Roman"/>
          <w:sz w:val="16"/>
          <w:szCs w:val="16"/>
        </w:rPr>
      </w:pPr>
    </w:p>
    <w:p>
      <w:pPr>
        <w:spacing w:line="480" w:lineRule="auto"/>
        <w:rPr>
          <w:rFonts w:ascii="Times New Roman" w:hAnsi="Times New Roman" w:eastAsia="宋体" w:cs="Times New Roman"/>
          <w:sz w:val="20"/>
          <w:szCs w:val="20"/>
        </w:rPr>
      </w:pPr>
      <w:r>
        <w:rPr>
          <w:rFonts w:hint="eastAsia" w:ascii="Times New Roman" w:hAnsi="Times New Roman" w:eastAsia="宋体" w:cs="Times New Roman"/>
          <w:b/>
          <w:bCs/>
          <w:sz w:val="20"/>
          <w:szCs w:val="20"/>
        </w:rPr>
        <w:t>Figure</w:t>
      </w:r>
    </w:p>
    <w:p>
      <w:pPr>
        <w:spacing w:line="480" w:lineRule="auto"/>
        <w:jc w:val="left"/>
        <w:rPr>
          <w:rFonts w:ascii="Times New Roman" w:hAnsi="Times New Roman" w:cs="Times New Roman"/>
        </w:rPr>
      </w:pPr>
      <w:r>
        <w:rPr>
          <w:rFonts w:ascii="Times New Roman" w:hAnsi="Times New Roman" w:eastAsia="宋体" w:cs="Times New Roman"/>
          <w:b/>
          <w:bCs/>
          <w:sz w:val="20"/>
          <w:szCs w:val="20"/>
        </w:rPr>
        <w:t xml:space="preserve">Fig. </w:t>
      </w:r>
      <w:r>
        <w:rPr>
          <w:rFonts w:hint="eastAsia" w:ascii="Times New Roman" w:hAnsi="Times New Roman" w:eastAsia="宋体" w:cs="Times New Roman"/>
          <w:b/>
          <w:bCs/>
          <w:sz w:val="20"/>
          <w:szCs w:val="20"/>
          <w:lang w:val="en-US" w:eastAsia="zh-CN"/>
        </w:rPr>
        <w:t>A</w:t>
      </w:r>
      <w:r>
        <w:rPr>
          <w:rFonts w:ascii="Times New Roman" w:hAnsi="Times New Roman" w:eastAsia="宋体" w:cs="Times New Roman"/>
          <w:b/>
          <w:bCs/>
          <w:sz w:val="20"/>
          <w:szCs w:val="20"/>
        </w:rPr>
        <w:t>1</w:t>
      </w:r>
      <w:r>
        <w:rPr>
          <w:rFonts w:ascii="Times New Roman" w:hAnsi="Times New Roman" w:eastAsia="宋体" w:cs="Times New Roman"/>
          <w:sz w:val="20"/>
          <w:szCs w:val="20"/>
        </w:rPr>
        <w:t xml:space="preserve"> Literature selection flowchart</w:t>
      </w:r>
    </w:p>
    <w:p>
      <w:pPr>
        <w:jc w:val="center"/>
        <w:rPr>
          <w:rFonts w:ascii="Times New Roman" w:hAnsi="Times New Roman" w:cs="Times New Roman"/>
        </w:rPr>
      </w:pPr>
      <w:r>
        <w:rPr>
          <w:rFonts w:ascii="Times New Roman" w:hAnsi="Times New Roman" w:cs="Times New Roman"/>
        </w:rPr>
        <w:drawing>
          <wp:inline distT="0" distB="0" distL="114300" distR="114300">
            <wp:extent cx="2160270" cy="1987550"/>
            <wp:effectExtent l="0" t="0" r="1905" b="3175"/>
            <wp:docPr id="1" name="图片 1" descr="Supplement Figure 1 Literature selection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 Figure 1 Literature selection flowchart"/>
                    <pic:cNvPicPr>
                      <a:picLocks noChangeAspect="1"/>
                    </pic:cNvPicPr>
                  </pic:nvPicPr>
                  <pic:blipFill>
                    <a:blip r:embed="rId4"/>
                    <a:stretch>
                      <a:fillRect/>
                    </a:stretch>
                  </pic:blipFill>
                  <pic:spPr>
                    <a:xfrm>
                      <a:off x="0" y="0"/>
                      <a:ext cx="2160270" cy="1987550"/>
                    </a:xfrm>
                    <a:prstGeom prst="rect">
                      <a:avLst/>
                    </a:prstGeom>
                  </pic:spPr>
                </pic:pic>
              </a:graphicData>
            </a:graphic>
          </wp:inline>
        </w:drawing>
      </w:r>
    </w:p>
    <w:p>
      <w:pPr>
        <w:jc w:val="left"/>
        <w:rPr>
          <w:rFonts w:ascii="Times New Roman" w:hAnsi="Times New Roman" w:cs="Times New Roman"/>
        </w:rPr>
      </w:pPr>
    </w:p>
    <w:p>
      <w:pPr>
        <w:jc w:val="left"/>
        <w:rPr>
          <w:rFonts w:ascii="Times New Roman" w:hAnsi="Times New Roman" w:eastAsia="宋体" w:cs="Times New Roman"/>
          <w:sz w:val="16"/>
          <w:szCs w:val="16"/>
        </w:rPr>
      </w:pPr>
    </w:p>
    <w:p>
      <w:pPr>
        <w:spacing w:line="480" w:lineRule="auto"/>
        <w:jc w:val="left"/>
        <w:rPr>
          <w:rFonts w:ascii="Times New Roman" w:hAnsi="Times New Roman" w:eastAsia="宋体" w:cs="Times New Roman"/>
          <w:sz w:val="20"/>
          <w:szCs w:val="20"/>
        </w:rPr>
      </w:pPr>
      <w:r>
        <w:rPr>
          <w:rFonts w:ascii="Times New Roman" w:hAnsi="Times New Roman" w:eastAsia="宋体" w:cs="Times New Roman"/>
          <w:b/>
          <w:bCs/>
          <w:sz w:val="20"/>
          <w:szCs w:val="20"/>
        </w:rPr>
        <w:t xml:space="preserve">Fig. </w:t>
      </w:r>
      <w:r>
        <w:rPr>
          <w:rFonts w:hint="eastAsia" w:ascii="Times New Roman" w:hAnsi="Times New Roman" w:eastAsia="宋体" w:cs="Times New Roman"/>
          <w:b/>
          <w:bCs/>
          <w:sz w:val="20"/>
          <w:szCs w:val="20"/>
          <w:lang w:val="en-US" w:eastAsia="zh-CN"/>
        </w:rPr>
        <w:t>A</w:t>
      </w:r>
      <w:r>
        <w:rPr>
          <w:rFonts w:ascii="Times New Roman" w:hAnsi="Times New Roman" w:eastAsia="宋体" w:cs="Times New Roman"/>
          <w:b/>
          <w:bCs/>
          <w:sz w:val="20"/>
          <w:szCs w:val="20"/>
        </w:rPr>
        <w:t>2</w:t>
      </w:r>
      <w:r>
        <w:rPr>
          <w:rFonts w:ascii="Times New Roman" w:hAnsi="Times New Roman" w:eastAsia="宋体" w:cs="Times New Roman"/>
          <w:sz w:val="20"/>
          <w:szCs w:val="20"/>
        </w:rPr>
        <w:t xml:space="preserve"> Cochrane risk of bias assessment</w:t>
      </w:r>
    </w:p>
    <w:p>
      <w:pPr>
        <w:spacing w:line="480" w:lineRule="auto"/>
        <w:jc w:val="left"/>
        <w:rPr>
          <w:rFonts w:ascii="Times New Roman" w:hAnsi="Times New Roman" w:eastAsia="宋体" w:cs="Times New Roman"/>
          <w:sz w:val="16"/>
          <w:szCs w:val="16"/>
        </w:rPr>
      </w:pPr>
      <w:r>
        <w:rPr>
          <w:rFonts w:ascii="Times New Roman" w:hAnsi="Times New Roman" w:eastAsia="宋体" w:cs="Times New Roman"/>
          <w:b/>
          <w:bCs/>
          <w:sz w:val="20"/>
          <w:szCs w:val="20"/>
        </w:rPr>
        <w:t>(A)</w:t>
      </w:r>
      <w:r>
        <w:rPr>
          <w:rFonts w:ascii="Times New Roman" w:hAnsi="Times New Roman" w:eastAsia="宋体" w:cs="Times New Roman"/>
          <w:sz w:val="20"/>
          <w:szCs w:val="20"/>
        </w:rPr>
        <w:t xml:space="preserve"> Risk of bias</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3599815" cy="1919605"/>
            <wp:effectExtent l="0" t="0" r="635" b="4445"/>
            <wp:docPr id="3" name="图片 3" descr="Supplement Figure 2 Cochrane risk of bias assessment A Risk of b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 Figure 2 Cochrane risk of bias assessment A Risk of bias"/>
                    <pic:cNvPicPr>
                      <a:picLocks noChangeAspect="1"/>
                    </pic:cNvPicPr>
                  </pic:nvPicPr>
                  <pic:blipFill>
                    <a:blip r:embed="rId5"/>
                    <a:stretch>
                      <a:fillRect/>
                    </a:stretch>
                  </pic:blipFill>
                  <pic:spPr>
                    <a:xfrm>
                      <a:off x="0" y="0"/>
                      <a:ext cx="3599815" cy="1919605"/>
                    </a:xfrm>
                    <a:prstGeom prst="rect">
                      <a:avLst/>
                    </a:prstGeom>
                  </pic:spPr>
                </pic:pic>
              </a:graphicData>
            </a:graphic>
          </wp:inline>
        </w:drawing>
      </w:r>
    </w:p>
    <w:p>
      <w:pPr>
        <w:spacing w:line="480" w:lineRule="auto"/>
        <w:jc w:val="left"/>
        <w:rPr>
          <w:rFonts w:ascii="Times New Roman" w:hAnsi="Times New Roman" w:eastAsia="宋体" w:cs="Times New Roman"/>
          <w:sz w:val="16"/>
          <w:szCs w:val="16"/>
        </w:rPr>
      </w:pP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B</w:t>
      </w: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 xml:space="preserve"> </w:t>
      </w:r>
      <w:r>
        <w:rPr>
          <w:rFonts w:ascii="Times New Roman" w:hAnsi="Times New Roman" w:eastAsia="宋体" w:cs="Times New Roman"/>
          <w:sz w:val="20"/>
          <w:szCs w:val="20"/>
        </w:rPr>
        <w:t>Risk of bias summury</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3599815" cy="1443990"/>
            <wp:effectExtent l="0" t="0" r="635" b="3810"/>
            <wp:docPr id="2" name="图片 2" descr="Supplement Figure 2 Cochrane risk of bias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 Figure 2 Cochrane risk of bias assessment"/>
                    <pic:cNvPicPr>
                      <a:picLocks noChangeAspect="1"/>
                    </pic:cNvPicPr>
                  </pic:nvPicPr>
                  <pic:blipFill>
                    <a:blip r:embed="rId6"/>
                    <a:stretch>
                      <a:fillRect/>
                    </a:stretch>
                  </pic:blipFill>
                  <pic:spPr>
                    <a:xfrm>
                      <a:off x="0" y="0"/>
                      <a:ext cx="3599815" cy="1443990"/>
                    </a:xfrm>
                    <a:prstGeom prst="rect">
                      <a:avLst/>
                    </a:prstGeom>
                  </pic:spPr>
                </pic:pic>
              </a:graphicData>
            </a:graphic>
          </wp:inline>
        </w:drawing>
      </w:r>
    </w:p>
    <w:p>
      <w:pPr>
        <w:jc w:val="left"/>
        <w:rPr>
          <w:rFonts w:ascii="Times New Roman" w:hAnsi="Times New Roman" w:eastAsia="宋体" w:cs="Times New Roman"/>
          <w:sz w:val="16"/>
          <w:szCs w:val="16"/>
        </w:rPr>
      </w:pPr>
    </w:p>
    <w:p>
      <w:pPr>
        <w:spacing w:line="480" w:lineRule="auto"/>
        <w:jc w:val="left"/>
        <w:rPr>
          <w:rFonts w:ascii="Times New Roman" w:hAnsi="Times New Roman" w:eastAsia="宋体" w:cs="Times New Roman"/>
          <w:sz w:val="20"/>
          <w:szCs w:val="20"/>
        </w:rPr>
      </w:pPr>
      <w:r>
        <w:rPr>
          <w:rFonts w:ascii="Times New Roman" w:hAnsi="Times New Roman" w:eastAsia="宋体" w:cs="Times New Roman"/>
          <w:b/>
          <w:bCs/>
          <w:sz w:val="20"/>
          <w:szCs w:val="20"/>
        </w:rPr>
        <w:t>Fig</w:t>
      </w: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 xml:space="preserve"> </w:t>
      </w:r>
      <w:r>
        <w:rPr>
          <w:rFonts w:hint="eastAsia" w:ascii="Times New Roman" w:hAnsi="Times New Roman" w:eastAsia="宋体" w:cs="Times New Roman"/>
          <w:b/>
          <w:bCs/>
          <w:sz w:val="20"/>
          <w:szCs w:val="20"/>
          <w:lang w:val="en-US" w:eastAsia="zh-CN"/>
        </w:rPr>
        <w:t>A</w:t>
      </w:r>
      <w:r>
        <w:rPr>
          <w:rFonts w:ascii="Times New Roman" w:hAnsi="Times New Roman" w:eastAsia="宋体" w:cs="Times New Roman"/>
          <w:b/>
          <w:bCs/>
          <w:sz w:val="20"/>
          <w:szCs w:val="20"/>
        </w:rPr>
        <w:t>3</w:t>
      </w:r>
      <w:r>
        <w:rPr>
          <w:rFonts w:ascii="Times New Roman" w:hAnsi="Times New Roman" w:eastAsia="宋体" w:cs="Times New Roman"/>
          <w:sz w:val="20"/>
          <w:szCs w:val="20"/>
        </w:rPr>
        <w:t xml:space="preserve"> Log cumulative hazards plots</w:t>
      </w:r>
    </w:p>
    <w:p>
      <w:pPr>
        <w:spacing w:line="480" w:lineRule="auto"/>
        <w:jc w:val="left"/>
        <w:rPr>
          <w:rFonts w:ascii="Times New Roman" w:hAnsi="Times New Roman" w:eastAsia="宋体" w:cs="Times New Roman"/>
          <w:sz w:val="20"/>
          <w:szCs w:val="20"/>
        </w:rPr>
      </w:pP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A</w:t>
      </w:r>
      <w:r>
        <w:rPr>
          <w:rFonts w:hint="eastAsia" w:ascii="Times New Roman" w:hAnsi="Times New Roman" w:eastAsia="宋体" w:cs="Times New Roman"/>
          <w:b/>
          <w:bCs/>
          <w:sz w:val="20"/>
          <w:szCs w:val="20"/>
        </w:rPr>
        <w:t>)</w:t>
      </w:r>
      <w:r>
        <w:rPr>
          <w:rFonts w:ascii="Times New Roman" w:hAnsi="Times New Roman" w:eastAsia="宋体" w:cs="Times New Roman"/>
          <w:sz w:val="20"/>
          <w:szCs w:val="20"/>
        </w:rPr>
        <w:t xml:space="preserve"> OS of ESCORT-1st</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2160270" cy="1593215"/>
            <wp:effectExtent l="0" t="0" r="1905" b="6985"/>
            <wp:docPr id="4" name="图片 4" descr="Supplement Figure 3 Log cumulative hazards plots A OS of ESCORT-1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 Figure 3 Log cumulative hazards plots A OS of ESCORT-1st"/>
                    <pic:cNvPicPr>
                      <a:picLocks noChangeAspect="1"/>
                    </pic:cNvPicPr>
                  </pic:nvPicPr>
                  <pic:blipFill>
                    <a:blip r:embed="rId7"/>
                    <a:stretch>
                      <a:fillRect/>
                    </a:stretch>
                  </pic:blipFill>
                  <pic:spPr>
                    <a:xfrm>
                      <a:off x="0" y="0"/>
                      <a:ext cx="2160270" cy="1593215"/>
                    </a:xfrm>
                    <a:prstGeom prst="rect">
                      <a:avLst/>
                    </a:prstGeom>
                  </pic:spPr>
                </pic:pic>
              </a:graphicData>
            </a:graphic>
          </wp:inline>
        </w:drawing>
      </w:r>
    </w:p>
    <w:p>
      <w:pPr>
        <w:spacing w:line="480" w:lineRule="auto"/>
        <w:jc w:val="left"/>
        <w:rPr>
          <w:rFonts w:ascii="Times New Roman" w:hAnsi="Times New Roman" w:eastAsia="宋体" w:cs="Times New Roman"/>
          <w:sz w:val="16"/>
          <w:szCs w:val="16"/>
        </w:rPr>
      </w:pP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B</w:t>
      </w:r>
      <w:r>
        <w:rPr>
          <w:rFonts w:hint="eastAsia" w:ascii="Times New Roman" w:hAnsi="Times New Roman" w:eastAsia="宋体" w:cs="Times New Roman"/>
          <w:b/>
          <w:bCs/>
          <w:sz w:val="20"/>
          <w:szCs w:val="20"/>
        </w:rPr>
        <w:t>)</w:t>
      </w:r>
      <w:r>
        <w:rPr>
          <w:rFonts w:ascii="Times New Roman" w:hAnsi="Times New Roman" w:eastAsia="宋体" w:cs="Times New Roman"/>
          <w:sz w:val="20"/>
          <w:szCs w:val="20"/>
        </w:rPr>
        <w:t xml:space="preserve"> PFS of ESCORT-1st</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2160270" cy="1593215"/>
            <wp:effectExtent l="0" t="0" r="1905" b="6985"/>
            <wp:docPr id="6" name="图片 6" descr="Supplement Figure 3 Log cumulative hazards plots B PFS of ESCORT-1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upplement Figure 3 Log cumulative hazards plots B PFS of ESCORT-1st"/>
                    <pic:cNvPicPr>
                      <a:picLocks noChangeAspect="1"/>
                    </pic:cNvPicPr>
                  </pic:nvPicPr>
                  <pic:blipFill>
                    <a:blip r:embed="rId8"/>
                    <a:stretch>
                      <a:fillRect/>
                    </a:stretch>
                  </pic:blipFill>
                  <pic:spPr>
                    <a:xfrm>
                      <a:off x="0" y="0"/>
                      <a:ext cx="2160270" cy="1593215"/>
                    </a:xfrm>
                    <a:prstGeom prst="rect">
                      <a:avLst/>
                    </a:prstGeom>
                  </pic:spPr>
                </pic:pic>
              </a:graphicData>
            </a:graphic>
          </wp:inline>
        </w:drawing>
      </w:r>
    </w:p>
    <w:p>
      <w:pPr>
        <w:spacing w:line="480" w:lineRule="auto"/>
        <w:jc w:val="left"/>
        <w:rPr>
          <w:rFonts w:ascii="Times New Roman" w:hAnsi="Times New Roman" w:eastAsia="宋体" w:cs="Times New Roman"/>
          <w:sz w:val="20"/>
          <w:szCs w:val="20"/>
        </w:rPr>
      </w:pP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C</w:t>
      </w:r>
      <w:r>
        <w:rPr>
          <w:rFonts w:hint="eastAsia" w:ascii="Times New Roman" w:hAnsi="Times New Roman" w:eastAsia="宋体" w:cs="Times New Roman"/>
          <w:b/>
          <w:bCs/>
          <w:sz w:val="20"/>
          <w:szCs w:val="20"/>
        </w:rPr>
        <w:t>)</w:t>
      </w:r>
      <w:r>
        <w:rPr>
          <w:rFonts w:ascii="Times New Roman" w:hAnsi="Times New Roman" w:eastAsia="宋体" w:cs="Times New Roman"/>
          <w:sz w:val="20"/>
          <w:szCs w:val="20"/>
        </w:rPr>
        <w:t xml:space="preserve"> OS of CheckMate-648</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2160270" cy="1592580"/>
            <wp:effectExtent l="0" t="0" r="1905" b="7620"/>
            <wp:docPr id="7" name="图片 7" descr="Supplement Figure 3 Log cumulative hazards plots C OS of CheckMate-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upplement Figure 3 Log cumulative hazards plots C OS of CheckMate-648"/>
                    <pic:cNvPicPr>
                      <a:picLocks noChangeAspect="1"/>
                    </pic:cNvPicPr>
                  </pic:nvPicPr>
                  <pic:blipFill>
                    <a:blip r:embed="rId9"/>
                    <a:stretch>
                      <a:fillRect/>
                    </a:stretch>
                  </pic:blipFill>
                  <pic:spPr>
                    <a:xfrm>
                      <a:off x="0" y="0"/>
                      <a:ext cx="2160270" cy="1592580"/>
                    </a:xfrm>
                    <a:prstGeom prst="rect">
                      <a:avLst/>
                    </a:prstGeom>
                  </pic:spPr>
                </pic:pic>
              </a:graphicData>
            </a:graphic>
          </wp:inline>
        </w:drawing>
      </w:r>
    </w:p>
    <w:p>
      <w:pPr>
        <w:spacing w:line="480" w:lineRule="auto"/>
        <w:jc w:val="left"/>
        <w:rPr>
          <w:rFonts w:ascii="Times New Roman" w:hAnsi="Times New Roman" w:eastAsia="宋体" w:cs="Times New Roman"/>
          <w:sz w:val="16"/>
          <w:szCs w:val="16"/>
        </w:rPr>
      </w:pP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D</w:t>
      </w:r>
      <w:r>
        <w:rPr>
          <w:rFonts w:hint="eastAsia" w:ascii="Times New Roman" w:hAnsi="Times New Roman" w:eastAsia="宋体" w:cs="Times New Roman"/>
          <w:b/>
          <w:bCs/>
          <w:sz w:val="20"/>
          <w:szCs w:val="20"/>
        </w:rPr>
        <w:t>)</w:t>
      </w:r>
      <w:r>
        <w:rPr>
          <w:rFonts w:ascii="Times New Roman" w:hAnsi="Times New Roman" w:eastAsia="宋体" w:cs="Times New Roman"/>
          <w:sz w:val="20"/>
          <w:szCs w:val="20"/>
        </w:rPr>
        <w:t xml:space="preserve"> PFS of CheckMate-648</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2160270" cy="1592580"/>
            <wp:effectExtent l="0" t="0" r="1905" b="7620"/>
            <wp:docPr id="8" name="图片 8" descr="Supplement Figure 3 Log cumulative hazards plots D PFS of CheckMate-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upplement Figure 3 Log cumulative hazards plots D PFS of CheckMate-648"/>
                    <pic:cNvPicPr>
                      <a:picLocks noChangeAspect="1"/>
                    </pic:cNvPicPr>
                  </pic:nvPicPr>
                  <pic:blipFill>
                    <a:blip r:embed="rId10"/>
                    <a:stretch>
                      <a:fillRect/>
                    </a:stretch>
                  </pic:blipFill>
                  <pic:spPr>
                    <a:xfrm>
                      <a:off x="0" y="0"/>
                      <a:ext cx="2160270" cy="1592580"/>
                    </a:xfrm>
                    <a:prstGeom prst="rect">
                      <a:avLst/>
                    </a:prstGeom>
                  </pic:spPr>
                </pic:pic>
              </a:graphicData>
            </a:graphic>
          </wp:inline>
        </w:drawing>
      </w:r>
    </w:p>
    <w:p>
      <w:pPr>
        <w:spacing w:line="480" w:lineRule="auto"/>
        <w:jc w:val="left"/>
        <w:rPr>
          <w:rFonts w:ascii="Times New Roman" w:hAnsi="Times New Roman" w:eastAsia="宋体" w:cs="Times New Roman"/>
          <w:sz w:val="16"/>
          <w:szCs w:val="16"/>
        </w:rPr>
      </w:pP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E</w:t>
      </w:r>
      <w:r>
        <w:rPr>
          <w:rFonts w:hint="eastAsia" w:ascii="Times New Roman" w:hAnsi="Times New Roman" w:eastAsia="宋体" w:cs="Times New Roman"/>
          <w:b/>
          <w:bCs/>
          <w:sz w:val="20"/>
          <w:szCs w:val="20"/>
        </w:rPr>
        <w:t>)</w:t>
      </w:r>
      <w:r>
        <w:rPr>
          <w:rFonts w:ascii="Times New Roman" w:hAnsi="Times New Roman" w:eastAsia="宋体" w:cs="Times New Roman"/>
          <w:sz w:val="20"/>
          <w:szCs w:val="20"/>
        </w:rPr>
        <w:t xml:space="preserve"> OS of KEYNOTE-590</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2160270" cy="1592580"/>
            <wp:effectExtent l="0" t="0" r="1905" b="7620"/>
            <wp:docPr id="9" name="图片 9" descr="Supplement Figure 3 Log cumulative hazards plots E OS of KEYNOTE-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upplement Figure 3 Log cumulative hazards plots E OS of KEYNOTE-590"/>
                    <pic:cNvPicPr>
                      <a:picLocks noChangeAspect="1"/>
                    </pic:cNvPicPr>
                  </pic:nvPicPr>
                  <pic:blipFill>
                    <a:blip r:embed="rId11"/>
                    <a:stretch>
                      <a:fillRect/>
                    </a:stretch>
                  </pic:blipFill>
                  <pic:spPr>
                    <a:xfrm>
                      <a:off x="0" y="0"/>
                      <a:ext cx="2160270" cy="1592580"/>
                    </a:xfrm>
                    <a:prstGeom prst="rect">
                      <a:avLst/>
                    </a:prstGeom>
                  </pic:spPr>
                </pic:pic>
              </a:graphicData>
            </a:graphic>
          </wp:inline>
        </w:drawing>
      </w:r>
    </w:p>
    <w:p>
      <w:pPr>
        <w:spacing w:line="480" w:lineRule="auto"/>
        <w:jc w:val="left"/>
        <w:rPr>
          <w:rFonts w:ascii="Times New Roman" w:hAnsi="Times New Roman" w:eastAsia="宋体" w:cs="Times New Roman"/>
          <w:sz w:val="20"/>
          <w:szCs w:val="20"/>
        </w:rPr>
      </w:pP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F</w:t>
      </w: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 xml:space="preserve"> </w:t>
      </w:r>
      <w:r>
        <w:rPr>
          <w:rFonts w:ascii="Times New Roman" w:hAnsi="Times New Roman" w:eastAsia="宋体" w:cs="Times New Roman"/>
          <w:sz w:val="20"/>
          <w:szCs w:val="20"/>
        </w:rPr>
        <w:t>PFS of KEYNOTE-590</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2195830" cy="1618615"/>
            <wp:effectExtent l="0" t="0" r="4445" b="635"/>
            <wp:docPr id="10" name="图片 10" descr="Supplement Figure 3 Log cumulative hazards plots F PFS of KEYNOTE-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upplement Figure 3 Log cumulative hazards plots F PFS of KEYNOTE-590"/>
                    <pic:cNvPicPr>
                      <a:picLocks noChangeAspect="1"/>
                    </pic:cNvPicPr>
                  </pic:nvPicPr>
                  <pic:blipFill>
                    <a:blip r:embed="rId12"/>
                    <a:stretch>
                      <a:fillRect/>
                    </a:stretch>
                  </pic:blipFill>
                  <pic:spPr>
                    <a:xfrm>
                      <a:off x="0" y="0"/>
                      <a:ext cx="2195830" cy="1618615"/>
                    </a:xfrm>
                    <a:prstGeom prst="rect">
                      <a:avLst/>
                    </a:prstGeom>
                  </pic:spPr>
                </pic:pic>
              </a:graphicData>
            </a:graphic>
          </wp:inline>
        </w:drawing>
      </w:r>
    </w:p>
    <w:p>
      <w:pPr>
        <w:spacing w:line="480" w:lineRule="auto"/>
        <w:jc w:val="left"/>
        <w:rPr>
          <w:rFonts w:ascii="Times New Roman" w:hAnsi="Times New Roman" w:eastAsia="宋体" w:cs="Times New Roman"/>
          <w:sz w:val="20"/>
          <w:szCs w:val="20"/>
        </w:rPr>
      </w:pP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G</w:t>
      </w:r>
      <w:r>
        <w:rPr>
          <w:rFonts w:hint="eastAsia" w:ascii="Times New Roman" w:hAnsi="Times New Roman" w:eastAsia="宋体" w:cs="Times New Roman"/>
          <w:b/>
          <w:bCs/>
          <w:sz w:val="20"/>
          <w:szCs w:val="20"/>
        </w:rPr>
        <w:t>)</w:t>
      </w:r>
      <w:r>
        <w:rPr>
          <w:rFonts w:ascii="Times New Roman" w:hAnsi="Times New Roman" w:eastAsia="宋体" w:cs="Times New Roman"/>
          <w:sz w:val="20"/>
          <w:szCs w:val="20"/>
        </w:rPr>
        <w:t xml:space="preserve"> OS of ASTRUM-007</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2160270" cy="1592580"/>
            <wp:effectExtent l="0" t="0" r="1905" b="7620"/>
            <wp:docPr id="11" name="图片 11" descr="Supplement Figure 3 Log cumulative hazards plots G OS of ASTRUM-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upplement Figure 3 Log cumulative hazards plots G OS of ASTRUM-007"/>
                    <pic:cNvPicPr>
                      <a:picLocks noChangeAspect="1"/>
                    </pic:cNvPicPr>
                  </pic:nvPicPr>
                  <pic:blipFill>
                    <a:blip r:embed="rId11"/>
                    <a:stretch>
                      <a:fillRect/>
                    </a:stretch>
                  </pic:blipFill>
                  <pic:spPr>
                    <a:xfrm>
                      <a:off x="0" y="0"/>
                      <a:ext cx="2160270" cy="1592580"/>
                    </a:xfrm>
                    <a:prstGeom prst="rect">
                      <a:avLst/>
                    </a:prstGeom>
                  </pic:spPr>
                </pic:pic>
              </a:graphicData>
            </a:graphic>
          </wp:inline>
        </w:drawing>
      </w:r>
    </w:p>
    <w:p>
      <w:pPr>
        <w:spacing w:line="480" w:lineRule="auto"/>
        <w:jc w:val="left"/>
        <w:rPr>
          <w:rFonts w:ascii="Times New Roman" w:hAnsi="Times New Roman" w:eastAsia="宋体" w:cs="Times New Roman"/>
          <w:sz w:val="20"/>
          <w:szCs w:val="20"/>
        </w:rPr>
      </w:pP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H</w:t>
      </w:r>
      <w:r>
        <w:rPr>
          <w:rFonts w:hint="eastAsia" w:ascii="Times New Roman" w:hAnsi="Times New Roman" w:eastAsia="宋体" w:cs="Times New Roman"/>
          <w:b/>
          <w:bCs/>
          <w:sz w:val="20"/>
          <w:szCs w:val="20"/>
        </w:rPr>
        <w:t>)</w:t>
      </w:r>
      <w:r>
        <w:rPr>
          <w:rFonts w:ascii="Times New Roman" w:hAnsi="Times New Roman" w:eastAsia="宋体" w:cs="Times New Roman"/>
          <w:sz w:val="20"/>
          <w:szCs w:val="20"/>
        </w:rPr>
        <w:t xml:space="preserve"> PFS of ASTRUM-007</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2160270" cy="1592580"/>
            <wp:effectExtent l="0" t="0" r="1905" b="7620"/>
            <wp:docPr id="12" name="图片 12" descr="Supplement Figure 3 Log cumulative hazards plots H PFS of ASTRUM-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upplement Figure 3 Log cumulative hazards plots H PFS of ASTRUM-007"/>
                    <pic:cNvPicPr>
                      <a:picLocks noChangeAspect="1"/>
                    </pic:cNvPicPr>
                  </pic:nvPicPr>
                  <pic:blipFill>
                    <a:blip r:embed="rId13"/>
                    <a:stretch>
                      <a:fillRect/>
                    </a:stretch>
                  </pic:blipFill>
                  <pic:spPr>
                    <a:xfrm>
                      <a:off x="0" y="0"/>
                      <a:ext cx="2160270" cy="1592580"/>
                    </a:xfrm>
                    <a:prstGeom prst="rect">
                      <a:avLst/>
                    </a:prstGeom>
                  </pic:spPr>
                </pic:pic>
              </a:graphicData>
            </a:graphic>
          </wp:inline>
        </w:drawing>
      </w:r>
    </w:p>
    <w:p>
      <w:pPr>
        <w:spacing w:line="480" w:lineRule="auto"/>
        <w:jc w:val="left"/>
        <w:rPr>
          <w:rFonts w:ascii="Times New Roman" w:hAnsi="Times New Roman" w:eastAsia="宋体" w:cs="Times New Roman"/>
          <w:sz w:val="20"/>
          <w:szCs w:val="20"/>
        </w:rPr>
      </w:pP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I</w:t>
      </w:r>
      <w:r>
        <w:rPr>
          <w:rFonts w:hint="eastAsia" w:ascii="Times New Roman" w:hAnsi="Times New Roman" w:eastAsia="宋体" w:cs="Times New Roman"/>
          <w:b/>
          <w:bCs/>
          <w:sz w:val="20"/>
          <w:szCs w:val="20"/>
        </w:rPr>
        <w:t>)</w:t>
      </w:r>
      <w:r>
        <w:rPr>
          <w:rFonts w:ascii="Times New Roman" w:hAnsi="Times New Roman" w:eastAsia="宋体" w:cs="Times New Roman"/>
          <w:sz w:val="20"/>
          <w:szCs w:val="20"/>
        </w:rPr>
        <w:t xml:space="preserve"> OS of ORIENT-15</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2160270" cy="1592580"/>
            <wp:effectExtent l="0" t="0" r="1905" b="7620"/>
            <wp:docPr id="13" name="图片 13" descr="Supplement Figure 3 Log cumulative hazards plots I OS of ORIEN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upplement Figure 3 Log cumulative hazards plots I OS of ORIENT-15"/>
                    <pic:cNvPicPr>
                      <a:picLocks noChangeAspect="1"/>
                    </pic:cNvPicPr>
                  </pic:nvPicPr>
                  <pic:blipFill>
                    <a:blip r:embed="rId14"/>
                    <a:stretch>
                      <a:fillRect/>
                    </a:stretch>
                  </pic:blipFill>
                  <pic:spPr>
                    <a:xfrm>
                      <a:off x="0" y="0"/>
                      <a:ext cx="2160270" cy="1592580"/>
                    </a:xfrm>
                    <a:prstGeom prst="rect">
                      <a:avLst/>
                    </a:prstGeom>
                  </pic:spPr>
                </pic:pic>
              </a:graphicData>
            </a:graphic>
          </wp:inline>
        </w:drawing>
      </w:r>
    </w:p>
    <w:p>
      <w:pPr>
        <w:spacing w:line="480" w:lineRule="auto"/>
        <w:jc w:val="left"/>
        <w:rPr>
          <w:rFonts w:ascii="Times New Roman" w:hAnsi="Times New Roman" w:eastAsia="宋体" w:cs="Times New Roman"/>
          <w:sz w:val="20"/>
          <w:szCs w:val="20"/>
        </w:rPr>
      </w:pP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J</w:t>
      </w: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 xml:space="preserve"> </w:t>
      </w:r>
      <w:r>
        <w:rPr>
          <w:rFonts w:ascii="Times New Roman" w:hAnsi="Times New Roman" w:eastAsia="宋体" w:cs="Times New Roman"/>
          <w:sz w:val="20"/>
          <w:szCs w:val="20"/>
        </w:rPr>
        <w:t>PFS of ORIENT-15</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2160270" cy="1592580"/>
            <wp:effectExtent l="0" t="0" r="1905" b="7620"/>
            <wp:docPr id="14" name="图片 14" descr="Supplement Figure 3 Log cumulative hazards plots J PFS of ORIEN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upplement Figure 3 Log cumulative hazards plots J PFS of ORIENT-15"/>
                    <pic:cNvPicPr>
                      <a:picLocks noChangeAspect="1"/>
                    </pic:cNvPicPr>
                  </pic:nvPicPr>
                  <pic:blipFill>
                    <a:blip r:embed="rId15"/>
                    <a:stretch>
                      <a:fillRect/>
                    </a:stretch>
                  </pic:blipFill>
                  <pic:spPr>
                    <a:xfrm>
                      <a:off x="0" y="0"/>
                      <a:ext cx="2160270" cy="1592580"/>
                    </a:xfrm>
                    <a:prstGeom prst="rect">
                      <a:avLst/>
                    </a:prstGeom>
                  </pic:spPr>
                </pic:pic>
              </a:graphicData>
            </a:graphic>
          </wp:inline>
        </w:drawing>
      </w:r>
    </w:p>
    <w:p>
      <w:pPr>
        <w:spacing w:line="480" w:lineRule="auto"/>
        <w:jc w:val="left"/>
        <w:rPr>
          <w:rFonts w:ascii="Times New Roman" w:hAnsi="Times New Roman" w:eastAsia="宋体" w:cs="Times New Roman"/>
          <w:sz w:val="20"/>
          <w:szCs w:val="20"/>
        </w:rPr>
      </w:pP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K</w:t>
      </w:r>
      <w:r>
        <w:rPr>
          <w:rFonts w:hint="eastAsia" w:ascii="Times New Roman" w:hAnsi="Times New Roman" w:eastAsia="宋体" w:cs="Times New Roman"/>
          <w:b/>
          <w:bCs/>
          <w:sz w:val="20"/>
          <w:szCs w:val="20"/>
        </w:rPr>
        <w:t>)</w:t>
      </w:r>
      <w:r>
        <w:rPr>
          <w:rFonts w:ascii="Times New Roman" w:hAnsi="Times New Roman" w:eastAsia="宋体" w:cs="Times New Roman"/>
          <w:b/>
          <w:bCs/>
          <w:sz w:val="20"/>
          <w:szCs w:val="20"/>
        </w:rPr>
        <w:t xml:space="preserve"> </w:t>
      </w:r>
      <w:r>
        <w:rPr>
          <w:rFonts w:ascii="Times New Roman" w:hAnsi="Times New Roman" w:eastAsia="宋体" w:cs="Times New Roman"/>
          <w:sz w:val="20"/>
          <w:szCs w:val="20"/>
        </w:rPr>
        <w:t>OS of RATIONALE-306</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2160270" cy="1592580"/>
            <wp:effectExtent l="0" t="0" r="1905" b="7620"/>
            <wp:docPr id="15" name="图片 15" descr="Supplement Figure 3 Log cumulative hazards plots K OS of RATIONALE-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upplement Figure 3 Log cumulative hazards plots K OS of RATIONALE-306"/>
                    <pic:cNvPicPr>
                      <a:picLocks noChangeAspect="1"/>
                    </pic:cNvPicPr>
                  </pic:nvPicPr>
                  <pic:blipFill>
                    <a:blip r:embed="rId16"/>
                    <a:stretch>
                      <a:fillRect/>
                    </a:stretch>
                  </pic:blipFill>
                  <pic:spPr>
                    <a:xfrm>
                      <a:off x="0" y="0"/>
                      <a:ext cx="2160270" cy="1592580"/>
                    </a:xfrm>
                    <a:prstGeom prst="rect">
                      <a:avLst/>
                    </a:prstGeom>
                  </pic:spPr>
                </pic:pic>
              </a:graphicData>
            </a:graphic>
          </wp:inline>
        </w:drawing>
      </w:r>
    </w:p>
    <w:p>
      <w:pPr>
        <w:spacing w:line="480" w:lineRule="auto"/>
        <w:jc w:val="left"/>
        <w:rPr>
          <w:rFonts w:hint="default" w:ascii="Times New Roman" w:hAnsi="Times New Roman" w:eastAsia="宋体" w:cs="Times New Roman"/>
          <w:sz w:val="20"/>
          <w:szCs w:val="20"/>
        </w:rPr>
      </w:pPr>
      <w:r>
        <w:rPr>
          <w:rFonts w:hint="default" w:ascii="Times New Roman" w:hAnsi="Times New Roman" w:eastAsia="宋体" w:cs="Times New Roman"/>
          <w:b/>
          <w:bCs/>
          <w:sz w:val="20"/>
          <w:szCs w:val="20"/>
        </w:rPr>
        <w:t>(L)</w:t>
      </w:r>
      <w:r>
        <w:rPr>
          <w:rFonts w:hint="default" w:ascii="Times New Roman" w:hAnsi="Times New Roman" w:eastAsia="宋体" w:cs="Times New Roman"/>
          <w:sz w:val="20"/>
          <w:szCs w:val="20"/>
        </w:rPr>
        <w:t xml:space="preserve"> PFS of RATIONALE-306</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2160270" cy="1592580"/>
            <wp:effectExtent l="0" t="0" r="1905" b="7620"/>
            <wp:docPr id="16" name="图片 16" descr="Supplement Figure 3 Log cumulative hazards plots L PFS of RATIONALE-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Supplement Figure 3 Log cumulative hazards plots L PFS of RATIONALE-306"/>
                    <pic:cNvPicPr>
                      <a:picLocks noChangeAspect="1"/>
                    </pic:cNvPicPr>
                  </pic:nvPicPr>
                  <pic:blipFill>
                    <a:blip r:embed="rId17"/>
                    <a:stretch>
                      <a:fillRect/>
                    </a:stretch>
                  </pic:blipFill>
                  <pic:spPr>
                    <a:xfrm>
                      <a:off x="0" y="0"/>
                      <a:ext cx="2160270" cy="1592580"/>
                    </a:xfrm>
                    <a:prstGeom prst="rect">
                      <a:avLst/>
                    </a:prstGeom>
                  </pic:spPr>
                </pic:pic>
              </a:graphicData>
            </a:graphic>
          </wp:inline>
        </w:drawing>
      </w:r>
    </w:p>
    <w:p>
      <w:pPr>
        <w:spacing w:line="480" w:lineRule="auto"/>
        <w:jc w:val="left"/>
        <w:rPr>
          <w:rFonts w:hint="default" w:ascii="Times New Roman" w:hAnsi="Times New Roman" w:eastAsia="宋体" w:cs="Times New Roman"/>
          <w:sz w:val="20"/>
          <w:szCs w:val="20"/>
        </w:rPr>
      </w:pPr>
      <w:r>
        <w:rPr>
          <w:rFonts w:hint="default" w:ascii="Times New Roman" w:hAnsi="Times New Roman" w:eastAsia="宋体" w:cs="Times New Roman"/>
          <w:b/>
          <w:bCs/>
          <w:sz w:val="20"/>
          <w:szCs w:val="20"/>
        </w:rPr>
        <w:t>(M)</w:t>
      </w:r>
      <w:r>
        <w:rPr>
          <w:rFonts w:hint="default" w:ascii="Times New Roman" w:hAnsi="Times New Roman" w:eastAsia="宋体" w:cs="Times New Roman"/>
          <w:sz w:val="20"/>
          <w:szCs w:val="20"/>
        </w:rPr>
        <w:t xml:space="preserve"> OS of JUPITER-06</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2160270" cy="1592580"/>
            <wp:effectExtent l="0" t="0" r="1905" b="7620"/>
            <wp:docPr id="17" name="图片 17" descr="Supplement Figure 3 Log cumulative hazards plots M OS of JUPIT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Supplement Figure 3 Log cumulative hazards plots M OS of JUPITER-06"/>
                    <pic:cNvPicPr>
                      <a:picLocks noChangeAspect="1"/>
                    </pic:cNvPicPr>
                  </pic:nvPicPr>
                  <pic:blipFill>
                    <a:blip r:embed="rId18"/>
                    <a:stretch>
                      <a:fillRect/>
                    </a:stretch>
                  </pic:blipFill>
                  <pic:spPr>
                    <a:xfrm>
                      <a:off x="0" y="0"/>
                      <a:ext cx="2160270" cy="1592580"/>
                    </a:xfrm>
                    <a:prstGeom prst="rect">
                      <a:avLst/>
                    </a:prstGeom>
                  </pic:spPr>
                </pic:pic>
              </a:graphicData>
            </a:graphic>
          </wp:inline>
        </w:drawing>
      </w:r>
    </w:p>
    <w:p>
      <w:pPr>
        <w:spacing w:line="480" w:lineRule="auto"/>
        <w:jc w:val="left"/>
        <w:rPr>
          <w:rFonts w:hint="default" w:ascii="Times New Roman" w:hAnsi="Times New Roman" w:eastAsia="宋体" w:cs="Times New Roman"/>
          <w:sz w:val="20"/>
          <w:szCs w:val="20"/>
        </w:rPr>
      </w:pPr>
      <w:r>
        <w:rPr>
          <w:rFonts w:hint="default" w:ascii="Times New Roman" w:hAnsi="Times New Roman" w:eastAsia="宋体" w:cs="Times New Roman"/>
          <w:b/>
          <w:bCs/>
          <w:sz w:val="20"/>
          <w:szCs w:val="20"/>
        </w:rPr>
        <w:t>(N)</w:t>
      </w:r>
      <w:r>
        <w:rPr>
          <w:rFonts w:hint="default" w:ascii="Times New Roman" w:hAnsi="Times New Roman" w:eastAsia="宋体" w:cs="Times New Roman"/>
          <w:sz w:val="20"/>
          <w:szCs w:val="20"/>
        </w:rPr>
        <w:t xml:space="preserve"> PFS of JUPITER-06</w:t>
      </w:r>
    </w:p>
    <w:p>
      <w:pPr>
        <w:jc w:val="center"/>
        <w:rPr>
          <w:rFonts w:ascii="Times New Roman" w:hAnsi="Times New Roman" w:eastAsia="宋体" w:cs="Times New Roman"/>
          <w:sz w:val="16"/>
          <w:szCs w:val="16"/>
        </w:rPr>
      </w:pPr>
      <w:r>
        <w:rPr>
          <w:rFonts w:ascii="Times New Roman" w:hAnsi="Times New Roman" w:eastAsia="宋体" w:cs="Times New Roman"/>
          <w:sz w:val="16"/>
          <w:szCs w:val="16"/>
        </w:rPr>
        <w:drawing>
          <wp:inline distT="0" distB="0" distL="114300" distR="114300">
            <wp:extent cx="2160270" cy="1592580"/>
            <wp:effectExtent l="0" t="0" r="1905" b="7620"/>
            <wp:docPr id="18" name="图片 18" descr="Supplement Figure 3 Log cumulative hazards plots N PFS of JUPIT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Supplement Figure 3 Log cumulative hazards plots N PFS of JUPITER-06"/>
                    <pic:cNvPicPr>
                      <a:picLocks noChangeAspect="1"/>
                    </pic:cNvPicPr>
                  </pic:nvPicPr>
                  <pic:blipFill>
                    <a:blip r:embed="rId19"/>
                    <a:stretch>
                      <a:fillRect/>
                    </a:stretch>
                  </pic:blipFill>
                  <pic:spPr>
                    <a:xfrm>
                      <a:off x="0" y="0"/>
                      <a:ext cx="2160270" cy="1592580"/>
                    </a:xfrm>
                    <a:prstGeom prst="rect">
                      <a:avLst/>
                    </a:prstGeom>
                  </pic:spPr>
                </pic:pic>
              </a:graphicData>
            </a:graphic>
          </wp:inline>
        </w:drawing>
      </w:r>
    </w:p>
    <w:p>
      <w:pPr>
        <w:spacing w:line="480" w:lineRule="auto"/>
        <w:jc w:val="left"/>
        <w:rPr>
          <w:rFonts w:ascii="Times New Roman" w:hAnsi="Times New Roman" w:eastAsia="宋体" w:cs="Times New Roman"/>
          <w:sz w:val="16"/>
          <w:szCs w:val="16"/>
        </w:rPr>
      </w:pPr>
      <w:r>
        <w:rPr>
          <w:rFonts w:ascii="Times New Roman" w:hAnsi="Times New Roman" w:cs="Times New Roman"/>
          <w:sz w:val="16"/>
          <w:szCs w:val="16"/>
        </w:rPr>
        <w:t>OS: Overall survival; PFS: Progression-free survival.</w:t>
      </w:r>
    </w:p>
    <w:p>
      <w:pPr>
        <w:spacing w:line="480" w:lineRule="auto"/>
        <w:jc w:val="left"/>
        <w:rPr>
          <w:rFonts w:hint="default" w:ascii="Times New Roman" w:hAnsi="Times New Roman" w:eastAsia="宋体" w:cs="Times New Roman"/>
          <w:sz w:val="20"/>
          <w:szCs w:val="20"/>
        </w:rPr>
      </w:pPr>
    </w:p>
    <w:p>
      <w:pPr>
        <w:spacing w:line="480" w:lineRule="auto"/>
        <w:jc w:val="left"/>
        <w:rPr>
          <w:rFonts w:ascii="Times New Roman" w:hAnsi="Times New Roman" w:cs="Times New Roman"/>
          <w:sz w:val="20"/>
          <w:szCs w:val="20"/>
        </w:rPr>
      </w:pPr>
      <w:r>
        <w:rPr>
          <w:rFonts w:ascii="Times New Roman" w:hAnsi="Times New Roman" w:cs="Times New Roman"/>
          <w:b/>
          <w:bCs/>
          <w:sz w:val="20"/>
          <w:szCs w:val="20"/>
        </w:rPr>
        <w:t>Fig</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w:t>
      </w:r>
      <w:r>
        <w:rPr>
          <w:rFonts w:hint="eastAsia" w:ascii="Times New Roman" w:hAnsi="Times New Roman" w:cs="Times New Roman"/>
          <w:b/>
          <w:bCs/>
          <w:sz w:val="20"/>
          <w:szCs w:val="20"/>
          <w:lang w:val="en-US" w:eastAsia="zh-CN"/>
        </w:rPr>
        <w:t>A</w:t>
      </w:r>
      <w:r>
        <w:rPr>
          <w:rFonts w:ascii="Times New Roman" w:hAnsi="Times New Roman" w:cs="Times New Roman"/>
          <w:b/>
          <w:bCs/>
          <w:sz w:val="20"/>
          <w:szCs w:val="20"/>
        </w:rPr>
        <w:t>4</w:t>
      </w:r>
      <w:r>
        <w:rPr>
          <w:rFonts w:ascii="Times New Roman" w:hAnsi="Times New Roman" w:cs="Times New Roman"/>
          <w:sz w:val="20"/>
          <w:szCs w:val="20"/>
        </w:rPr>
        <w:t xml:space="preserve"> Tornado diagram of one-way sensitivity analyses</w:t>
      </w:r>
    </w:p>
    <w:p>
      <w:pPr>
        <w:spacing w:line="480" w:lineRule="auto"/>
        <w:jc w:val="left"/>
        <w:rPr>
          <w:rFonts w:ascii="Times New Roman" w:hAnsi="Times New Roman" w:cs="Times New Roman"/>
          <w:sz w:val="16"/>
          <w:szCs w:val="16"/>
        </w:rPr>
      </w:pPr>
      <w:r>
        <w:rPr>
          <w:rFonts w:hint="eastAsia" w:ascii="Times New Roman" w:hAnsi="Times New Roman" w:cs="Times New Roman"/>
          <w:b/>
          <w:bCs/>
          <w:sz w:val="20"/>
          <w:szCs w:val="20"/>
        </w:rPr>
        <w:t>(</w:t>
      </w:r>
      <w:r>
        <w:rPr>
          <w:rFonts w:ascii="Times New Roman" w:hAnsi="Times New Roman" w:cs="Times New Roman"/>
          <w:b/>
          <w:bCs/>
          <w:sz w:val="20"/>
          <w:szCs w:val="20"/>
        </w:rPr>
        <w:t>A</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w:t>
      </w:r>
      <w:r>
        <w:rPr>
          <w:rFonts w:ascii="Times New Roman" w:hAnsi="Times New Roman" w:cs="Times New Roman"/>
          <w:sz w:val="20"/>
          <w:szCs w:val="20"/>
        </w:rPr>
        <w:t>Camrelizumab plus Chemotherapy</w:t>
      </w:r>
    </w:p>
    <w:p>
      <w:pPr>
        <w:jc w:val="center"/>
        <w:rPr>
          <w:rFonts w:ascii="Times New Roman" w:hAnsi="Times New Roman" w:cs="Times New Roman"/>
          <w:sz w:val="16"/>
          <w:szCs w:val="16"/>
        </w:rPr>
      </w:pPr>
      <w:r>
        <w:rPr>
          <w:rFonts w:ascii="Times New Roman" w:hAnsi="Times New Roman" w:cs="Times New Roman"/>
          <w:sz w:val="16"/>
          <w:szCs w:val="16"/>
        </w:rPr>
        <w:drawing>
          <wp:inline distT="0" distB="0" distL="114300" distR="114300">
            <wp:extent cx="3599815" cy="2249805"/>
            <wp:effectExtent l="0" t="0" r="635" b="7620"/>
            <wp:docPr id="19" name="图片 19" descr="Supplement Figure 4 Tornado diagram of one-way sensitivity analyses A Camrelizu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upplement Figure 4 Tornado diagram of one-way sensitivity analyses A Camrelizumab plus Chemotherapy"/>
                    <pic:cNvPicPr>
                      <a:picLocks noChangeAspect="1"/>
                    </pic:cNvPicPr>
                  </pic:nvPicPr>
                  <pic:blipFill>
                    <a:blip r:embed="rId20"/>
                    <a:stretch>
                      <a:fillRect/>
                    </a:stretch>
                  </pic:blipFill>
                  <pic:spPr>
                    <a:xfrm>
                      <a:off x="0" y="0"/>
                      <a:ext cx="3599815" cy="2249805"/>
                    </a:xfrm>
                    <a:prstGeom prst="rect">
                      <a:avLst/>
                    </a:prstGeom>
                  </pic:spPr>
                </pic:pic>
              </a:graphicData>
            </a:graphic>
          </wp:inline>
        </w:drawing>
      </w:r>
    </w:p>
    <w:p>
      <w:pPr>
        <w:spacing w:line="480" w:lineRule="auto"/>
        <w:jc w:val="left"/>
        <w:rPr>
          <w:rFonts w:ascii="Times New Roman" w:hAnsi="Times New Roman" w:cs="Times New Roman"/>
          <w:b/>
          <w:bCs/>
          <w:sz w:val="20"/>
          <w:szCs w:val="20"/>
        </w:rPr>
      </w:pPr>
      <w:r>
        <w:rPr>
          <w:rFonts w:hint="eastAsia" w:ascii="Times New Roman" w:hAnsi="Times New Roman" w:cs="Times New Roman"/>
          <w:b/>
          <w:bCs/>
          <w:sz w:val="20"/>
          <w:szCs w:val="20"/>
        </w:rPr>
        <w:t>(</w:t>
      </w:r>
      <w:r>
        <w:rPr>
          <w:rFonts w:ascii="Times New Roman" w:hAnsi="Times New Roman" w:cs="Times New Roman"/>
          <w:b/>
          <w:bCs/>
          <w:sz w:val="20"/>
          <w:szCs w:val="20"/>
        </w:rPr>
        <w:t>B</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w:t>
      </w:r>
      <w:r>
        <w:rPr>
          <w:rFonts w:ascii="Times New Roman" w:hAnsi="Times New Roman" w:cs="Times New Roman"/>
          <w:sz w:val="20"/>
          <w:szCs w:val="20"/>
        </w:rPr>
        <w:t>Nivolumab plus Chemotherapy</w:t>
      </w:r>
    </w:p>
    <w:p>
      <w:pPr>
        <w:jc w:val="center"/>
        <w:rPr>
          <w:rFonts w:ascii="Times New Roman" w:hAnsi="Times New Roman" w:cs="Times New Roman"/>
          <w:sz w:val="16"/>
          <w:szCs w:val="16"/>
        </w:rPr>
      </w:pPr>
      <w:r>
        <w:rPr>
          <w:rFonts w:ascii="Times New Roman" w:hAnsi="Times New Roman" w:cs="Times New Roman"/>
          <w:sz w:val="16"/>
          <w:szCs w:val="16"/>
        </w:rPr>
        <w:drawing>
          <wp:inline distT="0" distB="0" distL="114300" distR="114300">
            <wp:extent cx="3599815" cy="2249805"/>
            <wp:effectExtent l="0" t="0" r="635" b="7620"/>
            <wp:docPr id="20" name="图片 20" descr="Supplement Figure 4 Tornado diagram of one-way sensitivity analyses B Nivolu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Supplement Figure 4 Tornado diagram of one-way sensitivity analyses B Nivolumab plus Chemotherapy"/>
                    <pic:cNvPicPr>
                      <a:picLocks noChangeAspect="1"/>
                    </pic:cNvPicPr>
                  </pic:nvPicPr>
                  <pic:blipFill>
                    <a:blip r:embed="rId21"/>
                    <a:stretch>
                      <a:fillRect/>
                    </a:stretch>
                  </pic:blipFill>
                  <pic:spPr>
                    <a:xfrm>
                      <a:off x="0" y="0"/>
                      <a:ext cx="3599815" cy="2249805"/>
                    </a:xfrm>
                    <a:prstGeom prst="rect">
                      <a:avLst/>
                    </a:prstGeom>
                  </pic:spPr>
                </pic:pic>
              </a:graphicData>
            </a:graphic>
          </wp:inline>
        </w:drawing>
      </w:r>
    </w:p>
    <w:p>
      <w:pPr>
        <w:spacing w:line="480" w:lineRule="auto"/>
        <w:jc w:val="left"/>
        <w:rPr>
          <w:rFonts w:ascii="Times New Roman" w:hAnsi="Times New Roman" w:cs="Times New Roman"/>
          <w:sz w:val="20"/>
          <w:szCs w:val="20"/>
        </w:rPr>
      </w:pPr>
      <w:r>
        <w:rPr>
          <w:rFonts w:hint="eastAsia" w:ascii="Times New Roman" w:hAnsi="Times New Roman" w:cs="Times New Roman"/>
          <w:b/>
          <w:bCs/>
          <w:sz w:val="20"/>
          <w:szCs w:val="20"/>
        </w:rPr>
        <w:t>(</w:t>
      </w:r>
      <w:r>
        <w:rPr>
          <w:rFonts w:ascii="Times New Roman" w:hAnsi="Times New Roman" w:cs="Times New Roman"/>
          <w:b/>
          <w:bCs/>
          <w:sz w:val="20"/>
          <w:szCs w:val="20"/>
        </w:rPr>
        <w:t>C</w:t>
      </w:r>
      <w:r>
        <w:rPr>
          <w:rFonts w:hint="eastAsia" w:ascii="Times New Roman" w:hAnsi="Times New Roman" w:cs="Times New Roman"/>
          <w:b/>
          <w:bCs/>
          <w:sz w:val="20"/>
          <w:szCs w:val="20"/>
        </w:rPr>
        <w:t>)</w:t>
      </w:r>
      <w:r>
        <w:rPr>
          <w:rFonts w:ascii="Times New Roman" w:hAnsi="Times New Roman" w:cs="Times New Roman"/>
          <w:sz w:val="20"/>
          <w:szCs w:val="20"/>
        </w:rPr>
        <w:t xml:space="preserve"> Pembrolizumab plus Chemotherapy</w:t>
      </w:r>
    </w:p>
    <w:p>
      <w:pPr>
        <w:jc w:val="center"/>
        <w:rPr>
          <w:rFonts w:ascii="Times New Roman" w:hAnsi="Times New Roman" w:cs="Times New Roman"/>
          <w:sz w:val="16"/>
          <w:szCs w:val="16"/>
        </w:rPr>
      </w:pPr>
      <w:r>
        <w:rPr>
          <w:rFonts w:ascii="Times New Roman" w:hAnsi="Times New Roman" w:cs="Times New Roman"/>
          <w:sz w:val="16"/>
          <w:szCs w:val="16"/>
        </w:rPr>
        <w:drawing>
          <wp:inline distT="0" distB="0" distL="114300" distR="114300">
            <wp:extent cx="3599815" cy="2249805"/>
            <wp:effectExtent l="0" t="0" r="635" b="7620"/>
            <wp:docPr id="21" name="图片 21" descr="Supplement Figure 4 Tornado diagram of one-way sensitivity analyses C Pembrolizu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Supplement Figure 4 Tornado diagram of one-way sensitivity analyses C Pembrolizumab plus Chemotherapy"/>
                    <pic:cNvPicPr>
                      <a:picLocks noChangeAspect="1"/>
                    </pic:cNvPicPr>
                  </pic:nvPicPr>
                  <pic:blipFill>
                    <a:blip r:embed="rId22"/>
                    <a:stretch>
                      <a:fillRect/>
                    </a:stretch>
                  </pic:blipFill>
                  <pic:spPr>
                    <a:xfrm>
                      <a:off x="0" y="0"/>
                      <a:ext cx="3599815" cy="2249805"/>
                    </a:xfrm>
                    <a:prstGeom prst="rect">
                      <a:avLst/>
                    </a:prstGeom>
                  </pic:spPr>
                </pic:pic>
              </a:graphicData>
            </a:graphic>
          </wp:inline>
        </w:drawing>
      </w:r>
    </w:p>
    <w:p>
      <w:pPr>
        <w:spacing w:line="480" w:lineRule="auto"/>
        <w:jc w:val="left"/>
        <w:rPr>
          <w:rFonts w:ascii="Times New Roman" w:hAnsi="Times New Roman" w:cs="Times New Roman"/>
          <w:sz w:val="20"/>
          <w:szCs w:val="20"/>
        </w:rPr>
      </w:pPr>
      <w:r>
        <w:rPr>
          <w:rFonts w:hint="eastAsia" w:ascii="Times New Roman" w:hAnsi="Times New Roman" w:cs="Times New Roman"/>
          <w:b/>
          <w:bCs/>
          <w:sz w:val="20"/>
          <w:szCs w:val="20"/>
        </w:rPr>
        <w:t>(</w:t>
      </w:r>
      <w:r>
        <w:rPr>
          <w:rFonts w:ascii="Times New Roman" w:hAnsi="Times New Roman" w:cs="Times New Roman"/>
          <w:b/>
          <w:bCs/>
          <w:sz w:val="20"/>
          <w:szCs w:val="20"/>
        </w:rPr>
        <w:t>D</w:t>
      </w:r>
      <w:r>
        <w:rPr>
          <w:rFonts w:hint="eastAsia" w:ascii="Times New Roman" w:hAnsi="Times New Roman" w:cs="Times New Roman"/>
          <w:b/>
          <w:bCs/>
          <w:sz w:val="20"/>
          <w:szCs w:val="20"/>
        </w:rPr>
        <w:t>)</w:t>
      </w:r>
      <w:r>
        <w:rPr>
          <w:rFonts w:ascii="Times New Roman" w:hAnsi="Times New Roman" w:cs="Times New Roman"/>
          <w:sz w:val="20"/>
          <w:szCs w:val="20"/>
        </w:rPr>
        <w:t xml:space="preserve"> Serplulimab plus Chemotherapy</w:t>
      </w:r>
    </w:p>
    <w:p>
      <w:pPr>
        <w:spacing w:line="480" w:lineRule="auto"/>
        <w:jc w:val="center"/>
        <w:rPr>
          <w:rFonts w:ascii="Times New Roman" w:hAnsi="Times New Roman" w:cs="Times New Roman"/>
          <w:sz w:val="16"/>
          <w:szCs w:val="16"/>
        </w:rPr>
      </w:pPr>
      <w:r>
        <w:rPr>
          <w:rFonts w:ascii="Times New Roman" w:hAnsi="Times New Roman" w:cs="Times New Roman"/>
          <w:sz w:val="16"/>
          <w:szCs w:val="16"/>
        </w:rPr>
        <w:drawing>
          <wp:inline distT="0" distB="0" distL="114300" distR="114300">
            <wp:extent cx="3599815" cy="2249805"/>
            <wp:effectExtent l="0" t="0" r="635" b="7620"/>
            <wp:docPr id="22" name="图片 22" descr="Supplement Figure 4 Tornado diagram of one-way sensitivity analyses D Serpluli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Supplement Figure 4 Tornado diagram of one-way sensitivity analyses D Serplulimab plus Chemotherapy"/>
                    <pic:cNvPicPr>
                      <a:picLocks noChangeAspect="1"/>
                    </pic:cNvPicPr>
                  </pic:nvPicPr>
                  <pic:blipFill>
                    <a:blip r:embed="rId23"/>
                    <a:stretch>
                      <a:fillRect/>
                    </a:stretch>
                  </pic:blipFill>
                  <pic:spPr>
                    <a:xfrm>
                      <a:off x="0" y="0"/>
                      <a:ext cx="3599815" cy="2249805"/>
                    </a:xfrm>
                    <a:prstGeom prst="rect">
                      <a:avLst/>
                    </a:prstGeom>
                  </pic:spPr>
                </pic:pic>
              </a:graphicData>
            </a:graphic>
          </wp:inline>
        </w:drawing>
      </w:r>
    </w:p>
    <w:p>
      <w:pPr>
        <w:spacing w:line="480" w:lineRule="auto"/>
        <w:jc w:val="left"/>
        <w:rPr>
          <w:rFonts w:ascii="Times New Roman" w:hAnsi="Times New Roman" w:cs="Times New Roman"/>
          <w:sz w:val="20"/>
          <w:szCs w:val="20"/>
        </w:rPr>
      </w:pPr>
      <w:r>
        <w:rPr>
          <w:rFonts w:hint="eastAsia" w:ascii="Times New Roman" w:hAnsi="Times New Roman" w:cs="Times New Roman"/>
          <w:b/>
          <w:bCs/>
          <w:sz w:val="20"/>
          <w:szCs w:val="20"/>
        </w:rPr>
        <w:t>(</w:t>
      </w:r>
      <w:r>
        <w:rPr>
          <w:rFonts w:ascii="Times New Roman" w:hAnsi="Times New Roman" w:cs="Times New Roman"/>
          <w:b/>
          <w:bCs/>
          <w:sz w:val="20"/>
          <w:szCs w:val="20"/>
        </w:rPr>
        <w:t>E</w:t>
      </w:r>
      <w:r>
        <w:rPr>
          <w:rFonts w:hint="eastAsia" w:ascii="Times New Roman" w:hAnsi="Times New Roman" w:cs="Times New Roman"/>
          <w:b/>
          <w:bCs/>
          <w:sz w:val="20"/>
          <w:szCs w:val="20"/>
        </w:rPr>
        <w:t>)</w:t>
      </w:r>
      <w:r>
        <w:rPr>
          <w:rFonts w:ascii="Times New Roman" w:hAnsi="Times New Roman" w:cs="Times New Roman"/>
          <w:sz w:val="20"/>
          <w:szCs w:val="20"/>
        </w:rPr>
        <w:t xml:space="preserve"> Sintilimab plus Chemotherapy</w:t>
      </w:r>
    </w:p>
    <w:p>
      <w:pPr>
        <w:spacing w:line="480" w:lineRule="auto"/>
        <w:jc w:val="center"/>
        <w:rPr>
          <w:rFonts w:ascii="Times New Roman" w:hAnsi="Times New Roman" w:cs="Times New Roman"/>
          <w:sz w:val="16"/>
          <w:szCs w:val="16"/>
        </w:rPr>
      </w:pPr>
      <w:r>
        <w:rPr>
          <w:rFonts w:ascii="Times New Roman" w:hAnsi="Times New Roman" w:cs="Times New Roman"/>
          <w:sz w:val="16"/>
          <w:szCs w:val="16"/>
        </w:rPr>
        <w:drawing>
          <wp:inline distT="0" distB="0" distL="114300" distR="114300">
            <wp:extent cx="3599815" cy="2249805"/>
            <wp:effectExtent l="0" t="0" r="635" b="7620"/>
            <wp:docPr id="23" name="图片 23" descr="Supplement Figure 4 Tornado diagram of one-way sensitivity analyses E Sintili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Supplement Figure 4 Tornado diagram of one-way sensitivity analyses E Sintilimab plus Chemotherapy"/>
                    <pic:cNvPicPr>
                      <a:picLocks noChangeAspect="1"/>
                    </pic:cNvPicPr>
                  </pic:nvPicPr>
                  <pic:blipFill>
                    <a:blip r:embed="rId24"/>
                    <a:stretch>
                      <a:fillRect/>
                    </a:stretch>
                  </pic:blipFill>
                  <pic:spPr>
                    <a:xfrm>
                      <a:off x="0" y="0"/>
                      <a:ext cx="3599815" cy="2249805"/>
                    </a:xfrm>
                    <a:prstGeom prst="rect">
                      <a:avLst/>
                    </a:prstGeom>
                  </pic:spPr>
                </pic:pic>
              </a:graphicData>
            </a:graphic>
          </wp:inline>
        </w:drawing>
      </w:r>
    </w:p>
    <w:p>
      <w:pPr>
        <w:spacing w:line="480" w:lineRule="auto"/>
        <w:jc w:val="left"/>
        <w:rPr>
          <w:rFonts w:ascii="Times New Roman" w:hAnsi="Times New Roman" w:cs="Times New Roman"/>
          <w:sz w:val="20"/>
          <w:szCs w:val="20"/>
        </w:rPr>
      </w:pPr>
      <w:r>
        <w:rPr>
          <w:rFonts w:hint="eastAsia" w:ascii="Times New Roman" w:hAnsi="Times New Roman" w:cs="Times New Roman"/>
          <w:b/>
          <w:bCs/>
          <w:sz w:val="20"/>
          <w:szCs w:val="20"/>
        </w:rPr>
        <w:t>(</w:t>
      </w:r>
      <w:r>
        <w:rPr>
          <w:rFonts w:ascii="Times New Roman" w:hAnsi="Times New Roman" w:cs="Times New Roman"/>
          <w:b/>
          <w:bCs/>
          <w:sz w:val="20"/>
          <w:szCs w:val="20"/>
        </w:rPr>
        <w:t>F</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w:t>
      </w:r>
      <w:r>
        <w:rPr>
          <w:rFonts w:ascii="Times New Roman" w:hAnsi="Times New Roman" w:cs="Times New Roman"/>
          <w:sz w:val="20"/>
          <w:szCs w:val="20"/>
        </w:rPr>
        <w:t>Tislelizumab plus Chemotherapy</w:t>
      </w:r>
    </w:p>
    <w:p>
      <w:pPr>
        <w:spacing w:line="480" w:lineRule="auto"/>
        <w:jc w:val="center"/>
        <w:rPr>
          <w:rFonts w:ascii="Times New Roman" w:hAnsi="Times New Roman" w:cs="Times New Roman"/>
          <w:sz w:val="16"/>
          <w:szCs w:val="16"/>
        </w:rPr>
      </w:pPr>
      <w:r>
        <w:rPr>
          <w:rFonts w:ascii="Times New Roman" w:hAnsi="Times New Roman" w:cs="Times New Roman"/>
          <w:sz w:val="16"/>
          <w:szCs w:val="16"/>
        </w:rPr>
        <w:drawing>
          <wp:inline distT="0" distB="0" distL="114300" distR="114300">
            <wp:extent cx="3599815" cy="2249805"/>
            <wp:effectExtent l="0" t="0" r="635" b="7620"/>
            <wp:docPr id="25" name="图片 25" descr="Supplement Figure 4 Tornado diagram of one-way sensitivity analyses F Tislelizu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Supplement Figure 4 Tornado diagram of one-way sensitivity analyses F Tislelizumab plus Chemotherapy"/>
                    <pic:cNvPicPr>
                      <a:picLocks noChangeAspect="1"/>
                    </pic:cNvPicPr>
                  </pic:nvPicPr>
                  <pic:blipFill>
                    <a:blip r:embed="rId25"/>
                    <a:stretch>
                      <a:fillRect/>
                    </a:stretch>
                  </pic:blipFill>
                  <pic:spPr>
                    <a:xfrm>
                      <a:off x="0" y="0"/>
                      <a:ext cx="3599815" cy="2249805"/>
                    </a:xfrm>
                    <a:prstGeom prst="rect">
                      <a:avLst/>
                    </a:prstGeom>
                  </pic:spPr>
                </pic:pic>
              </a:graphicData>
            </a:graphic>
          </wp:inline>
        </w:drawing>
      </w:r>
    </w:p>
    <w:p>
      <w:pPr>
        <w:spacing w:line="480" w:lineRule="auto"/>
        <w:jc w:val="left"/>
        <w:rPr>
          <w:rFonts w:ascii="Times New Roman" w:hAnsi="Times New Roman" w:cs="Times New Roman"/>
          <w:sz w:val="20"/>
          <w:szCs w:val="20"/>
        </w:rPr>
      </w:pPr>
      <w:r>
        <w:rPr>
          <w:rFonts w:hint="eastAsia" w:ascii="Times New Roman" w:hAnsi="Times New Roman" w:cs="Times New Roman"/>
          <w:b/>
          <w:bCs/>
          <w:sz w:val="20"/>
          <w:szCs w:val="20"/>
        </w:rPr>
        <w:t>(</w:t>
      </w:r>
      <w:r>
        <w:rPr>
          <w:rFonts w:ascii="Times New Roman" w:hAnsi="Times New Roman" w:cs="Times New Roman"/>
          <w:b/>
          <w:bCs/>
          <w:sz w:val="20"/>
          <w:szCs w:val="20"/>
        </w:rPr>
        <w:t>G</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w:t>
      </w:r>
      <w:r>
        <w:rPr>
          <w:rFonts w:ascii="Times New Roman" w:hAnsi="Times New Roman" w:cs="Times New Roman"/>
          <w:sz w:val="20"/>
          <w:szCs w:val="20"/>
        </w:rPr>
        <w:t>Toripalimab plus Chemotherapy</w:t>
      </w:r>
    </w:p>
    <w:p>
      <w:pPr>
        <w:spacing w:line="480" w:lineRule="auto"/>
        <w:jc w:val="left"/>
        <w:rPr>
          <w:rFonts w:ascii="Times New Roman" w:hAnsi="Times New Roman" w:cs="Times New Roman"/>
          <w:sz w:val="16"/>
          <w:szCs w:val="16"/>
        </w:rPr>
      </w:pPr>
    </w:p>
    <w:p>
      <w:pPr>
        <w:spacing w:line="480" w:lineRule="auto"/>
        <w:jc w:val="center"/>
        <w:rPr>
          <w:rFonts w:ascii="Times New Roman" w:hAnsi="Times New Roman" w:cs="Times New Roman"/>
          <w:sz w:val="16"/>
          <w:szCs w:val="16"/>
        </w:rPr>
      </w:pPr>
      <w:r>
        <w:rPr>
          <w:rFonts w:ascii="Times New Roman" w:hAnsi="Times New Roman" w:cs="Times New Roman"/>
          <w:sz w:val="16"/>
          <w:szCs w:val="16"/>
        </w:rPr>
        <w:drawing>
          <wp:inline distT="0" distB="0" distL="114300" distR="114300">
            <wp:extent cx="3599815" cy="2249805"/>
            <wp:effectExtent l="0" t="0" r="635" b="7620"/>
            <wp:docPr id="26" name="图片 26" descr="Supplement Figure 4 Tornado diagram of one-way sensitivity analyses G Toripali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Supplement Figure 4 Tornado diagram of one-way sensitivity analyses G Toripalimab plus Chemotherapy"/>
                    <pic:cNvPicPr>
                      <a:picLocks noChangeAspect="1"/>
                    </pic:cNvPicPr>
                  </pic:nvPicPr>
                  <pic:blipFill>
                    <a:blip r:embed="rId26"/>
                    <a:stretch>
                      <a:fillRect/>
                    </a:stretch>
                  </pic:blipFill>
                  <pic:spPr>
                    <a:xfrm>
                      <a:off x="0" y="0"/>
                      <a:ext cx="3599815" cy="2249805"/>
                    </a:xfrm>
                    <a:prstGeom prst="rect">
                      <a:avLst/>
                    </a:prstGeom>
                  </pic:spPr>
                </pic:pic>
              </a:graphicData>
            </a:graphic>
          </wp:inline>
        </w:drawing>
      </w:r>
    </w:p>
    <w:p>
      <w:pPr>
        <w:spacing w:line="480" w:lineRule="auto"/>
        <w:jc w:val="left"/>
        <w:rPr>
          <w:rFonts w:ascii="Times New Roman" w:hAnsi="Times New Roman" w:cs="Times New Roman"/>
          <w:sz w:val="16"/>
          <w:szCs w:val="16"/>
        </w:rPr>
      </w:pPr>
    </w:p>
    <w:p>
      <w:pPr>
        <w:spacing w:line="480" w:lineRule="auto"/>
        <w:jc w:val="left"/>
        <w:rPr>
          <w:rFonts w:ascii="Times New Roman" w:hAnsi="Times New Roman" w:cs="Times New Roman"/>
          <w:sz w:val="20"/>
          <w:szCs w:val="20"/>
        </w:rPr>
      </w:pPr>
      <w:bookmarkStart w:id="0" w:name="_GoBack"/>
      <w:bookmarkEnd w:id="0"/>
      <w:r>
        <w:rPr>
          <w:rFonts w:ascii="Times New Roman" w:hAnsi="Times New Roman" w:cs="Times New Roman"/>
          <w:b/>
          <w:bCs/>
          <w:sz w:val="20"/>
          <w:szCs w:val="20"/>
        </w:rPr>
        <w:t>Fig</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w:t>
      </w:r>
      <w:r>
        <w:rPr>
          <w:rFonts w:hint="eastAsia" w:ascii="Times New Roman" w:hAnsi="Times New Roman" w:cs="Times New Roman"/>
          <w:b/>
          <w:bCs/>
          <w:sz w:val="20"/>
          <w:szCs w:val="20"/>
          <w:lang w:val="en-US" w:eastAsia="zh-CN"/>
        </w:rPr>
        <w:t>A</w:t>
      </w:r>
      <w:r>
        <w:rPr>
          <w:rFonts w:ascii="Times New Roman" w:hAnsi="Times New Roman" w:cs="Times New Roman"/>
          <w:b/>
          <w:bCs/>
          <w:sz w:val="20"/>
          <w:szCs w:val="20"/>
        </w:rPr>
        <w:t>5</w:t>
      </w:r>
      <w:r>
        <w:rPr>
          <w:rFonts w:ascii="Times New Roman" w:hAnsi="Times New Roman" w:cs="Times New Roman"/>
          <w:sz w:val="20"/>
          <w:szCs w:val="20"/>
        </w:rPr>
        <w:t xml:space="preserve"> Probabilistic scatter plot of the ICER</w:t>
      </w:r>
    </w:p>
    <w:p>
      <w:pPr>
        <w:spacing w:line="480" w:lineRule="auto"/>
        <w:jc w:val="left"/>
        <w:rPr>
          <w:rFonts w:ascii="Times New Roman" w:hAnsi="Times New Roman" w:cs="Times New Roman"/>
          <w:sz w:val="20"/>
          <w:szCs w:val="20"/>
        </w:rPr>
      </w:pPr>
      <w:r>
        <w:rPr>
          <w:rFonts w:hint="eastAsia" w:ascii="Times New Roman" w:hAnsi="Times New Roman" w:cs="Times New Roman"/>
          <w:b/>
          <w:bCs/>
          <w:sz w:val="20"/>
          <w:szCs w:val="20"/>
        </w:rPr>
        <w:t>(</w:t>
      </w:r>
      <w:r>
        <w:rPr>
          <w:rFonts w:ascii="Times New Roman" w:hAnsi="Times New Roman" w:cs="Times New Roman"/>
          <w:b/>
          <w:bCs/>
          <w:sz w:val="20"/>
          <w:szCs w:val="20"/>
        </w:rPr>
        <w:t>A</w:t>
      </w:r>
      <w:r>
        <w:rPr>
          <w:rFonts w:hint="eastAsia" w:ascii="Times New Roman" w:hAnsi="Times New Roman" w:cs="Times New Roman"/>
          <w:b/>
          <w:bCs/>
          <w:sz w:val="20"/>
          <w:szCs w:val="20"/>
        </w:rPr>
        <w:t>)</w:t>
      </w:r>
      <w:r>
        <w:rPr>
          <w:rFonts w:ascii="Times New Roman" w:hAnsi="Times New Roman" w:cs="Times New Roman"/>
          <w:sz w:val="20"/>
          <w:szCs w:val="20"/>
        </w:rPr>
        <w:t xml:space="preserve"> Camrelizumab plus Chemotherapy</w:t>
      </w:r>
    </w:p>
    <w:p>
      <w:pPr>
        <w:spacing w:line="480" w:lineRule="auto"/>
        <w:jc w:val="center"/>
        <w:rPr>
          <w:rFonts w:ascii="Times New Roman" w:hAnsi="Times New Roman" w:cs="Times New Roman"/>
          <w:sz w:val="16"/>
          <w:szCs w:val="16"/>
        </w:rPr>
      </w:pPr>
      <w:r>
        <w:rPr>
          <w:rFonts w:ascii="Times New Roman" w:hAnsi="Times New Roman" w:cs="Times New Roman"/>
          <w:sz w:val="16"/>
          <w:szCs w:val="16"/>
        </w:rPr>
        <w:drawing>
          <wp:inline distT="0" distB="0" distL="114300" distR="114300">
            <wp:extent cx="3599815" cy="2249805"/>
            <wp:effectExtent l="0" t="0" r="635" b="7620"/>
            <wp:docPr id="33" name="图片 33" descr="Supplement Figure 5 Probabilistic scatter plot of the ICER A Camrelizu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Supplement Figure 5 Probabilistic scatter plot of the ICER A Camrelizumab plus Chemotherapy"/>
                    <pic:cNvPicPr>
                      <a:picLocks noChangeAspect="1"/>
                    </pic:cNvPicPr>
                  </pic:nvPicPr>
                  <pic:blipFill>
                    <a:blip r:embed="rId27"/>
                    <a:stretch>
                      <a:fillRect/>
                    </a:stretch>
                  </pic:blipFill>
                  <pic:spPr>
                    <a:xfrm>
                      <a:off x="0" y="0"/>
                      <a:ext cx="3599815" cy="2249805"/>
                    </a:xfrm>
                    <a:prstGeom prst="rect">
                      <a:avLst/>
                    </a:prstGeom>
                  </pic:spPr>
                </pic:pic>
              </a:graphicData>
            </a:graphic>
          </wp:inline>
        </w:drawing>
      </w:r>
    </w:p>
    <w:p>
      <w:pPr>
        <w:spacing w:line="480" w:lineRule="auto"/>
        <w:jc w:val="left"/>
        <w:rPr>
          <w:rFonts w:ascii="Times New Roman" w:hAnsi="Times New Roman" w:cs="Times New Roman"/>
          <w:b/>
          <w:bCs/>
          <w:sz w:val="20"/>
          <w:szCs w:val="20"/>
        </w:rPr>
      </w:pPr>
      <w:r>
        <w:rPr>
          <w:rFonts w:hint="eastAsia" w:ascii="Times New Roman" w:hAnsi="Times New Roman" w:cs="Times New Roman"/>
          <w:b/>
          <w:bCs/>
          <w:sz w:val="20"/>
          <w:szCs w:val="20"/>
        </w:rPr>
        <w:t>(</w:t>
      </w:r>
      <w:r>
        <w:rPr>
          <w:rFonts w:ascii="Times New Roman" w:hAnsi="Times New Roman" w:cs="Times New Roman"/>
          <w:b/>
          <w:bCs/>
          <w:sz w:val="20"/>
          <w:szCs w:val="20"/>
        </w:rPr>
        <w:t>B</w:t>
      </w:r>
      <w:r>
        <w:rPr>
          <w:rFonts w:hint="eastAsia" w:ascii="Times New Roman" w:hAnsi="Times New Roman" w:cs="Times New Roman"/>
          <w:b/>
          <w:bCs/>
          <w:sz w:val="20"/>
          <w:szCs w:val="20"/>
        </w:rPr>
        <w:t>)</w:t>
      </w:r>
      <w:r>
        <w:rPr>
          <w:rFonts w:ascii="Times New Roman" w:hAnsi="Times New Roman" w:cs="Times New Roman"/>
          <w:sz w:val="20"/>
          <w:szCs w:val="20"/>
        </w:rPr>
        <w:t xml:space="preserve"> Nivolumab plus Chemotherapy</w:t>
      </w:r>
    </w:p>
    <w:p>
      <w:pPr>
        <w:spacing w:line="480" w:lineRule="auto"/>
        <w:jc w:val="center"/>
        <w:rPr>
          <w:rFonts w:ascii="Times New Roman" w:hAnsi="Times New Roman" w:cs="Times New Roman"/>
          <w:sz w:val="16"/>
          <w:szCs w:val="16"/>
        </w:rPr>
      </w:pPr>
      <w:r>
        <w:rPr>
          <w:rFonts w:ascii="Times New Roman" w:hAnsi="Times New Roman" w:cs="Times New Roman"/>
          <w:sz w:val="16"/>
          <w:szCs w:val="16"/>
        </w:rPr>
        <w:drawing>
          <wp:inline distT="0" distB="0" distL="114300" distR="114300">
            <wp:extent cx="3599815" cy="2249805"/>
            <wp:effectExtent l="0" t="0" r="635" b="7620"/>
            <wp:docPr id="34" name="图片 34" descr="Supplement Figure 5 Probabilistic scatter plot of the ICER B Nivolu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Supplement Figure 5 Probabilistic scatter plot of the ICER B Nivolumab plus Chemotherapy"/>
                    <pic:cNvPicPr>
                      <a:picLocks noChangeAspect="1"/>
                    </pic:cNvPicPr>
                  </pic:nvPicPr>
                  <pic:blipFill>
                    <a:blip r:embed="rId28"/>
                    <a:stretch>
                      <a:fillRect/>
                    </a:stretch>
                  </pic:blipFill>
                  <pic:spPr>
                    <a:xfrm>
                      <a:off x="0" y="0"/>
                      <a:ext cx="3599815" cy="2249805"/>
                    </a:xfrm>
                    <a:prstGeom prst="rect">
                      <a:avLst/>
                    </a:prstGeom>
                  </pic:spPr>
                </pic:pic>
              </a:graphicData>
            </a:graphic>
          </wp:inline>
        </w:drawing>
      </w:r>
    </w:p>
    <w:p>
      <w:pPr>
        <w:spacing w:line="480" w:lineRule="auto"/>
        <w:jc w:val="left"/>
        <w:rPr>
          <w:rFonts w:ascii="Times New Roman" w:hAnsi="Times New Roman" w:cs="Times New Roman"/>
          <w:sz w:val="20"/>
          <w:szCs w:val="20"/>
        </w:rPr>
      </w:pPr>
      <w:r>
        <w:rPr>
          <w:rFonts w:hint="eastAsia" w:ascii="Times New Roman" w:hAnsi="Times New Roman" w:cs="Times New Roman"/>
          <w:b/>
          <w:bCs/>
          <w:sz w:val="20"/>
          <w:szCs w:val="20"/>
        </w:rPr>
        <w:t>(</w:t>
      </w:r>
      <w:r>
        <w:rPr>
          <w:rFonts w:ascii="Times New Roman" w:hAnsi="Times New Roman" w:cs="Times New Roman"/>
          <w:b/>
          <w:bCs/>
          <w:sz w:val="20"/>
          <w:szCs w:val="20"/>
        </w:rPr>
        <w:t>C</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w:t>
      </w:r>
      <w:r>
        <w:rPr>
          <w:rFonts w:ascii="Times New Roman" w:hAnsi="Times New Roman" w:cs="Times New Roman"/>
          <w:sz w:val="20"/>
          <w:szCs w:val="20"/>
        </w:rPr>
        <w:t>Pembrolizumab plus Chemotherapy</w:t>
      </w:r>
    </w:p>
    <w:p>
      <w:pPr>
        <w:spacing w:line="480" w:lineRule="auto"/>
        <w:jc w:val="center"/>
        <w:rPr>
          <w:rFonts w:ascii="Times New Roman" w:hAnsi="Times New Roman" w:cs="Times New Roman"/>
          <w:sz w:val="20"/>
          <w:szCs w:val="20"/>
        </w:rPr>
      </w:pPr>
      <w:r>
        <w:rPr>
          <w:rFonts w:ascii="Times New Roman" w:hAnsi="Times New Roman" w:cs="Times New Roman"/>
          <w:sz w:val="20"/>
          <w:szCs w:val="20"/>
        </w:rPr>
        <w:drawing>
          <wp:inline distT="0" distB="0" distL="114300" distR="114300">
            <wp:extent cx="3599815" cy="2249805"/>
            <wp:effectExtent l="0" t="0" r="635" b="7620"/>
            <wp:docPr id="35" name="图片 35" descr="Supplement Figure 5 Probabilistic scatter plot of the ICER C Pembrolizu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Supplement Figure 5 Probabilistic scatter plot of the ICER C Pembrolizumab plus Chemotherapy"/>
                    <pic:cNvPicPr>
                      <a:picLocks noChangeAspect="1"/>
                    </pic:cNvPicPr>
                  </pic:nvPicPr>
                  <pic:blipFill>
                    <a:blip r:embed="rId29"/>
                    <a:stretch>
                      <a:fillRect/>
                    </a:stretch>
                  </pic:blipFill>
                  <pic:spPr>
                    <a:xfrm>
                      <a:off x="0" y="0"/>
                      <a:ext cx="3599815" cy="2249805"/>
                    </a:xfrm>
                    <a:prstGeom prst="rect">
                      <a:avLst/>
                    </a:prstGeom>
                  </pic:spPr>
                </pic:pic>
              </a:graphicData>
            </a:graphic>
          </wp:inline>
        </w:drawing>
      </w:r>
    </w:p>
    <w:p>
      <w:pPr>
        <w:spacing w:line="480" w:lineRule="auto"/>
        <w:jc w:val="left"/>
        <w:rPr>
          <w:rFonts w:ascii="Times New Roman" w:hAnsi="Times New Roman" w:cs="Times New Roman"/>
          <w:sz w:val="20"/>
          <w:szCs w:val="20"/>
        </w:rPr>
      </w:pPr>
      <w:r>
        <w:rPr>
          <w:rFonts w:hint="eastAsia" w:ascii="Times New Roman" w:hAnsi="Times New Roman" w:cs="Times New Roman"/>
          <w:b/>
          <w:bCs/>
          <w:sz w:val="20"/>
          <w:szCs w:val="20"/>
        </w:rPr>
        <w:t>(</w:t>
      </w:r>
      <w:r>
        <w:rPr>
          <w:rFonts w:ascii="Times New Roman" w:hAnsi="Times New Roman" w:cs="Times New Roman"/>
          <w:b/>
          <w:bCs/>
          <w:sz w:val="20"/>
          <w:szCs w:val="20"/>
        </w:rPr>
        <w:t>D</w:t>
      </w:r>
      <w:r>
        <w:rPr>
          <w:rFonts w:hint="eastAsia" w:ascii="Times New Roman" w:hAnsi="Times New Roman" w:cs="Times New Roman"/>
          <w:b/>
          <w:bCs/>
          <w:sz w:val="20"/>
          <w:szCs w:val="20"/>
        </w:rPr>
        <w:t>)</w:t>
      </w:r>
      <w:r>
        <w:rPr>
          <w:rFonts w:ascii="Times New Roman" w:hAnsi="Times New Roman" w:cs="Times New Roman"/>
          <w:sz w:val="20"/>
          <w:szCs w:val="20"/>
        </w:rPr>
        <w:t xml:space="preserve"> Serplulimab plus Chemotherapy</w:t>
      </w:r>
    </w:p>
    <w:p>
      <w:pPr>
        <w:spacing w:line="480" w:lineRule="auto"/>
        <w:jc w:val="center"/>
        <w:rPr>
          <w:rFonts w:ascii="Times New Roman" w:hAnsi="Times New Roman" w:cs="Times New Roman"/>
          <w:sz w:val="16"/>
          <w:szCs w:val="16"/>
        </w:rPr>
      </w:pPr>
      <w:r>
        <w:rPr>
          <w:rFonts w:ascii="Times New Roman" w:hAnsi="Times New Roman" w:cs="Times New Roman"/>
          <w:sz w:val="16"/>
          <w:szCs w:val="16"/>
        </w:rPr>
        <w:drawing>
          <wp:inline distT="0" distB="0" distL="114300" distR="114300">
            <wp:extent cx="3599815" cy="2249805"/>
            <wp:effectExtent l="0" t="0" r="635" b="7620"/>
            <wp:docPr id="36" name="图片 36" descr="Supplement Figure 5 Probabilistic scatter plot of the ICER D Serpluli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Supplement Figure 5 Probabilistic scatter plot of the ICER D Serplulimab plus Chemotherapy"/>
                    <pic:cNvPicPr>
                      <a:picLocks noChangeAspect="1"/>
                    </pic:cNvPicPr>
                  </pic:nvPicPr>
                  <pic:blipFill>
                    <a:blip r:embed="rId30"/>
                    <a:stretch>
                      <a:fillRect/>
                    </a:stretch>
                  </pic:blipFill>
                  <pic:spPr>
                    <a:xfrm>
                      <a:off x="0" y="0"/>
                      <a:ext cx="3599815" cy="2249805"/>
                    </a:xfrm>
                    <a:prstGeom prst="rect">
                      <a:avLst/>
                    </a:prstGeom>
                  </pic:spPr>
                </pic:pic>
              </a:graphicData>
            </a:graphic>
          </wp:inline>
        </w:drawing>
      </w:r>
    </w:p>
    <w:p>
      <w:pPr>
        <w:spacing w:line="480" w:lineRule="auto"/>
        <w:jc w:val="left"/>
        <w:rPr>
          <w:rFonts w:hint="default" w:ascii="Times New Roman" w:hAnsi="Times New Roman" w:cs="Times New Roman"/>
          <w:sz w:val="20"/>
          <w:szCs w:val="20"/>
        </w:rPr>
      </w:pPr>
      <w:r>
        <w:rPr>
          <w:rFonts w:hint="default" w:ascii="Times New Roman" w:hAnsi="Times New Roman" w:cs="Times New Roman"/>
          <w:b/>
          <w:bCs/>
          <w:sz w:val="20"/>
          <w:szCs w:val="20"/>
        </w:rPr>
        <w:t xml:space="preserve">(E) </w:t>
      </w:r>
      <w:r>
        <w:rPr>
          <w:rFonts w:hint="default" w:ascii="Times New Roman" w:hAnsi="Times New Roman" w:cs="Times New Roman"/>
          <w:sz w:val="20"/>
          <w:szCs w:val="20"/>
        </w:rPr>
        <w:t>Sintilimab plus Chemotherapy</w:t>
      </w:r>
    </w:p>
    <w:p>
      <w:pPr>
        <w:spacing w:line="480" w:lineRule="auto"/>
        <w:jc w:val="center"/>
        <w:rPr>
          <w:rFonts w:hint="default" w:ascii="Times New Roman" w:hAnsi="Times New Roman" w:cs="Times New Roman"/>
          <w:sz w:val="20"/>
          <w:szCs w:val="20"/>
        </w:rPr>
      </w:pPr>
      <w:r>
        <w:rPr>
          <w:rFonts w:hint="default" w:ascii="Times New Roman" w:hAnsi="Times New Roman" w:cs="Times New Roman"/>
          <w:sz w:val="20"/>
          <w:szCs w:val="20"/>
        </w:rPr>
        <w:drawing>
          <wp:inline distT="0" distB="0" distL="114300" distR="114300">
            <wp:extent cx="3599815" cy="2249805"/>
            <wp:effectExtent l="0" t="0" r="635" b="7620"/>
            <wp:docPr id="37" name="图片 37" descr="Supplement Figure 5 Probabilistic scatter plot of the ICER E Sintili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Supplement Figure 5 Probabilistic scatter plot of the ICER E Sintilimab plus Chemotherapy"/>
                    <pic:cNvPicPr>
                      <a:picLocks noChangeAspect="1"/>
                    </pic:cNvPicPr>
                  </pic:nvPicPr>
                  <pic:blipFill>
                    <a:blip r:embed="rId31"/>
                    <a:stretch>
                      <a:fillRect/>
                    </a:stretch>
                  </pic:blipFill>
                  <pic:spPr>
                    <a:xfrm>
                      <a:off x="0" y="0"/>
                      <a:ext cx="3599815" cy="2249805"/>
                    </a:xfrm>
                    <a:prstGeom prst="rect">
                      <a:avLst/>
                    </a:prstGeom>
                  </pic:spPr>
                </pic:pic>
              </a:graphicData>
            </a:graphic>
          </wp:inline>
        </w:drawing>
      </w:r>
    </w:p>
    <w:p>
      <w:pPr>
        <w:spacing w:line="480" w:lineRule="auto"/>
        <w:jc w:val="left"/>
        <w:rPr>
          <w:rFonts w:hint="default" w:ascii="Times New Roman" w:hAnsi="Times New Roman" w:cs="Times New Roman"/>
          <w:sz w:val="20"/>
          <w:szCs w:val="20"/>
        </w:rPr>
      </w:pPr>
      <w:r>
        <w:rPr>
          <w:rFonts w:hint="default" w:ascii="Times New Roman" w:hAnsi="Times New Roman" w:cs="Times New Roman"/>
          <w:b/>
          <w:bCs/>
          <w:sz w:val="20"/>
          <w:szCs w:val="20"/>
        </w:rPr>
        <w:t>(F)</w:t>
      </w:r>
      <w:r>
        <w:rPr>
          <w:rFonts w:hint="default" w:ascii="Times New Roman" w:hAnsi="Times New Roman" w:cs="Times New Roman"/>
          <w:sz w:val="20"/>
          <w:szCs w:val="20"/>
        </w:rPr>
        <w:t xml:space="preserve"> Tislelizumab plus Chemotherapy</w:t>
      </w:r>
    </w:p>
    <w:p>
      <w:pPr>
        <w:spacing w:line="480" w:lineRule="auto"/>
        <w:jc w:val="center"/>
        <w:rPr>
          <w:rFonts w:hint="default" w:ascii="Times New Roman" w:hAnsi="Times New Roman" w:cs="Times New Roman"/>
          <w:sz w:val="20"/>
          <w:szCs w:val="20"/>
        </w:rPr>
      </w:pPr>
      <w:r>
        <w:rPr>
          <w:rFonts w:hint="default" w:ascii="Times New Roman" w:hAnsi="Times New Roman" w:cs="Times New Roman"/>
          <w:sz w:val="20"/>
          <w:szCs w:val="20"/>
        </w:rPr>
        <w:drawing>
          <wp:inline distT="0" distB="0" distL="114300" distR="114300">
            <wp:extent cx="3599815" cy="2249805"/>
            <wp:effectExtent l="0" t="0" r="635" b="7620"/>
            <wp:docPr id="38" name="图片 38" descr="Supplement Figure 5 Probabilistic scatter plot of the ICER F Tislelizu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Supplement Figure 5 Probabilistic scatter plot of the ICER F Tislelizumab plus Chemotherapy"/>
                    <pic:cNvPicPr>
                      <a:picLocks noChangeAspect="1"/>
                    </pic:cNvPicPr>
                  </pic:nvPicPr>
                  <pic:blipFill>
                    <a:blip r:embed="rId32"/>
                    <a:stretch>
                      <a:fillRect/>
                    </a:stretch>
                  </pic:blipFill>
                  <pic:spPr>
                    <a:xfrm>
                      <a:off x="0" y="0"/>
                      <a:ext cx="3599815" cy="2249805"/>
                    </a:xfrm>
                    <a:prstGeom prst="rect">
                      <a:avLst/>
                    </a:prstGeom>
                  </pic:spPr>
                </pic:pic>
              </a:graphicData>
            </a:graphic>
          </wp:inline>
        </w:drawing>
      </w:r>
    </w:p>
    <w:p>
      <w:pPr>
        <w:spacing w:line="480" w:lineRule="auto"/>
        <w:jc w:val="left"/>
        <w:rPr>
          <w:rFonts w:hint="default" w:ascii="Times New Roman" w:hAnsi="Times New Roman" w:cs="Times New Roman"/>
          <w:sz w:val="20"/>
          <w:szCs w:val="20"/>
        </w:rPr>
      </w:pPr>
      <w:r>
        <w:rPr>
          <w:rFonts w:hint="default" w:ascii="Times New Roman" w:hAnsi="Times New Roman" w:cs="Times New Roman"/>
          <w:b/>
          <w:bCs/>
          <w:sz w:val="20"/>
          <w:szCs w:val="20"/>
        </w:rPr>
        <w:t xml:space="preserve">(G) </w:t>
      </w:r>
      <w:r>
        <w:rPr>
          <w:rFonts w:hint="default" w:ascii="Times New Roman" w:hAnsi="Times New Roman" w:cs="Times New Roman"/>
          <w:sz w:val="20"/>
          <w:szCs w:val="20"/>
        </w:rPr>
        <w:t>Toripalimab plus Chemotherapy</w:t>
      </w:r>
    </w:p>
    <w:p>
      <w:pPr>
        <w:jc w:val="center"/>
        <w:rPr>
          <w:rFonts w:hint="default" w:ascii="Times New Roman" w:hAnsi="Times New Roman" w:cs="Times New Roman"/>
          <w:sz w:val="20"/>
          <w:szCs w:val="20"/>
        </w:rPr>
      </w:pPr>
      <w:r>
        <w:rPr>
          <w:rFonts w:hint="default" w:ascii="Times New Roman" w:hAnsi="Times New Roman" w:cs="Times New Roman"/>
          <w:sz w:val="20"/>
          <w:szCs w:val="20"/>
        </w:rPr>
        <w:drawing>
          <wp:inline distT="0" distB="0" distL="114300" distR="114300">
            <wp:extent cx="3599815" cy="2249805"/>
            <wp:effectExtent l="0" t="0" r="635" b="7620"/>
            <wp:docPr id="39" name="图片 39" descr="Supplement Figure 5 Probabilistic scatter plot of the ICER G Toripalimab plus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Supplement Figure 5 Probabilistic scatter plot of the ICER G Toripalimab plus Chemotherapy"/>
                    <pic:cNvPicPr>
                      <a:picLocks noChangeAspect="1"/>
                    </pic:cNvPicPr>
                  </pic:nvPicPr>
                  <pic:blipFill>
                    <a:blip r:embed="rId33"/>
                    <a:stretch>
                      <a:fillRect/>
                    </a:stretch>
                  </pic:blipFill>
                  <pic:spPr>
                    <a:xfrm>
                      <a:off x="0" y="0"/>
                      <a:ext cx="3599815" cy="2249805"/>
                    </a:xfrm>
                    <a:prstGeom prst="rect">
                      <a:avLst/>
                    </a:prstGeom>
                  </pic:spPr>
                </pic:pic>
              </a:graphicData>
            </a:graphic>
          </wp:inline>
        </w:drawing>
      </w:r>
    </w:p>
    <w:p>
      <w:pPr>
        <w:jc w:val="left"/>
        <w:rPr>
          <w:rFonts w:hint="default" w:ascii="Times New Roman" w:hAnsi="Times New Roman" w:cs="Times New Roman"/>
          <w:sz w:val="20"/>
          <w:szCs w:val="20"/>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bCs/>
          <w:sz w:val="20"/>
          <w:szCs w:val="20"/>
        </w:rPr>
      </w:pPr>
      <w:r>
        <w:rPr>
          <w:rFonts w:hint="default" w:ascii="Times New Roman" w:hAnsi="Times New Roman" w:cs="Times New Roman"/>
          <w:b/>
          <w:bCs/>
          <w:sz w:val="20"/>
          <w:szCs w:val="20"/>
        </w:rPr>
        <w:t>References</w:t>
      </w:r>
    </w:p>
    <w:p>
      <w:pPr>
        <w:pStyle w:val="7"/>
        <w:rPr>
          <w:rFonts w:hint="default" w:ascii="Times New Roman" w:hAnsi="Times New Roman" w:cs="Times New Roman"/>
          <w:sz w:val="20"/>
          <w:szCs w:val="20"/>
        </w:rPr>
      </w:pPr>
      <w:r>
        <w:rPr>
          <w:rFonts w:hint="default" w:ascii="Times New Roman" w:hAnsi="Times New Roman" w:cs="Times New Roman"/>
          <w:b/>
          <w:bCs/>
          <w:sz w:val="20"/>
          <w:szCs w:val="20"/>
        </w:rPr>
        <w:fldChar w:fldCharType="begin"/>
      </w:r>
      <w:r>
        <w:rPr>
          <w:rFonts w:hint="default" w:ascii="Times New Roman" w:hAnsi="Times New Roman" w:cs="Times New Roman"/>
          <w:b/>
          <w:bCs/>
          <w:sz w:val="20"/>
          <w:szCs w:val="20"/>
        </w:rPr>
        <w:instrText xml:space="preserve"> ADDIN ZOTERO_BIBL {"uncited":[],"omitted":[],"custom":[]} CSL_BIBLIOGRAPHY </w:instrText>
      </w:r>
      <w:r>
        <w:rPr>
          <w:rFonts w:hint="default" w:ascii="Times New Roman" w:hAnsi="Times New Roman" w:cs="Times New Roman"/>
          <w:b/>
          <w:bCs/>
          <w:sz w:val="20"/>
          <w:szCs w:val="20"/>
        </w:rPr>
        <w:fldChar w:fldCharType="separate"/>
      </w:r>
      <w:r>
        <w:rPr>
          <w:rFonts w:hint="default" w:ascii="Times New Roman" w:hAnsi="Times New Roman" w:cs="Times New Roman"/>
          <w:sz w:val="20"/>
          <w:szCs w:val="20"/>
        </w:rPr>
        <w:t xml:space="preserve">1. Luo H, Lu J, Bai Y, Mao T, Wang J, Fan Q, et al. Effect of Camrelizumab vs Placebo Added to Chemotherapy on Survival and Progression-Free Survival in Patients With Advanced or Metastatic Esophageal Squamous Cell Carcinoma: The ESCORT-1st Randomized Clinical Trial. JAMA. 2021;326:916–25. </w:t>
      </w:r>
    </w:p>
    <w:p>
      <w:pPr>
        <w:pStyle w:val="7"/>
        <w:rPr>
          <w:rFonts w:hint="default" w:ascii="Times New Roman" w:hAnsi="Times New Roman" w:cs="Times New Roman"/>
          <w:sz w:val="20"/>
          <w:szCs w:val="20"/>
        </w:rPr>
      </w:pPr>
      <w:r>
        <w:rPr>
          <w:rFonts w:hint="default" w:ascii="Times New Roman" w:hAnsi="Times New Roman" w:cs="Times New Roman"/>
          <w:sz w:val="20"/>
          <w:szCs w:val="20"/>
        </w:rPr>
        <w:t xml:space="preserve">2. Doki Y, Ajani JA, Kato K, Xu J, Wyrwicz L, Motoyama S, et al. Nivolumab Combination Therapy in Advanced Esophageal Squamous-Cell Carcinoma. N Engl J Med. 2022;386:449–62. </w:t>
      </w:r>
    </w:p>
    <w:p>
      <w:pPr>
        <w:pStyle w:val="7"/>
        <w:rPr>
          <w:rFonts w:hint="default" w:ascii="Times New Roman" w:hAnsi="Times New Roman" w:cs="Times New Roman"/>
          <w:sz w:val="20"/>
          <w:szCs w:val="20"/>
        </w:rPr>
      </w:pPr>
      <w:r>
        <w:rPr>
          <w:rFonts w:hint="default" w:ascii="Times New Roman" w:hAnsi="Times New Roman" w:cs="Times New Roman"/>
          <w:sz w:val="20"/>
          <w:szCs w:val="20"/>
        </w:rPr>
        <w:t xml:space="preserve">3. Sun J-M, Shen L, Shah MA, Enzinger P, Adenis A, Doi T, et al. Pembrolizumab plus chemotherapy versus chemotherapy alone for first-line treatment of advanced oesophageal cancer (KEYNOTE-590): a randomised, placebo-controlled, phase 3 study. The Lancet. 2021;398:759–71. </w:t>
      </w:r>
    </w:p>
    <w:p>
      <w:pPr>
        <w:pStyle w:val="7"/>
        <w:rPr>
          <w:rFonts w:hint="default" w:ascii="Times New Roman" w:hAnsi="Times New Roman" w:cs="Times New Roman"/>
          <w:sz w:val="20"/>
          <w:szCs w:val="20"/>
        </w:rPr>
      </w:pPr>
      <w:r>
        <w:rPr>
          <w:rFonts w:hint="default" w:ascii="Times New Roman" w:hAnsi="Times New Roman" w:cs="Times New Roman"/>
          <w:sz w:val="20"/>
          <w:szCs w:val="20"/>
        </w:rPr>
        <w:t xml:space="preserve">4. Song Y, Zhang B, Xin D, Kou X, Tan Z, Zhang S, et al. First-line serplulimab or placebo plus chemotherapy in PD-L1-positive esophageal squamous cell carcinoma: a randomized, double-blind phase 3 trial. Nat Med. 2023;29:473–82. </w:t>
      </w:r>
    </w:p>
    <w:p>
      <w:pPr>
        <w:pStyle w:val="7"/>
        <w:rPr>
          <w:rFonts w:hint="default" w:ascii="Times New Roman" w:hAnsi="Times New Roman" w:cs="Times New Roman"/>
          <w:sz w:val="20"/>
          <w:szCs w:val="20"/>
        </w:rPr>
      </w:pPr>
      <w:r>
        <w:rPr>
          <w:rFonts w:hint="default" w:ascii="Times New Roman" w:hAnsi="Times New Roman" w:cs="Times New Roman"/>
          <w:sz w:val="20"/>
          <w:szCs w:val="20"/>
        </w:rPr>
        <w:t xml:space="preserve">5. Lu Z, Wang J, Shu Y, Liu L, Kong L, Yang L, et al. Sintilimab versus placebo in combination with chemotherapy as first line treatment for locally advanced or metastatic oesophageal squamous cell carcinoma (ORIENT-15): multicentre, randomised, double blind, phase 3 trial. BMJ. 2022;377:e068714. </w:t>
      </w:r>
    </w:p>
    <w:p>
      <w:pPr>
        <w:pStyle w:val="7"/>
        <w:rPr>
          <w:rFonts w:hint="default" w:ascii="Times New Roman" w:hAnsi="Times New Roman" w:cs="Times New Roman"/>
          <w:sz w:val="20"/>
          <w:szCs w:val="20"/>
        </w:rPr>
      </w:pPr>
      <w:r>
        <w:rPr>
          <w:rFonts w:hint="default" w:ascii="Times New Roman" w:hAnsi="Times New Roman" w:cs="Times New Roman"/>
          <w:sz w:val="20"/>
          <w:szCs w:val="20"/>
        </w:rPr>
        <w:t xml:space="preserve">6. Xu J, Kato K, Raymond E, Hubner RA, Shu Y, Pan Y, et al. Tislelizumab plus chemotherapy versus placebo plus chemotherapy as first-line treatment for advanced or metastatic oesophageal squamous cell carcinoma (RATIONALE-306): a global, randomised, placebo-controlled, phase 3 study. Lancet Oncol. 2023;24:483–95. </w:t>
      </w:r>
    </w:p>
    <w:p>
      <w:pPr>
        <w:pStyle w:val="7"/>
        <w:rPr>
          <w:rFonts w:hint="default" w:ascii="Times New Roman" w:hAnsi="Times New Roman" w:cs="Times New Roman"/>
          <w:sz w:val="20"/>
          <w:szCs w:val="20"/>
        </w:rPr>
      </w:pPr>
      <w:r>
        <w:rPr>
          <w:rFonts w:hint="default" w:ascii="Times New Roman" w:hAnsi="Times New Roman" w:cs="Times New Roman"/>
          <w:sz w:val="20"/>
          <w:szCs w:val="20"/>
        </w:rPr>
        <w:t xml:space="preserve">7. Wang Z-X, Cui C, Yao J, Zhang Y, Li M, Feng J, et al. Toripalimab plus chemotherapy in treatment-naïve, advanced esophageal squamous cell carcinoma (JUPITER-06): A multi-center phase 3 trial. Cancer Cell. 2022;40:277-288.e3. </w:t>
      </w:r>
    </w:p>
    <w:p>
      <w:pPr>
        <w:jc w:val="left"/>
        <w:rPr>
          <w:rFonts w:ascii="Times New Roman" w:hAnsi="Times New Roman" w:cs="Times New Roman"/>
          <w:b/>
          <w:bCs/>
          <w:sz w:val="20"/>
          <w:szCs w:val="20"/>
        </w:rPr>
      </w:pPr>
      <w:r>
        <w:rPr>
          <w:rFonts w:hint="default" w:ascii="Times New Roman" w:hAnsi="Times New Roman" w:cs="Times New Roman"/>
          <w:b/>
          <w:bCs/>
          <w:sz w:val="20"/>
          <w:szCs w:val="20"/>
        </w:rPr>
        <w:fldChar w:fldCharType="end"/>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3NmEzOGM1NWY2MzE0NjFiM2VmMTk4YjM3NzFjODEifQ=="/>
  </w:docVars>
  <w:rsids>
    <w:rsidRoot w:val="008A211E"/>
    <w:rsid w:val="002B244D"/>
    <w:rsid w:val="00387A4B"/>
    <w:rsid w:val="00434495"/>
    <w:rsid w:val="008A211E"/>
    <w:rsid w:val="00B835B0"/>
    <w:rsid w:val="061B03C8"/>
    <w:rsid w:val="06817228"/>
    <w:rsid w:val="165C3B62"/>
    <w:rsid w:val="186051BE"/>
    <w:rsid w:val="18920577"/>
    <w:rsid w:val="1ACD08AB"/>
    <w:rsid w:val="1B4E1027"/>
    <w:rsid w:val="32495054"/>
    <w:rsid w:val="347C2C59"/>
    <w:rsid w:val="37E61EFC"/>
    <w:rsid w:val="3B4A5F8F"/>
    <w:rsid w:val="3DB33C6F"/>
    <w:rsid w:val="3E8852E6"/>
    <w:rsid w:val="494F362A"/>
    <w:rsid w:val="4ACC62E7"/>
    <w:rsid w:val="563C66D1"/>
    <w:rsid w:val="599A624A"/>
    <w:rsid w:val="61DF64C6"/>
    <w:rsid w:val="653974D7"/>
    <w:rsid w:val="66AD5F91"/>
    <w:rsid w:val="6C5144CF"/>
    <w:rsid w:val="71E93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caption"/>
    <w:basedOn w:val="1"/>
    <w:next w:val="1"/>
    <w:autoRedefine/>
    <w:unhideWhenUsed/>
    <w:qFormat/>
    <w:uiPriority w:val="35"/>
    <w:rPr>
      <w:rFonts w:eastAsia="黑体" w:asciiTheme="majorHAnsi" w:hAnsiTheme="majorHAnsi" w:cstheme="majorBidi"/>
      <w:sz w:val="20"/>
      <w:szCs w:val="20"/>
    </w:rPr>
  </w:style>
  <w:style w:type="table" w:styleId="4">
    <w:name w:val="Table Grid"/>
    <w:basedOn w:val="3"/>
    <w:autoRedefine/>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 w:type="paragraph" w:customStyle="1" w:styleId="7">
    <w:name w:val="Bibliography"/>
    <w:basedOn w:val="1"/>
    <w:next w:val="1"/>
    <w:autoRedefine/>
    <w:unhideWhenUsed/>
    <w:qFormat/>
    <w:uiPriority w:val="37"/>
    <w:pPr>
      <w:spacing w:after="240"/>
    </w:p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png"/><Relationship Id="rId34" Type="http://schemas.openxmlformats.org/officeDocument/2006/relationships/fontTable" Target="fontTable.xml"/><Relationship Id="rId33" Type="http://schemas.openxmlformats.org/officeDocument/2006/relationships/image" Target="media/image30.tiff"/><Relationship Id="rId32" Type="http://schemas.openxmlformats.org/officeDocument/2006/relationships/image" Target="media/image29.tiff"/><Relationship Id="rId31" Type="http://schemas.openxmlformats.org/officeDocument/2006/relationships/image" Target="media/image28.tiff"/><Relationship Id="rId30" Type="http://schemas.openxmlformats.org/officeDocument/2006/relationships/image" Target="media/image27.tiff"/><Relationship Id="rId3" Type="http://schemas.openxmlformats.org/officeDocument/2006/relationships/theme" Target="theme/theme1.xml"/><Relationship Id="rId29" Type="http://schemas.openxmlformats.org/officeDocument/2006/relationships/image" Target="media/image26.tiff"/><Relationship Id="rId28" Type="http://schemas.openxmlformats.org/officeDocument/2006/relationships/image" Target="media/image25.tiff"/><Relationship Id="rId27" Type="http://schemas.openxmlformats.org/officeDocument/2006/relationships/image" Target="media/image24.tiff"/><Relationship Id="rId26" Type="http://schemas.openxmlformats.org/officeDocument/2006/relationships/image" Target="media/image23.tiff"/><Relationship Id="rId25" Type="http://schemas.openxmlformats.org/officeDocument/2006/relationships/image" Target="media/image22.tiff"/><Relationship Id="rId24" Type="http://schemas.openxmlformats.org/officeDocument/2006/relationships/image" Target="media/image21.tiff"/><Relationship Id="rId23" Type="http://schemas.openxmlformats.org/officeDocument/2006/relationships/image" Target="media/image20.tiff"/><Relationship Id="rId22" Type="http://schemas.openxmlformats.org/officeDocument/2006/relationships/image" Target="media/image19.tiff"/><Relationship Id="rId21" Type="http://schemas.openxmlformats.org/officeDocument/2006/relationships/image" Target="media/image18.tiff"/><Relationship Id="rId20" Type="http://schemas.openxmlformats.org/officeDocument/2006/relationships/image" Target="media/image17.tiff"/><Relationship Id="rId2" Type="http://schemas.openxmlformats.org/officeDocument/2006/relationships/settings" Target="settings.xml"/><Relationship Id="rId19" Type="http://schemas.openxmlformats.org/officeDocument/2006/relationships/image" Target="media/image16.tiff"/><Relationship Id="rId18" Type="http://schemas.openxmlformats.org/officeDocument/2006/relationships/image" Target="media/image15.tiff"/><Relationship Id="rId17" Type="http://schemas.openxmlformats.org/officeDocument/2006/relationships/image" Target="media/image14.tiff"/><Relationship Id="rId16" Type="http://schemas.openxmlformats.org/officeDocument/2006/relationships/image" Target="media/image13.tiff"/><Relationship Id="rId15" Type="http://schemas.openxmlformats.org/officeDocument/2006/relationships/image" Target="media/image12.tiff"/><Relationship Id="rId14" Type="http://schemas.openxmlformats.org/officeDocument/2006/relationships/image" Target="media/image11.tiff"/><Relationship Id="rId13" Type="http://schemas.openxmlformats.org/officeDocument/2006/relationships/image" Target="media/image10.tiff"/><Relationship Id="rId12" Type="http://schemas.openxmlformats.org/officeDocument/2006/relationships/image" Target="media/image9.tiff"/><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31804</Words>
  <Characters>181284</Characters>
  <Lines>1510</Lines>
  <Paragraphs>425</Paragraphs>
  <TotalTime>6</TotalTime>
  <ScaleCrop>false</ScaleCrop>
  <LinksUpToDate>false</LinksUpToDate>
  <CharactersWithSpaces>212663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2023-11-15T09:15:00Z</dcterms:created>
  <dc:creator>86132</dc:creator>
  <cp:lastModifiedBy>Y.</cp:lastModifiedBy>
  <dcterms:modified xsi:type="dcterms:W3CDTF">2024-01-25T07:21:23Z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D410712049544364820F70F792442DE4_12</vt:lpwstr>
  </property>
  <property fmtid="{D5CDD505-2E9C-101B-9397-08002B2CF9AE}" pid="4" name="ZOTERO_PREF_1">
    <vt:lpwstr>&lt;data data-version="3" zotero-version="6.0.30"&gt;&lt;session id="TNyQ4No0"/&gt;&lt;style id="http://www.zotero.org/styles/clinical-drug-investigation" hasBibliography="1" bibliographyStyleHasBeenSet="1"/&gt;&lt;prefs&gt;&lt;pref name="fieldType" value="Field"/&gt;&lt;pref name="autom</vt:lpwstr>
  </property>
  <property fmtid="{D5CDD505-2E9C-101B-9397-08002B2CF9AE}" pid="5" name="ZOTERO_PREF_2">
    <vt:lpwstr>aticJournalAbbreviations" value="true"/&gt;&lt;/prefs&gt;&lt;/data&gt;</vt:lpwstr>
  </property>
</Properties>
</file>