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295B" w:rsidRDefault="0088313D" w:rsidP="0088313D">
      <w:pPr>
        <w:jc w:val="center"/>
      </w:pPr>
      <w:r>
        <w:rPr>
          <w:noProof/>
        </w:rPr>
        <w:drawing>
          <wp:inline distT="0" distB="0" distL="0" distR="0" wp14:anchorId="1EDE71B0">
            <wp:extent cx="4497212" cy="5943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562" cy="59453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8313D" w:rsidRDefault="0088313D" w:rsidP="0088313D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C00A6A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S1:</w:t>
      </w:r>
      <w:r w:rsidRPr="00C00A6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5D19">
        <w:rPr>
          <w:rFonts w:ascii="Times New Roman" w:hAnsi="Times New Roman" w:cs="Times New Roman"/>
          <w:b/>
          <w:sz w:val="24"/>
          <w:szCs w:val="24"/>
        </w:rPr>
        <w:t xml:space="preserve">miR-1290 </w:t>
      </w:r>
      <w:r>
        <w:rPr>
          <w:rFonts w:ascii="Times New Roman" w:hAnsi="Times New Roman" w:cs="Times New Roman"/>
          <w:b/>
          <w:sz w:val="24"/>
          <w:szCs w:val="24"/>
        </w:rPr>
        <w:t>targets SMEK1 in</w:t>
      </w:r>
      <w:r w:rsidRPr="004B1CD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SMMC-7721 xenografts. </w:t>
      </w:r>
      <w:r w:rsidR="00001B24" w:rsidRPr="00E14C27">
        <w:rPr>
          <w:rFonts w:ascii="Times New Roman" w:hAnsi="Times New Roman" w:cs="Times New Roman"/>
          <w:bCs/>
          <w:sz w:val="24"/>
          <w:szCs w:val="24"/>
        </w:rPr>
        <w:t>2 × 10</w:t>
      </w:r>
      <w:r w:rsidR="00001B24" w:rsidRPr="00E14C27">
        <w:rPr>
          <w:rFonts w:ascii="Times New Roman" w:hAnsi="Times New Roman" w:cs="Times New Roman"/>
          <w:bCs/>
          <w:sz w:val="24"/>
          <w:szCs w:val="24"/>
          <w:vertAlign w:val="superscript"/>
        </w:rPr>
        <w:t>6</w:t>
      </w:r>
      <w:r w:rsidR="00001B24" w:rsidRPr="00E14C27">
        <w:rPr>
          <w:rFonts w:ascii="Times New Roman" w:hAnsi="Times New Roman" w:cs="Times New Roman"/>
          <w:bCs/>
          <w:sz w:val="24"/>
          <w:szCs w:val="24"/>
        </w:rPr>
        <w:t xml:space="preserve"> SMMC-7721 cells were subcutaneously inject</w:t>
      </w:r>
      <w:r w:rsidR="00001B24">
        <w:rPr>
          <w:rFonts w:ascii="Times New Roman" w:hAnsi="Times New Roman" w:cs="Times New Roman"/>
          <w:bCs/>
          <w:sz w:val="24"/>
          <w:szCs w:val="24"/>
        </w:rPr>
        <w:t>ed into male NOD</w:t>
      </w:r>
      <w:r w:rsidR="00001B24">
        <w:rPr>
          <w:rFonts w:ascii="Times New Roman" w:hAnsi="Times New Roman" w:cs="Times New Roman" w:hint="eastAsia"/>
          <w:bCs/>
          <w:sz w:val="24"/>
          <w:szCs w:val="24"/>
        </w:rPr>
        <w:t>-</w:t>
      </w:r>
      <w:r w:rsidR="00001B24">
        <w:rPr>
          <w:rFonts w:ascii="Times New Roman" w:hAnsi="Times New Roman" w:cs="Times New Roman"/>
          <w:bCs/>
          <w:sz w:val="24"/>
          <w:szCs w:val="24"/>
        </w:rPr>
        <w:t>SCID mice</w:t>
      </w:r>
      <w:r w:rsidR="00001B24" w:rsidRPr="00E14C27">
        <w:rPr>
          <w:rFonts w:ascii="Times New Roman" w:hAnsi="Times New Roman" w:cs="Times New Roman"/>
          <w:bCs/>
          <w:sz w:val="24"/>
          <w:szCs w:val="24"/>
        </w:rPr>
        <w:t>. Tumor development was allowed to occur for 10 days, and then mice</w:t>
      </w:r>
      <w:r w:rsidR="00001B24">
        <w:rPr>
          <w:rFonts w:ascii="Times New Roman" w:hAnsi="Times New Roman" w:cs="Times New Roman"/>
          <w:bCs/>
          <w:sz w:val="24"/>
          <w:szCs w:val="24"/>
        </w:rPr>
        <w:t xml:space="preserve"> (n=6)</w:t>
      </w:r>
      <w:r w:rsidR="00001B24" w:rsidRPr="00E14C27">
        <w:rPr>
          <w:rFonts w:ascii="Times New Roman" w:hAnsi="Times New Roman" w:cs="Times New Roman"/>
          <w:bCs/>
          <w:sz w:val="24"/>
          <w:szCs w:val="24"/>
        </w:rPr>
        <w:t xml:space="preserve"> were peritumorally treated with </w:t>
      </w:r>
      <w:r w:rsidR="00001B24">
        <w:rPr>
          <w:rFonts w:ascii="Times New Roman" w:hAnsi="Times New Roman" w:cs="Times New Roman"/>
          <w:bCs/>
          <w:sz w:val="24"/>
          <w:szCs w:val="24"/>
        </w:rPr>
        <w:t>10</w:t>
      </w:r>
      <w:r w:rsidR="00001B24" w:rsidRPr="00E14C27">
        <w:rPr>
          <w:rFonts w:ascii="Times New Roman" w:hAnsi="Times New Roman" w:cs="Times New Roman"/>
          <w:bCs/>
          <w:sz w:val="24"/>
          <w:szCs w:val="24"/>
        </w:rPr>
        <w:t xml:space="preserve"> nmol miR-</w:t>
      </w:r>
      <w:r w:rsidR="00001B24">
        <w:rPr>
          <w:rFonts w:ascii="Times New Roman" w:hAnsi="Times New Roman" w:cs="Times New Roman"/>
          <w:bCs/>
          <w:sz w:val="24"/>
          <w:szCs w:val="24"/>
        </w:rPr>
        <w:t>1290</w:t>
      </w:r>
      <w:r w:rsidR="00001B24" w:rsidRPr="00E14C27">
        <w:rPr>
          <w:rFonts w:ascii="Times New Roman" w:hAnsi="Times New Roman" w:cs="Times New Roman"/>
          <w:bCs/>
          <w:sz w:val="24"/>
          <w:szCs w:val="24"/>
        </w:rPr>
        <w:t xml:space="preserve"> a</w:t>
      </w:r>
      <w:r w:rsidR="00001B24">
        <w:rPr>
          <w:rFonts w:ascii="Times New Roman" w:hAnsi="Times New Roman" w:cs="Times New Roman"/>
          <w:bCs/>
          <w:sz w:val="24"/>
          <w:szCs w:val="24"/>
        </w:rPr>
        <w:t>nta</w:t>
      </w:r>
      <w:r w:rsidR="00001B24" w:rsidRPr="00E14C27">
        <w:rPr>
          <w:rFonts w:ascii="Times New Roman" w:hAnsi="Times New Roman" w:cs="Times New Roman"/>
          <w:bCs/>
          <w:sz w:val="24"/>
          <w:szCs w:val="24"/>
        </w:rPr>
        <w:t xml:space="preserve">gomir or </w:t>
      </w:r>
      <w:r w:rsidR="00001B24">
        <w:rPr>
          <w:rFonts w:ascii="Times New Roman" w:hAnsi="Times New Roman" w:cs="Times New Roman"/>
          <w:bCs/>
          <w:sz w:val="24"/>
          <w:szCs w:val="24"/>
        </w:rPr>
        <w:t>NC antagomir</w:t>
      </w:r>
      <w:r w:rsidR="00001B24" w:rsidRPr="00E14C27">
        <w:rPr>
          <w:rFonts w:ascii="Times New Roman" w:hAnsi="Times New Roman" w:cs="Times New Roman"/>
          <w:bCs/>
          <w:sz w:val="24"/>
          <w:szCs w:val="24"/>
        </w:rPr>
        <w:t xml:space="preserve"> (once every three days) for another 15 days.</w:t>
      </w:r>
      <w:bookmarkStart w:id="0" w:name="_GoBack"/>
      <w:bookmarkEnd w:id="0"/>
      <w:r w:rsidRPr="00374589">
        <w:rPr>
          <w:rFonts w:ascii="Times New Roman" w:hAnsi="Times New Roman" w:cs="Times New Roman"/>
          <w:sz w:val="24"/>
          <w:szCs w:val="24"/>
        </w:rPr>
        <w:t xml:space="preserve"> </w:t>
      </w:r>
      <w:r w:rsidRPr="00C0174B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expression of SMEK1 and pVEGFR2 in miR-1290 antagomir</w:t>
      </w:r>
      <w:r w:rsidR="00957695">
        <w:rPr>
          <w:rFonts w:ascii="Times New Roman" w:hAnsi="Times New Roman" w:cs="Times New Roman"/>
          <w:sz w:val="24"/>
          <w:szCs w:val="24"/>
        </w:rPr>
        <w:t xml:space="preserve"> or NC antagomir treated xenografts </w:t>
      </w:r>
      <w:r>
        <w:rPr>
          <w:rFonts w:ascii="Times New Roman" w:hAnsi="Times New Roman" w:cs="Times New Roman"/>
          <w:sz w:val="24"/>
          <w:szCs w:val="24"/>
        </w:rPr>
        <w:t>were detected via</w:t>
      </w:r>
      <w:r w:rsidR="00957695">
        <w:rPr>
          <w:rFonts w:ascii="Times New Roman" w:hAnsi="Times New Roman" w:cs="Times New Roman"/>
          <w:sz w:val="24"/>
          <w:szCs w:val="24"/>
        </w:rPr>
        <w:t xml:space="preserve"> </w:t>
      </w:r>
      <w:r w:rsidR="00957695">
        <w:rPr>
          <w:rFonts w:ascii="Times New Roman" w:hAnsi="Times New Roman" w:cs="Times New Roman" w:hint="eastAsia"/>
          <w:sz w:val="24"/>
          <w:szCs w:val="24"/>
        </w:rPr>
        <w:t>W</w:t>
      </w:r>
      <w:r w:rsidR="00957695">
        <w:rPr>
          <w:rFonts w:ascii="Times New Roman" w:hAnsi="Times New Roman" w:cs="Times New Roman"/>
          <w:sz w:val="24"/>
          <w:szCs w:val="24"/>
        </w:rPr>
        <w:t>estern blot</w:t>
      </w:r>
      <w:r w:rsidR="00957695">
        <w:rPr>
          <w:rFonts w:ascii="Times New Roman" w:hAnsi="Times New Roman" w:cs="Times New Roman" w:hint="eastAsia"/>
          <w:sz w:val="24"/>
          <w:szCs w:val="24"/>
        </w:rPr>
        <w:t>.</w:t>
      </w:r>
      <w:r w:rsidR="00957695">
        <w:rPr>
          <w:rFonts w:ascii="Times New Roman" w:hAnsi="Times New Roman" w:cs="Times New Roman"/>
          <w:sz w:val="24"/>
          <w:szCs w:val="24"/>
        </w:rPr>
        <w:t xml:space="preserve"> </w:t>
      </w:r>
      <w:r w:rsidR="00957695" w:rsidRPr="00957695">
        <w:rPr>
          <w:rFonts w:ascii="Times New Roman" w:hAnsi="Times New Roman" w:cs="Times New Roman"/>
          <w:b/>
          <w:sz w:val="24"/>
          <w:szCs w:val="24"/>
        </w:rPr>
        <w:t>B and C</w:t>
      </w:r>
      <w:r w:rsidR="0095769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957695" w:rsidRPr="00957695">
        <w:rPr>
          <w:rFonts w:ascii="Times New Roman" w:hAnsi="Times New Roman" w:cs="Times New Roman"/>
          <w:sz w:val="24"/>
          <w:szCs w:val="24"/>
        </w:rPr>
        <w:t xml:space="preserve">The </w:t>
      </w:r>
      <w:r w:rsidR="00957695">
        <w:rPr>
          <w:rFonts w:ascii="Times New Roman" w:hAnsi="Times New Roman" w:cs="Times New Roman"/>
          <w:sz w:val="24"/>
          <w:szCs w:val="24"/>
        </w:rPr>
        <w:t>expression of SMEK1 (</w:t>
      </w:r>
      <w:r w:rsidR="00957695" w:rsidRPr="00957695">
        <w:rPr>
          <w:rFonts w:ascii="Times New Roman" w:hAnsi="Times New Roman" w:cs="Times New Roman"/>
          <w:b/>
          <w:sz w:val="24"/>
          <w:szCs w:val="24"/>
        </w:rPr>
        <w:t>B</w:t>
      </w:r>
      <w:r w:rsidR="00957695">
        <w:rPr>
          <w:rFonts w:ascii="Times New Roman" w:hAnsi="Times New Roman" w:cs="Times New Roman"/>
          <w:sz w:val="24"/>
          <w:szCs w:val="24"/>
        </w:rPr>
        <w:t>) and pVEGFR2 (</w:t>
      </w:r>
      <w:r w:rsidR="00957695" w:rsidRPr="00957695">
        <w:rPr>
          <w:rFonts w:ascii="Times New Roman" w:hAnsi="Times New Roman" w:cs="Times New Roman"/>
          <w:b/>
          <w:sz w:val="24"/>
          <w:szCs w:val="24"/>
        </w:rPr>
        <w:t>C</w:t>
      </w:r>
      <w:r w:rsidR="00957695">
        <w:rPr>
          <w:rFonts w:ascii="Times New Roman" w:hAnsi="Times New Roman" w:cs="Times New Roman"/>
          <w:sz w:val="24"/>
          <w:szCs w:val="24"/>
        </w:rPr>
        <w:t>) in miR-1290 antagomir or NC antagomir treated xenografts were detected via IHC</w:t>
      </w:r>
      <w:r w:rsidR="00957695">
        <w:rPr>
          <w:rFonts w:ascii="Times New Roman" w:hAnsi="Times New Roman" w:cs="Times New Roman" w:hint="eastAsia"/>
          <w:sz w:val="24"/>
          <w:szCs w:val="24"/>
        </w:rPr>
        <w:t>.</w:t>
      </w:r>
      <w:r w:rsidR="00957695">
        <w:rPr>
          <w:rFonts w:ascii="Times New Roman" w:hAnsi="Times New Roman" w:cs="Times New Roman"/>
          <w:sz w:val="24"/>
          <w:szCs w:val="24"/>
        </w:rPr>
        <w:t xml:space="preserve"> </w:t>
      </w:r>
      <w:r w:rsidR="00D21348">
        <w:rPr>
          <w:rFonts w:ascii="Times New Roman" w:hAnsi="Times New Roman" w:cs="Times New Roman"/>
          <w:sz w:val="24"/>
          <w:szCs w:val="24"/>
        </w:rPr>
        <w:t xml:space="preserve">Red </w:t>
      </w:r>
      <w:r w:rsidR="00D21348" w:rsidRPr="00D21348">
        <w:rPr>
          <w:rFonts w:ascii="Times New Roman" w:hAnsi="Times New Roman" w:cs="Times New Roman"/>
          <w:sz w:val="24"/>
          <w:szCs w:val="24"/>
        </w:rPr>
        <w:t>arrow</w:t>
      </w:r>
      <w:r w:rsidR="00D21348">
        <w:rPr>
          <w:rFonts w:ascii="Times New Roman" w:hAnsi="Times New Roman" w:cs="Times New Roman"/>
          <w:sz w:val="24"/>
          <w:szCs w:val="24"/>
        </w:rPr>
        <w:t xml:space="preserve"> indicates </w:t>
      </w:r>
      <w:r w:rsidR="00D21348" w:rsidRPr="00D21348">
        <w:rPr>
          <w:rFonts w:ascii="Times New Roman" w:hAnsi="Times New Roman" w:cs="Times New Roman"/>
          <w:sz w:val="24"/>
          <w:szCs w:val="24"/>
        </w:rPr>
        <w:t>blood vessel</w:t>
      </w:r>
      <w:r w:rsidR="00D21348">
        <w:rPr>
          <w:rFonts w:ascii="Times New Roman" w:hAnsi="Times New Roman" w:cs="Times New Roman"/>
          <w:sz w:val="24"/>
          <w:szCs w:val="24"/>
        </w:rPr>
        <w:t xml:space="preserve">. </w:t>
      </w:r>
      <w:r w:rsidR="00957695" w:rsidRPr="009E7D93">
        <w:rPr>
          <w:rFonts w:ascii="Times New Roman" w:hAnsi="Times New Roman" w:cs="Times New Roman"/>
          <w:sz w:val="24"/>
        </w:rPr>
        <w:t>*</w:t>
      </w:r>
      <w:r w:rsidR="00957695" w:rsidRPr="00907701">
        <w:rPr>
          <w:rFonts w:ascii="Times New Roman" w:hAnsi="Times New Roman" w:cs="Times New Roman"/>
          <w:i/>
          <w:sz w:val="24"/>
        </w:rPr>
        <w:t>p</w:t>
      </w:r>
      <w:r w:rsidR="00957695" w:rsidRPr="009E7D93">
        <w:rPr>
          <w:rFonts w:ascii="Times New Roman" w:hAnsi="Times New Roman" w:cs="Times New Roman"/>
          <w:sz w:val="24"/>
        </w:rPr>
        <w:t xml:space="preserve"> &lt; 0.05</w:t>
      </w:r>
      <w:r w:rsidR="00957695">
        <w:rPr>
          <w:rFonts w:ascii="Times New Roman" w:hAnsi="Times New Roman" w:cs="Times New Roman"/>
          <w:sz w:val="24"/>
        </w:rPr>
        <w:t>;</w:t>
      </w:r>
      <w:r w:rsidR="00957695" w:rsidRPr="009E7D93">
        <w:rPr>
          <w:rFonts w:ascii="Times New Roman" w:hAnsi="Times New Roman" w:cs="Times New Roman"/>
          <w:sz w:val="24"/>
        </w:rPr>
        <w:t xml:space="preserve"> **</w:t>
      </w:r>
      <w:r w:rsidR="00957695">
        <w:rPr>
          <w:rFonts w:ascii="Times New Roman" w:hAnsi="Times New Roman" w:cs="Times New Roman"/>
          <w:i/>
          <w:sz w:val="24"/>
        </w:rPr>
        <w:t>p</w:t>
      </w:r>
      <w:r w:rsidR="00957695" w:rsidRPr="009E7D93">
        <w:rPr>
          <w:rFonts w:ascii="Times New Roman" w:hAnsi="Times New Roman" w:cs="Times New Roman"/>
          <w:sz w:val="24"/>
        </w:rPr>
        <w:t xml:space="preserve"> &lt; 0.01</w:t>
      </w:r>
      <w:r w:rsidR="00957695">
        <w:rPr>
          <w:rFonts w:ascii="Times New Roman" w:hAnsi="Times New Roman" w:cs="Times New Roman"/>
          <w:sz w:val="24"/>
        </w:rPr>
        <w:t>.</w:t>
      </w:r>
    </w:p>
    <w:p w:rsidR="0088313D" w:rsidRDefault="0088313D" w:rsidP="0088313D">
      <w:pPr>
        <w:jc w:val="left"/>
      </w:pPr>
    </w:p>
    <w:sectPr w:rsidR="008831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C55" w:rsidRDefault="002F6C55" w:rsidP="0088313D">
      <w:r>
        <w:separator/>
      </w:r>
    </w:p>
  </w:endnote>
  <w:endnote w:type="continuationSeparator" w:id="0">
    <w:p w:rsidR="002F6C55" w:rsidRDefault="002F6C55" w:rsidP="008831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C55" w:rsidRDefault="002F6C55" w:rsidP="0088313D">
      <w:r>
        <w:separator/>
      </w:r>
    </w:p>
  </w:footnote>
  <w:footnote w:type="continuationSeparator" w:id="0">
    <w:p w:rsidR="002F6C55" w:rsidRDefault="002F6C55" w:rsidP="008831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767"/>
    <w:rsid w:val="00001B24"/>
    <w:rsid w:val="00016A04"/>
    <w:rsid w:val="002227D8"/>
    <w:rsid w:val="002F6C55"/>
    <w:rsid w:val="00374589"/>
    <w:rsid w:val="004555A2"/>
    <w:rsid w:val="00814767"/>
    <w:rsid w:val="0088313D"/>
    <w:rsid w:val="009163AF"/>
    <w:rsid w:val="00957695"/>
    <w:rsid w:val="009A295B"/>
    <w:rsid w:val="00D21348"/>
    <w:rsid w:val="00D41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B727A3F-3566-4A7B-9A85-2131F4655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31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31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31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31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wangqiong</dc:creator>
  <cp:keywords/>
  <dc:description/>
  <cp:lastModifiedBy>wangqiong</cp:lastModifiedBy>
  <cp:revision>6</cp:revision>
  <dcterms:created xsi:type="dcterms:W3CDTF">2020-08-11T08:14:00Z</dcterms:created>
  <dcterms:modified xsi:type="dcterms:W3CDTF">2020-08-12T07:01:00Z</dcterms:modified>
</cp:coreProperties>
</file>