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838FA" w14:textId="77777777" w:rsidR="00E1364B" w:rsidRPr="0088090B" w:rsidRDefault="00000000">
      <w:pPr>
        <w:spacing w:line="480" w:lineRule="auto"/>
        <w:jc w:val="both"/>
        <w:rPr>
          <w:rFonts w:cstheme="minorHAnsi"/>
          <w:sz w:val="24"/>
          <w:szCs w:val="24"/>
        </w:rPr>
      </w:pPr>
      <w:r w:rsidRPr="0088090B">
        <w:rPr>
          <w:rFonts w:cstheme="minorHAnsi"/>
          <w:b/>
          <w:bCs/>
          <w:sz w:val="24"/>
          <w:szCs w:val="24"/>
        </w:rPr>
        <w:t>Figure S1</w:t>
      </w:r>
      <w:r w:rsidRPr="0088090B">
        <w:rPr>
          <w:rFonts w:cstheme="minorHAnsi"/>
          <w:sz w:val="24"/>
          <w:szCs w:val="24"/>
        </w:rPr>
        <w:t xml:space="preserve">: Heart-evoked potentials. </w:t>
      </w:r>
    </w:p>
    <w:p w14:paraId="05BED133" w14:textId="77777777" w:rsidR="00E1364B" w:rsidRPr="0088090B" w:rsidRDefault="00000000">
      <w:pPr>
        <w:spacing w:line="480" w:lineRule="auto"/>
        <w:jc w:val="both"/>
        <w:rPr>
          <w:rFonts w:cstheme="minorHAnsi"/>
          <w:sz w:val="24"/>
          <w:szCs w:val="24"/>
        </w:rPr>
      </w:pPr>
      <w:r w:rsidRPr="0088090B">
        <w:rPr>
          <w:rFonts w:cstheme="minorHAnsi"/>
          <w:noProof/>
          <w:sz w:val="24"/>
          <w:szCs w:val="24"/>
        </w:rPr>
        <w:drawing>
          <wp:anchor distT="0" distB="0" distL="0" distR="0" simplePos="0" relativeHeight="2" behindDoc="0" locked="0" layoutInCell="1" allowOverlap="1" wp14:anchorId="4745169A" wp14:editId="4080ED5C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751580" cy="6068695"/>
            <wp:effectExtent l="0" t="0" r="0" b="0"/>
            <wp:wrapTopAndBottom/>
            <wp:docPr id="1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580" cy="606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6C471B" w14:textId="77777777" w:rsidR="00E1364B" w:rsidRPr="0088090B" w:rsidRDefault="00000000">
      <w:pPr>
        <w:spacing w:line="480" w:lineRule="auto"/>
        <w:jc w:val="both"/>
        <w:rPr>
          <w:rFonts w:cstheme="minorHAnsi"/>
          <w:sz w:val="24"/>
          <w:szCs w:val="24"/>
        </w:rPr>
      </w:pPr>
      <w:r w:rsidRPr="0088090B">
        <w:rPr>
          <w:rFonts w:cstheme="minorHAnsi"/>
          <w:b/>
          <w:bCs/>
          <w:sz w:val="24"/>
          <w:szCs w:val="24"/>
        </w:rPr>
        <w:t>Figure S1 caption</w:t>
      </w:r>
      <w:r w:rsidRPr="0088090B">
        <w:rPr>
          <w:rFonts w:cstheme="minorHAnsi"/>
          <w:sz w:val="24"/>
          <w:szCs w:val="24"/>
        </w:rPr>
        <w:t xml:space="preserve"> - heart-evoked potentials (HEPs) between patients who recovered consciousness before hospital discharge (green), and those who did not (purple) for electrode </w:t>
      </w:r>
      <w:proofErr w:type="spellStart"/>
      <w:r w:rsidRPr="0088090B">
        <w:rPr>
          <w:rFonts w:cstheme="minorHAnsi"/>
          <w:sz w:val="24"/>
          <w:szCs w:val="24"/>
        </w:rPr>
        <w:t>Fz</w:t>
      </w:r>
      <w:proofErr w:type="spellEnd"/>
      <w:r w:rsidRPr="0088090B">
        <w:rPr>
          <w:rFonts w:cstheme="minorHAnsi"/>
          <w:sz w:val="24"/>
          <w:szCs w:val="24"/>
        </w:rPr>
        <w:t xml:space="preserve"> (top) and </w:t>
      </w:r>
      <w:proofErr w:type="spellStart"/>
      <w:r w:rsidRPr="0088090B">
        <w:rPr>
          <w:rFonts w:cstheme="minorHAnsi"/>
          <w:sz w:val="24"/>
          <w:szCs w:val="24"/>
        </w:rPr>
        <w:t>Pz</w:t>
      </w:r>
      <w:proofErr w:type="spellEnd"/>
      <w:r w:rsidRPr="0088090B">
        <w:rPr>
          <w:rFonts w:cstheme="minorHAnsi"/>
          <w:sz w:val="24"/>
          <w:szCs w:val="24"/>
        </w:rPr>
        <w:t xml:space="preserve"> (bottom).  In addition to spatial presentation of the HEP difference between groups </w:t>
      </w:r>
      <w:r w:rsidRPr="0088090B">
        <w:rPr>
          <w:rFonts w:cstheme="minorHAnsi"/>
          <w:sz w:val="24"/>
          <w:szCs w:val="24"/>
        </w:rPr>
        <w:lastRenderedPageBreak/>
        <w:t>from 100ms to 700ms. The hear bar presents the activity in micro-volt. Good denotes the group with recovery of consciousness and bad denotes the group with no recovery of consciousness before discharge. No difference was found between the two groups.</w:t>
      </w:r>
    </w:p>
    <w:p w14:paraId="48F0856A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4E3B0C99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4A5F224C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3EB399D9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0B21E450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2E4099AB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7F540F55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56DD2464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7CC9FB8C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6BC42749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5F241E6B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07AFD54D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7F96AA0F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5206FF67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20459403" w14:textId="77777777" w:rsidR="00267057" w:rsidRPr="0088090B" w:rsidRDefault="00267057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7C32EF98" w14:textId="77777777" w:rsidR="00267057" w:rsidRPr="0088090B" w:rsidRDefault="00267057" w:rsidP="00267057">
      <w:pPr>
        <w:spacing w:line="480" w:lineRule="auto"/>
        <w:jc w:val="both"/>
        <w:rPr>
          <w:rFonts w:cstheme="minorHAnsi"/>
          <w:b/>
          <w:bCs/>
          <w:sz w:val="24"/>
          <w:szCs w:val="24"/>
        </w:rPr>
      </w:pPr>
      <w:r w:rsidRPr="0088090B">
        <w:rPr>
          <w:rFonts w:cstheme="minorHAnsi"/>
          <w:b/>
          <w:bCs/>
          <w:sz w:val="24"/>
          <w:szCs w:val="24"/>
        </w:rPr>
        <w:lastRenderedPageBreak/>
        <w:t>Figure S2</w:t>
      </w:r>
      <w:r w:rsidRPr="0088090B">
        <w:rPr>
          <w:rFonts w:cstheme="minorHAnsi"/>
          <w:sz w:val="24"/>
          <w:szCs w:val="24"/>
        </w:rPr>
        <w:t xml:space="preserve">: Heart rate and heart rate variability. </w:t>
      </w:r>
    </w:p>
    <w:p w14:paraId="2594BFAC" w14:textId="01D33C02" w:rsidR="00E1364B" w:rsidRPr="0088090B" w:rsidRDefault="00000000">
      <w:pPr>
        <w:spacing w:line="480" w:lineRule="auto"/>
        <w:jc w:val="both"/>
        <w:rPr>
          <w:rFonts w:cstheme="minorHAnsi"/>
          <w:sz w:val="24"/>
          <w:szCs w:val="24"/>
        </w:rPr>
      </w:pPr>
      <w:r w:rsidRPr="0088090B">
        <w:rPr>
          <w:rFonts w:cstheme="minorHAnsi"/>
          <w:noProof/>
          <w:sz w:val="24"/>
          <w:szCs w:val="24"/>
        </w:rPr>
        <w:drawing>
          <wp:anchor distT="0" distB="0" distL="0" distR="0" simplePos="0" relativeHeight="3" behindDoc="0" locked="0" layoutInCell="1" allowOverlap="1" wp14:anchorId="2D1EACFA" wp14:editId="0CDEC266">
            <wp:simplePos x="0" y="0"/>
            <wp:positionH relativeFrom="column">
              <wp:posOffset>514350</wp:posOffset>
            </wp:positionH>
            <wp:positionV relativeFrom="paragraph">
              <wp:posOffset>-187325</wp:posOffset>
            </wp:positionV>
            <wp:extent cx="4395470" cy="3658870"/>
            <wp:effectExtent l="0" t="0" r="0" b="0"/>
            <wp:wrapTopAndBottom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470" cy="3658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89EC3F" w14:textId="77777777" w:rsidR="00E1364B" w:rsidRPr="0088090B" w:rsidRDefault="00000000">
      <w:pPr>
        <w:spacing w:line="480" w:lineRule="auto"/>
        <w:jc w:val="both"/>
        <w:rPr>
          <w:rFonts w:cstheme="minorHAnsi"/>
          <w:sz w:val="24"/>
          <w:szCs w:val="24"/>
        </w:rPr>
      </w:pPr>
      <w:r w:rsidRPr="0088090B">
        <w:rPr>
          <w:rFonts w:cstheme="minorHAnsi"/>
          <w:b/>
          <w:bCs/>
          <w:sz w:val="24"/>
          <w:szCs w:val="24"/>
        </w:rPr>
        <w:t>Figure S2 caption</w:t>
      </w:r>
      <w:r w:rsidRPr="0088090B">
        <w:rPr>
          <w:rFonts w:cstheme="minorHAnsi"/>
          <w:sz w:val="24"/>
          <w:szCs w:val="24"/>
        </w:rPr>
        <w:t xml:space="preserve"> – heart rate and heart rate variability comparison between patients who recovered consciousness before hospital discharge (green), and those who did not (purple).  No difference was found between the two groups. </w:t>
      </w:r>
    </w:p>
    <w:p w14:paraId="043900A9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19DB09B8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0310A5C6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30B44CCF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0FF37DAB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0B28B2C9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335F7C32" w14:textId="77777777" w:rsidR="00E1364B" w:rsidRPr="0088090B" w:rsidRDefault="00E1364B">
      <w:pPr>
        <w:spacing w:line="480" w:lineRule="auto"/>
        <w:jc w:val="both"/>
        <w:rPr>
          <w:rFonts w:cstheme="minorHAnsi"/>
          <w:sz w:val="24"/>
          <w:szCs w:val="24"/>
        </w:rPr>
      </w:pPr>
    </w:p>
    <w:p w14:paraId="712C6653" w14:textId="77777777" w:rsidR="00E1364B" w:rsidRPr="0088090B" w:rsidRDefault="00000000">
      <w:pPr>
        <w:spacing w:line="480" w:lineRule="auto"/>
        <w:jc w:val="both"/>
        <w:rPr>
          <w:rFonts w:cstheme="minorHAnsi"/>
          <w:b/>
          <w:bCs/>
          <w:sz w:val="24"/>
          <w:szCs w:val="24"/>
        </w:rPr>
      </w:pPr>
      <w:r w:rsidRPr="0088090B">
        <w:rPr>
          <w:rFonts w:cstheme="minorHAnsi"/>
          <w:b/>
          <w:bCs/>
          <w:sz w:val="24"/>
          <w:szCs w:val="24"/>
        </w:rPr>
        <w:t>Figure S3</w:t>
      </w:r>
      <w:r w:rsidRPr="0088090B">
        <w:rPr>
          <w:rFonts w:cstheme="minorHAnsi"/>
          <w:sz w:val="24"/>
          <w:szCs w:val="24"/>
        </w:rPr>
        <w:t xml:space="preserve">: </w:t>
      </w:r>
      <w:r w:rsidRPr="0088090B">
        <w:rPr>
          <w:rFonts w:cstheme="minorHAnsi"/>
          <w:color w:val="000000"/>
          <w:sz w:val="24"/>
          <w:szCs w:val="24"/>
        </w:rPr>
        <w:t>R-squared of variables</w:t>
      </w:r>
    </w:p>
    <w:p w14:paraId="4F5E6807" w14:textId="77777777" w:rsidR="00E1364B" w:rsidRPr="0088090B" w:rsidRDefault="00000000">
      <w:pPr>
        <w:spacing w:line="480" w:lineRule="auto"/>
        <w:jc w:val="both"/>
        <w:rPr>
          <w:rFonts w:cstheme="minorHAnsi"/>
          <w:b/>
          <w:bCs/>
          <w:sz w:val="24"/>
          <w:szCs w:val="24"/>
        </w:rPr>
      </w:pPr>
      <w:r w:rsidRPr="0088090B">
        <w:rPr>
          <w:noProof/>
        </w:rPr>
        <w:drawing>
          <wp:inline distT="0" distB="0" distL="0" distR="0" wp14:anchorId="58D472C8" wp14:editId="6944578B">
            <wp:extent cx="5943600" cy="2228850"/>
            <wp:effectExtent l="0" t="0" r="0" b="0"/>
            <wp:docPr id="3" name="Picture 3" descr="A graph of a graph of a graph of a graph of a graph of a graph of a graph of a graph of a graph of a graph of a graph of a graph of a graph 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of a graph of a graph of a graph of a graph of a graph of a graph of a graph of a graph of a graph of a graph of a graph of a graph of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9A157" w14:textId="556D146A" w:rsidR="00E1364B" w:rsidRPr="0088090B" w:rsidRDefault="00000000">
      <w:pPr>
        <w:spacing w:line="480" w:lineRule="auto"/>
        <w:jc w:val="both"/>
        <w:rPr>
          <w:rFonts w:cstheme="minorHAnsi"/>
          <w:color w:val="000000"/>
          <w:sz w:val="24"/>
          <w:szCs w:val="24"/>
        </w:rPr>
      </w:pPr>
      <w:r w:rsidRPr="0088090B">
        <w:rPr>
          <w:rFonts w:cstheme="minorHAnsi"/>
          <w:b/>
          <w:bCs/>
          <w:sz w:val="24"/>
          <w:szCs w:val="24"/>
        </w:rPr>
        <w:t>Figure S3 caption</w:t>
      </w:r>
      <w:r w:rsidRPr="0088090B">
        <w:rPr>
          <w:rFonts w:cstheme="minorHAnsi"/>
          <w:sz w:val="24"/>
          <w:szCs w:val="24"/>
        </w:rPr>
        <w:t xml:space="preserve"> – </w:t>
      </w:r>
      <w:r w:rsidRPr="0088090B">
        <w:rPr>
          <w:rFonts w:cstheme="minorHAnsi"/>
          <w:color w:val="000000"/>
          <w:sz w:val="24"/>
          <w:szCs w:val="24"/>
        </w:rPr>
        <w:t>The proportion of variance in recovery of consciousness explained by the features.</w:t>
      </w:r>
      <w:r w:rsidR="00F80384" w:rsidRPr="008442BB">
        <w:rPr>
          <w:rFonts w:cstheme="minorHAnsi"/>
          <w:color w:val="000000"/>
          <w:sz w:val="24"/>
          <w:szCs w:val="24"/>
        </w:rPr>
        <w:t xml:space="preserve"> For the EEG dataset, Age (r2 = 0.076) and </w:t>
      </w:r>
      <w:r w:rsidR="00F80384" w:rsidRPr="0088090B">
        <w:rPr>
          <w:rFonts w:cstheme="minorHAnsi"/>
          <w:color w:val="000000"/>
          <w:sz w:val="24"/>
          <w:szCs w:val="24"/>
        </w:rPr>
        <w:t xml:space="preserve">Beta power </w:t>
      </w:r>
      <w:proofErr w:type="spellStart"/>
      <w:r w:rsidR="00F80384" w:rsidRPr="0088090B">
        <w:rPr>
          <w:rFonts w:cstheme="minorHAnsi"/>
          <w:color w:val="000000"/>
          <w:sz w:val="24"/>
          <w:szCs w:val="24"/>
        </w:rPr>
        <w:t>mEmCh</w:t>
      </w:r>
      <w:proofErr w:type="spellEnd"/>
      <w:r w:rsidR="00F80384" w:rsidRPr="0088090B">
        <w:rPr>
          <w:rFonts w:cstheme="minorHAnsi"/>
          <w:color w:val="000000"/>
          <w:sz w:val="24"/>
          <w:szCs w:val="24"/>
        </w:rPr>
        <w:t xml:space="preserve"> (r2 = 0.098) were the best predictors of the Clinical and EEG features, respectively. For the HEP dataset, Right reactivity (r2 = 0.08), Beta power </w:t>
      </w:r>
      <w:proofErr w:type="spellStart"/>
      <w:r w:rsidR="00F80384" w:rsidRPr="0088090B">
        <w:rPr>
          <w:rFonts w:cstheme="minorHAnsi"/>
          <w:color w:val="000000"/>
          <w:sz w:val="24"/>
          <w:szCs w:val="24"/>
        </w:rPr>
        <w:t>mEmCh</w:t>
      </w:r>
      <w:proofErr w:type="spellEnd"/>
      <w:r w:rsidR="00F80384" w:rsidRPr="0088090B">
        <w:rPr>
          <w:rFonts w:cstheme="minorHAnsi"/>
          <w:color w:val="000000"/>
          <w:sz w:val="24"/>
          <w:szCs w:val="24"/>
        </w:rPr>
        <w:t xml:space="preserve"> (r2 = 0.145), and </w:t>
      </w:r>
      <w:proofErr w:type="spellStart"/>
      <w:r w:rsidR="00F80384" w:rsidRPr="0088090B">
        <w:rPr>
          <w:rFonts w:cstheme="minorHAnsi"/>
          <w:color w:val="000000"/>
          <w:sz w:val="24"/>
          <w:szCs w:val="24"/>
        </w:rPr>
        <w:t>Cz</w:t>
      </w:r>
      <w:proofErr w:type="spellEnd"/>
      <w:r w:rsidR="00F80384" w:rsidRPr="0088090B">
        <w:rPr>
          <w:rFonts w:cstheme="minorHAnsi"/>
          <w:color w:val="000000"/>
          <w:sz w:val="24"/>
          <w:szCs w:val="24"/>
        </w:rPr>
        <w:t xml:space="preserve"> 0-600 </w:t>
      </w:r>
      <w:proofErr w:type="spellStart"/>
      <w:r w:rsidR="00F80384" w:rsidRPr="0088090B">
        <w:rPr>
          <w:rFonts w:cstheme="minorHAnsi"/>
          <w:color w:val="000000"/>
          <w:sz w:val="24"/>
          <w:szCs w:val="24"/>
        </w:rPr>
        <w:t>ms</w:t>
      </w:r>
      <w:proofErr w:type="spellEnd"/>
      <w:r w:rsidR="00F80384" w:rsidRPr="0088090B">
        <w:rPr>
          <w:rFonts w:cstheme="minorHAnsi"/>
          <w:color w:val="000000"/>
          <w:sz w:val="24"/>
          <w:szCs w:val="24"/>
        </w:rPr>
        <w:t xml:space="preserve"> (r2 = 0.006) were the best predictors of the Clinical, EEG, and HEP features, respectively.</w:t>
      </w:r>
    </w:p>
    <w:p w14:paraId="193F8DC7" w14:textId="77777777" w:rsidR="00E1364B" w:rsidRPr="0088090B" w:rsidRDefault="00E1364B">
      <w:pPr>
        <w:spacing w:line="480" w:lineRule="auto"/>
        <w:jc w:val="both"/>
        <w:rPr>
          <w:rFonts w:cstheme="minorHAnsi"/>
          <w:color w:val="000000"/>
          <w:sz w:val="24"/>
          <w:szCs w:val="24"/>
        </w:rPr>
      </w:pPr>
    </w:p>
    <w:p w14:paraId="362ED8D8" w14:textId="77777777" w:rsidR="00E1364B" w:rsidRPr="0088090B" w:rsidRDefault="00E1364B">
      <w:pPr>
        <w:spacing w:line="480" w:lineRule="auto"/>
        <w:jc w:val="both"/>
        <w:rPr>
          <w:rFonts w:cstheme="minorHAnsi"/>
          <w:color w:val="000000"/>
          <w:sz w:val="24"/>
          <w:szCs w:val="24"/>
        </w:rPr>
      </w:pPr>
    </w:p>
    <w:p w14:paraId="3E41B03C" w14:textId="77777777" w:rsidR="00E1364B" w:rsidRPr="0088090B" w:rsidRDefault="00E1364B">
      <w:pPr>
        <w:spacing w:line="480" w:lineRule="auto"/>
        <w:jc w:val="both"/>
        <w:rPr>
          <w:rFonts w:cstheme="minorHAnsi"/>
          <w:color w:val="000000"/>
          <w:sz w:val="24"/>
          <w:szCs w:val="24"/>
        </w:rPr>
      </w:pPr>
    </w:p>
    <w:p w14:paraId="7912B87F" w14:textId="77777777" w:rsidR="00E1364B" w:rsidRPr="0088090B" w:rsidRDefault="00E1364B">
      <w:pPr>
        <w:spacing w:line="480" w:lineRule="auto"/>
        <w:jc w:val="both"/>
        <w:rPr>
          <w:rFonts w:cstheme="minorHAnsi"/>
          <w:color w:val="000000"/>
          <w:sz w:val="24"/>
          <w:szCs w:val="24"/>
        </w:rPr>
      </w:pPr>
    </w:p>
    <w:p w14:paraId="3173AFE2" w14:textId="77777777" w:rsidR="00E1364B" w:rsidRPr="0088090B" w:rsidRDefault="00E1364B">
      <w:pPr>
        <w:spacing w:line="480" w:lineRule="auto"/>
        <w:jc w:val="both"/>
        <w:rPr>
          <w:rFonts w:cstheme="minorHAnsi"/>
          <w:b/>
          <w:bCs/>
          <w:sz w:val="24"/>
          <w:szCs w:val="24"/>
        </w:rPr>
      </w:pPr>
    </w:p>
    <w:p w14:paraId="3E2F37D6" w14:textId="77777777" w:rsidR="00E1364B" w:rsidRPr="0088090B" w:rsidRDefault="00000000">
      <w:pPr>
        <w:spacing w:line="480" w:lineRule="auto"/>
        <w:jc w:val="both"/>
        <w:rPr>
          <w:rFonts w:cstheme="minorHAnsi"/>
          <w:sz w:val="24"/>
          <w:szCs w:val="24"/>
        </w:rPr>
      </w:pPr>
      <w:r w:rsidRPr="0088090B">
        <w:rPr>
          <w:rFonts w:cstheme="minorHAnsi"/>
          <w:b/>
          <w:bCs/>
          <w:sz w:val="24"/>
          <w:szCs w:val="24"/>
        </w:rPr>
        <w:lastRenderedPageBreak/>
        <w:t>Table S1</w:t>
      </w:r>
      <w:r w:rsidRPr="0088090B">
        <w:rPr>
          <w:rFonts w:cstheme="minorHAnsi"/>
          <w:sz w:val="24"/>
          <w:szCs w:val="24"/>
        </w:rPr>
        <w:t xml:space="preserve">: AUCs and 95% Confidence Intervals of different machine learning models in predicting recovery of consciousness before discharge. </w:t>
      </w:r>
    </w:p>
    <w:p w14:paraId="347DD234" w14:textId="2A9C307A" w:rsidR="00E1364B" w:rsidRPr="0088090B" w:rsidRDefault="00ED5D1D">
      <w:pPr>
        <w:spacing w:line="480" w:lineRule="auto"/>
        <w:jc w:val="both"/>
        <w:rPr>
          <w:rFonts w:cstheme="minorHAnsi"/>
          <w:sz w:val="24"/>
          <w:szCs w:val="24"/>
        </w:rPr>
      </w:pPr>
      <w:r w:rsidRPr="0088090B">
        <w:rPr>
          <w:rFonts w:cstheme="minorHAnsi"/>
          <w:noProof/>
          <w:sz w:val="24"/>
          <w:szCs w:val="24"/>
        </w:rPr>
        <w:drawing>
          <wp:inline distT="0" distB="0" distL="0" distR="0" wp14:anchorId="1ABFD8D2" wp14:editId="476CE061">
            <wp:extent cx="5934075" cy="3895725"/>
            <wp:effectExtent l="0" t="0" r="9525" b="9525"/>
            <wp:docPr id="8737650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5D6FA" w14:textId="77777777" w:rsidR="00E1364B" w:rsidRDefault="00000000">
      <w:pPr>
        <w:spacing w:line="480" w:lineRule="auto"/>
        <w:jc w:val="both"/>
        <w:rPr>
          <w:rFonts w:cstheme="minorHAnsi"/>
          <w:sz w:val="24"/>
          <w:szCs w:val="24"/>
        </w:rPr>
      </w:pPr>
      <w:r w:rsidRPr="0088090B">
        <w:rPr>
          <w:rFonts w:cstheme="minorHAnsi"/>
          <w:sz w:val="24"/>
          <w:szCs w:val="24"/>
        </w:rPr>
        <w:t xml:space="preserve">Abbreviations: Dataset E, the EEG dataset; Dataset EH, the EEG and heart evoked potentials dataset; Clin, clinical variables; CT, computed tomography; EEG, electroencephalogram; HEP, heart evoked potentials; SVM, support vector machine; RF, random forest; HGB, histogram-based gradient boosting; XGB, </w:t>
      </w:r>
      <w:proofErr w:type="spellStart"/>
      <w:r w:rsidRPr="0088090B">
        <w:rPr>
          <w:rFonts w:cstheme="minorHAnsi"/>
          <w:sz w:val="24"/>
          <w:szCs w:val="24"/>
        </w:rPr>
        <w:t>XGBoost</w:t>
      </w:r>
      <w:proofErr w:type="spellEnd"/>
      <w:r w:rsidRPr="0088090B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  </w:t>
      </w:r>
    </w:p>
    <w:sectPr w:rsidR="00E1364B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64B"/>
    <w:rsid w:val="001205FB"/>
    <w:rsid w:val="00267057"/>
    <w:rsid w:val="0088090B"/>
    <w:rsid w:val="00E1364B"/>
    <w:rsid w:val="00ED5D1D"/>
    <w:rsid w:val="00F8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672C3"/>
  <w15:docId w15:val="{83731F1C-9E51-4E43-AB1A-17441AD7E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F7C"/>
    <w:pPr>
      <w:spacing w:after="160" w:line="259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qFormat/>
    <w:rsid w:val="00B077C3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Revision">
    <w:name w:val="Revision"/>
    <w:uiPriority w:val="99"/>
    <w:semiHidden/>
    <w:qFormat/>
    <w:rsid w:val="00D95521"/>
    <w:pPr>
      <w:suppressAutoHyphens w:val="0"/>
    </w:pPr>
    <w:rPr>
      <w:sz w:val="22"/>
    </w:rPr>
  </w:style>
  <w:style w:type="table" w:styleId="TableGrid">
    <w:name w:val="Table Grid"/>
    <w:basedOn w:val="TableNormal"/>
    <w:uiPriority w:val="39"/>
    <w:rsid w:val="00B07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3005</TotalTime>
  <Pages>5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Alkhachroum, Ayham</dc:creator>
  <dc:description/>
  <cp:lastModifiedBy>Alkhachroum, Ayham</cp:lastModifiedBy>
  <cp:revision>14</cp:revision>
  <dcterms:created xsi:type="dcterms:W3CDTF">2023-09-01T03:49:00Z</dcterms:created>
  <dcterms:modified xsi:type="dcterms:W3CDTF">2024-01-23T20:47:00Z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