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76BF" w:rsidRDefault="0084631F">
      <w:pPr>
        <w:jc w:val="center"/>
        <w:rPr>
          <w:rFonts w:ascii="Times New Roman" w:eastAsia="Times New Roman" w:hAnsi="Times New Roman" w:cs="Times New Roman"/>
          <w:sz w:val="24"/>
          <w:szCs w:val="24"/>
        </w:rPr>
      </w:pPr>
      <w:bookmarkStart w:id="0" w:name="_GoBack"/>
      <w:bookmarkEnd w:id="0"/>
      <w:r>
        <w:rPr>
          <w:rFonts w:ascii="Times New Roman" w:eastAsia="Times New Roman" w:hAnsi="Times New Roman" w:cs="Times New Roman"/>
          <w:sz w:val="24"/>
          <w:szCs w:val="24"/>
        </w:rPr>
        <w:t>SUPPLEMENTARY INFORMATION</w:t>
      </w:r>
    </w:p>
    <w:p w:rsidR="007876BF" w:rsidRDefault="0084631F">
      <w:pPr>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First in vitro cell co-culture experiments using laser-induced very high energy electron FLASH irradiation – potential for anti-cancer therapeutic strategies</w:t>
      </w:r>
    </w:p>
    <w:p w:rsidR="007876BF" w:rsidRDefault="007876BF">
      <w:pPr>
        <w:jc w:val="center"/>
        <w:rPr>
          <w:sz w:val="24"/>
          <w:szCs w:val="24"/>
        </w:rPr>
      </w:pPr>
    </w:p>
    <w:p w:rsidR="007876BF" w:rsidRDefault="0084631F">
      <w:pPr>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LPA experimental setup </w:t>
      </w:r>
    </w:p>
    <w:p w:rsidR="007876BF" w:rsidRDefault="0084631F">
      <w:pPr>
        <w:jc w:val="both"/>
        <w:rPr>
          <w:sz w:val="24"/>
          <w:szCs w:val="24"/>
        </w:rPr>
      </w:pPr>
      <w:r>
        <w:rPr>
          <w:rFonts w:ascii="Times New Roman" w:eastAsia="Times New Roman" w:hAnsi="Times New Roman" w:cs="Times New Roman"/>
          <w:color w:val="000000"/>
          <w:sz w:val="24"/>
          <w:szCs w:val="24"/>
        </w:rPr>
        <w:t>The high-intensity laser beam was focused with</w:t>
      </w:r>
      <w:r>
        <w:rPr>
          <w:rFonts w:ascii="Times New Roman" w:eastAsia="Times New Roman" w:hAnsi="Times New Roman" w:cs="Times New Roman"/>
          <w:color w:val="000000"/>
          <w:sz w:val="24"/>
          <w:szCs w:val="24"/>
        </w:rPr>
        <w:t xml:space="preserve"> an off-axis parabolic mirror of a 3.2 m focal length (</w:t>
      </w:r>
      <w:proofErr w:type="spellStart"/>
      <w:r>
        <w:rPr>
          <w:rFonts w:ascii="Times New Roman" w:eastAsia="Times New Roman" w:hAnsi="Times New Roman" w:cs="Times New Roman"/>
          <w:color w:val="000000"/>
          <w:sz w:val="24"/>
          <w:szCs w:val="24"/>
        </w:rPr>
        <w:t>f#</w:t>
      </w:r>
      <w:proofErr w:type="spellEnd"/>
      <w:r>
        <w:rPr>
          <w:rFonts w:ascii="Times New Roman" w:eastAsia="Times New Roman" w:hAnsi="Times New Roman" w:cs="Times New Roman"/>
          <w:color w:val="000000"/>
          <w:sz w:val="24"/>
          <w:szCs w:val="24"/>
        </w:rPr>
        <w:t xml:space="preserve"> 27) on a supersonic gas jet consisting of 99% He + 1% N</w:t>
      </w:r>
      <w:r>
        <w:rPr>
          <w:rFonts w:ascii="Times New Roman" w:eastAsia="Times New Roman" w:hAnsi="Times New Roman" w:cs="Times New Roman"/>
          <w:color w:val="000000"/>
          <w:sz w:val="24"/>
          <w:szCs w:val="24"/>
          <w:vertAlign w:val="subscript"/>
        </w:rPr>
        <w:t>2</w:t>
      </w:r>
      <w:r>
        <w:rPr>
          <w:rFonts w:ascii="Times New Roman" w:eastAsia="Times New Roman" w:hAnsi="Times New Roman" w:cs="Times New Roman"/>
          <w:color w:val="000000"/>
          <w:sz w:val="24"/>
          <w:szCs w:val="24"/>
        </w:rPr>
        <w:t xml:space="preserve">. Electron energy distributions have been measured with a spectrometer equipped with </w:t>
      </w:r>
      <w:sdt>
        <w:sdtPr>
          <w:tag w:val="goog_rdk_0"/>
          <w:id w:val="921758325"/>
        </w:sdtPr>
        <w:sdtEndPr/>
        <w:sdtContent>
          <w:r>
            <w:rPr>
              <w:rFonts w:ascii="Times New Roman" w:eastAsia="Times New Roman" w:hAnsi="Times New Roman" w:cs="Times New Roman"/>
              <w:color w:val="000000"/>
              <w:sz w:val="24"/>
              <w:szCs w:val="24"/>
            </w:rPr>
            <w:t xml:space="preserve">a </w:t>
          </w:r>
        </w:sdtContent>
      </w:sdt>
      <w:r>
        <w:rPr>
          <w:rFonts w:ascii="Times New Roman" w:eastAsia="Times New Roman" w:hAnsi="Times New Roman" w:cs="Times New Roman"/>
          <w:color w:val="000000"/>
          <w:sz w:val="24"/>
          <w:szCs w:val="24"/>
        </w:rPr>
        <w:t xml:space="preserve">Pb collimator and magnetic dipole of 0.8T, </w:t>
      </w:r>
      <w:sdt>
        <w:sdtPr>
          <w:tag w:val="goog_rdk_1"/>
          <w:id w:val="-257909365"/>
        </w:sdtPr>
        <w:sdtEndPr/>
        <w:sdtContent>
          <w:r>
            <w:rPr>
              <w:rFonts w:ascii="Times New Roman" w:eastAsia="Times New Roman" w:hAnsi="Times New Roman" w:cs="Times New Roman"/>
              <w:color w:val="000000"/>
              <w:sz w:val="24"/>
              <w:szCs w:val="24"/>
            </w:rPr>
            <w:t>set up</w:t>
          </w:r>
        </w:sdtContent>
      </w:sdt>
      <w:r w:rsidR="0026019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 xml:space="preserve">nto the electron beam at the extension of the interaction chamber.  Fig. SI 1 presents a detailed LPA experimental setup and a photo of cell culture containers placed </w:t>
      </w:r>
      <w:sdt>
        <w:sdtPr>
          <w:tag w:val="goog_rdk_3"/>
          <w:id w:val="740988115"/>
        </w:sdtPr>
        <w:sdtEndPr/>
        <w:sdtContent>
          <w:r>
            <w:rPr>
              <w:rFonts w:ascii="Times New Roman" w:eastAsia="Times New Roman" w:hAnsi="Times New Roman" w:cs="Times New Roman"/>
              <w:color w:val="000000"/>
              <w:sz w:val="24"/>
              <w:szCs w:val="24"/>
            </w:rPr>
            <w:t>in between</w:t>
          </w:r>
        </w:sdtContent>
      </w:sdt>
      <w:r w:rsidR="0026019C">
        <w:t xml:space="preserve"> </w:t>
      </w:r>
      <w:r>
        <w:rPr>
          <w:rFonts w:ascii="Times New Roman" w:eastAsia="Times New Roman" w:hAnsi="Times New Roman" w:cs="Times New Roman"/>
          <w:color w:val="000000"/>
          <w:sz w:val="24"/>
          <w:szCs w:val="24"/>
        </w:rPr>
        <w:t xml:space="preserve">three TLDs. In our set-up, three </w:t>
      </w:r>
      <w:proofErr w:type="spellStart"/>
      <w:r>
        <w:rPr>
          <w:rFonts w:ascii="Times New Roman" w:eastAsia="Times New Roman" w:hAnsi="Times New Roman" w:cs="Times New Roman"/>
          <w:color w:val="000000"/>
          <w:sz w:val="24"/>
          <w:szCs w:val="24"/>
        </w:rPr>
        <w:t>thermoluminescent</w:t>
      </w:r>
      <w:proofErr w:type="spellEnd"/>
      <w:r>
        <w:rPr>
          <w:rFonts w:ascii="Times New Roman" w:eastAsia="Times New Roman" w:hAnsi="Times New Roman" w:cs="Times New Roman"/>
          <w:color w:val="000000"/>
          <w:sz w:val="24"/>
          <w:szCs w:val="24"/>
        </w:rPr>
        <w:t xml:space="preserve"> dosimeters (TLD) were int</w:t>
      </w:r>
      <w:r>
        <w:rPr>
          <w:rFonts w:ascii="Times New Roman" w:eastAsia="Times New Roman" w:hAnsi="Times New Roman" w:cs="Times New Roman"/>
          <w:color w:val="000000"/>
          <w:sz w:val="24"/>
          <w:szCs w:val="24"/>
        </w:rPr>
        <w:t>roduced: one was placed in front of the first container, the second TLD between the two containers</w:t>
      </w:r>
      <w:r w:rsidR="0026019C">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the third TLD was placed after the second container (see TLD 1, 2, 3 in Fig. 4). Before reaching the first TLD, the electron beam travels approximately 198 c</w:t>
      </w:r>
      <w:r>
        <w:rPr>
          <w:rFonts w:ascii="Times New Roman" w:eastAsia="Times New Roman" w:hAnsi="Times New Roman" w:cs="Times New Roman"/>
          <w:color w:val="000000"/>
          <w:sz w:val="24"/>
          <w:szCs w:val="24"/>
        </w:rPr>
        <w:t>m in a vacuum, after which it travels successively through a 60 µm Al foil, a 1 cm thick glass window, another 60 µm Al foil, 0.5 mm cardboard, the scintillator screen LANEX and 2 cm in air.</w:t>
      </w:r>
      <w:r>
        <w:rPr>
          <w:sz w:val="24"/>
          <w:szCs w:val="24"/>
        </w:rPr>
        <w:t xml:space="preserve"> </w:t>
      </w:r>
    </w:p>
    <w:p w:rsidR="007876BF" w:rsidRDefault="0084631F">
      <w:pPr>
        <w:jc w:val="center"/>
        <w:rPr>
          <w:rFonts w:ascii="Times New Roman" w:eastAsia="Times New Roman" w:hAnsi="Times New Roman" w:cs="Times New Roman"/>
          <w:sz w:val="24"/>
          <w:szCs w:val="24"/>
        </w:rPr>
      </w:pPr>
      <w:r>
        <w:rPr>
          <w:noProof/>
          <w:sz w:val="24"/>
          <w:szCs w:val="24"/>
        </w:rPr>
        <w:drawing>
          <wp:inline distT="0" distB="0" distL="0" distR="0">
            <wp:extent cx="4735166" cy="3982396"/>
            <wp:effectExtent l="0" t="0" r="0" b="0"/>
            <wp:docPr id="3"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6"/>
                    <a:srcRect/>
                    <a:stretch>
                      <a:fillRect/>
                    </a:stretch>
                  </pic:blipFill>
                  <pic:spPr>
                    <a:xfrm>
                      <a:off x="0" y="0"/>
                      <a:ext cx="4735166" cy="3982396"/>
                    </a:xfrm>
                    <a:prstGeom prst="rect">
                      <a:avLst/>
                    </a:prstGeom>
                    <a:ln/>
                  </pic:spPr>
                </pic:pic>
              </a:graphicData>
            </a:graphic>
          </wp:inline>
        </w:drawing>
      </w:r>
    </w:p>
    <w:p w:rsidR="007876BF" w:rsidRDefault="0084631F">
      <w:pPr>
        <w:jc w:val="center"/>
        <w:rPr>
          <w:sz w:val="24"/>
          <w:szCs w:val="24"/>
        </w:rPr>
      </w:pPr>
      <w:r>
        <w:rPr>
          <w:rFonts w:ascii="Times New Roman" w:eastAsia="Times New Roman" w:hAnsi="Times New Roman" w:cs="Times New Roman"/>
          <w:i/>
        </w:rPr>
        <w:t xml:space="preserve">Figure SI 1: </w:t>
      </w:r>
      <w:r>
        <w:rPr>
          <w:i/>
        </w:rPr>
        <w:t xml:space="preserve">Schematic diagram of the laser-gas target </w:t>
      </w:r>
      <w:r>
        <w:rPr>
          <w:i/>
        </w:rPr>
        <w:t>experimental setup for the generation of accelerated electron beams and the irradiation of cell co-cultures in vitro</w:t>
      </w:r>
    </w:p>
    <w:p w:rsidR="007876BF" w:rsidRDefault="007876BF">
      <w:pPr>
        <w:rPr>
          <w:rFonts w:ascii="Times New Roman" w:eastAsia="Times New Roman" w:hAnsi="Times New Roman" w:cs="Times New Roman"/>
          <w:b/>
          <w:i/>
          <w:sz w:val="24"/>
          <w:szCs w:val="24"/>
        </w:rPr>
      </w:pPr>
    </w:p>
    <w:p w:rsidR="007876BF" w:rsidRDefault="0084631F">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Dosimetry measurements:</w:t>
      </w:r>
    </w:p>
    <w:p w:rsidR="007876BF" w:rsidRDefault="0084631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For relative measurements of the doses delivered to the cells, we used three different dosimetry systems. The dose</w:t>
      </w:r>
      <w:r>
        <w:rPr>
          <w:rFonts w:ascii="Times New Roman" w:eastAsia="Times New Roman" w:hAnsi="Times New Roman" w:cs="Times New Roman"/>
          <w:sz w:val="24"/>
          <w:szCs w:val="24"/>
        </w:rPr>
        <w:t xml:space="preserve"> values provided are as follows:</w:t>
      </w:r>
    </w:p>
    <w:p w:rsidR="007876BF" w:rsidRDefault="0084631F">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t xml:space="preserve">Advanced Markus ionization chamber: I. 149.9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and II. 154.8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w:t>
      </w:r>
    </w:p>
    <w:p w:rsidR="007876BF" w:rsidRDefault="0084631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w:t>
      </w:r>
      <w:r>
        <w:rPr>
          <w:rFonts w:ascii="Times New Roman" w:eastAsia="Times New Roman" w:hAnsi="Times New Roman" w:cs="Times New Roman"/>
          <w:sz w:val="24"/>
          <w:szCs w:val="24"/>
        </w:rPr>
        <w:tab/>
        <w:t>TLD placed in front, middle</w:t>
      </w:r>
      <w:sdt>
        <w:sdtPr>
          <w:tag w:val="goog_rdk_6"/>
          <w:id w:val="223493315"/>
        </w:sdtPr>
        <w:sdtEndPr/>
        <w:sdtContent>
          <w:r>
            <w:rPr>
              <w:rFonts w:ascii="Times New Roman" w:eastAsia="Times New Roman" w:hAnsi="Times New Roman" w:cs="Times New Roman"/>
              <w:sz w:val="24"/>
              <w:szCs w:val="24"/>
            </w:rPr>
            <w:t>,</w:t>
          </w:r>
        </w:sdtContent>
      </w:sdt>
      <w:r>
        <w:rPr>
          <w:rFonts w:ascii="Times New Roman" w:eastAsia="Times New Roman" w:hAnsi="Times New Roman" w:cs="Times New Roman"/>
          <w:sz w:val="24"/>
          <w:szCs w:val="24"/>
        </w:rPr>
        <w:t xml:space="preserve"> and behind cell containers: I. 1107.28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627,48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and 400,97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II: 1263,08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748,28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and 429,65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w:t>
      </w:r>
    </w:p>
    <w:p w:rsidR="007876BF" w:rsidRDefault="0084631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z w:val="24"/>
          <w:szCs w:val="24"/>
        </w:rPr>
        <w:t>ii)</w:t>
      </w:r>
      <w:r>
        <w:rPr>
          <w:rFonts w:ascii="Times New Roman" w:eastAsia="Times New Roman" w:hAnsi="Times New Roman" w:cs="Times New Roman"/>
          <w:sz w:val="24"/>
          <w:szCs w:val="24"/>
        </w:rPr>
        <w:tab/>
      </w:r>
      <w:proofErr w:type="spellStart"/>
      <w:r>
        <w:rPr>
          <w:rFonts w:ascii="Times New Roman" w:eastAsia="Times New Roman" w:hAnsi="Times New Roman" w:cs="Times New Roman"/>
          <w:sz w:val="24"/>
          <w:szCs w:val="24"/>
        </w:rPr>
        <w:t>Gafchromic</w:t>
      </w:r>
      <w:proofErr w:type="spellEnd"/>
      <w:r>
        <w:rPr>
          <w:rFonts w:ascii="Times New Roman" w:eastAsia="Times New Roman" w:hAnsi="Times New Roman" w:cs="Times New Roman"/>
          <w:sz w:val="24"/>
          <w:szCs w:val="24"/>
        </w:rPr>
        <w:t xml:space="preserve"> films placed behind the stack:  I. 195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and II. 170 </w:t>
      </w:r>
      <w:proofErr w:type="spellStart"/>
      <w:r>
        <w:rPr>
          <w:rFonts w:ascii="Times New Roman" w:eastAsia="Times New Roman" w:hAnsi="Times New Roman" w:cs="Times New Roman"/>
          <w:sz w:val="24"/>
          <w:szCs w:val="24"/>
        </w:rPr>
        <w:t>mGy</w:t>
      </w:r>
      <w:proofErr w:type="spellEnd"/>
      <w:r>
        <w:rPr>
          <w:rFonts w:ascii="Times New Roman" w:eastAsia="Times New Roman" w:hAnsi="Times New Roman" w:cs="Times New Roman"/>
          <w:sz w:val="24"/>
          <w:szCs w:val="24"/>
        </w:rPr>
        <w:t xml:space="preserve">.  </w:t>
      </w:r>
    </w:p>
    <w:p w:rsidR="007876BF" w:rsidRDefault="0084631F">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The Advance Markus ionization chamber type TN34045, an </w:t>
      </w:r>
      <w:sdt>
        <w:sdtPr>
          <w:tag w:val="goog_rdk_7"/>
          <w:id w:val="1482433843"/>
        </w:sdtPr>
        <w:sdtEndPr/>
        <w:sdtContent>
          <w:r>
            <w:rPr>
              <w:rFonts w:ascii="Times New Roman" w:eastAsia="Times New Roman" w:hAnsi="Times New Roman" w:cs="Times New Roman"/>
              <w:sz w:val="24"/>
              <w:szCs w:val="24"/>
            </w:rPr>
            <w:t>air-vented</w:t>
          </w:r>
        </w:sdtContent>
      </w:sdt>
      <w:sdt>
        <w:sdtPr>
          <w:tag w:val="goog_rdk_8"/>
          <w:id w:val="1719319200"/>
          <w:showingPlcHdr/>
        </w:sdtPr>
        <w:sdtEndPr/>
        <w:sdtContent>
          <w:r w:rsidR="0026019C">
            <w:t xml:space="preserve">     </w:t>
          </w:r>
        </w:sdtContent>
      </w:sdt>
      <w:r>
        <w:rPr>
          <w:rFonts w:ascii="Times New Roman" w:eastAsia="Times New Roman" w:hAnsi="Times New Roman" w:cs="Times New Roman"/>
          <w:sz w:val="24"/>
          <w:szCs w:val="24"/>
        </w:rPr>
        <w:t xml:space="preserve"> plane-parallel ionization chamber was used to measure the total dose absorbed</w:t>
      </w:r>
      <w:r w:rsidR="0026019C">
        <w:rPr>
          <w:rFonts w:ascii="Times New Roman" w:eastAsia="Times New Roman" w:hAnsi="Times New Roman" w:cs="Times New Roman"/>
          <w:sz w:val="24"/>
          <w:szCs w:val="24"/>
        </w:rPr>
        <w:t xml:space="preserve"> to </w:t>
      </w:r>
      <w:r>
        <w:rPr>
          <w:rFonts w:ascii="Times New Roman" w:eastAsia="Times New Roman" w:hAnsi="Times New Roman" w:cs="Times New Roman"/>
          <w:sz w:val="24"/>
          <w:szCs w:val="24"/>
        </w:rPr>
        <w:t>water in electron be</w:t>
      </w:r>
      <w:r>
        <w:rPr>
          <w:rFonts w:ascii="Times New Roman" w:eastAsia="Times New Roman" w:hAnsi="Times New Roman" w:cs="Times New Roman"/>
          <w:sz w:val="24"/>
          <w:szCs w:val="24"/>
        </w:rPr>
        <w:t xml:space="preserve">ams. It is generally used for dose measurements in electron </w:t>
      </w:r>
      <w:sdt>
        <w:sdtPr>
          <w:tag w:val="goog_rdk_11"/>
          <w:id w:val="5413898"/>
        </w:sdtPr>
        <w:sdtEndPr/>
        <w:sdtContent>
          <w:r>
            <w:rPr>
              <w:rFonts w:ascii="Times New Roman" w:eastAsia="Times New Roman" w:hAnsi="Times New Roman" w:cs="Times New Roman"/>
              <w:sz w:val="24"/>
              <w:szCs w:val="24"/>
            </w:rPr>
            <w:t>beams</w:t>
          </w:r>
        </w:sdtContent>
      </w:sdt>
      <w:r w:rsidR="0026019C">
        <w:t xml:space="preserve"> </w:t>
      </w:r>
      <w:r>
        <w:rPr>
          <w:rFonts w:ascii="Times New Roman" w:eastAsia="Times New Roman" w:hAnsi="Times New Roman" w:cs="Times New Roman"/>
          <w:sz w:val="24"/>
          <w:szCs w:val="24"/>
        </w:rPr>
        <w:t>with energies between 2 and 45 MeV. For other energies</w:t>
      </w:r>
      <w:r w:rsidR="0026019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proper corrections have to be applied. The measurement volume is 0.02 cm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The </w:t>
      </w:r>
      <w:sdt>
        <w:sdtPr>
          <w:tag w:val="goog_rdk_14"/>
          <w:id w:val="-1487468658"/>
        </w:sdtPr>
        <w:sdtEndPr/>
        <w:sdtContent>
          <w:r>
            <w:rPr>
              <w:rFonts w:ascii="Times New Roman" w:eastAsia="Times New Roman" w:hAnsi="Times New Roman" w:cs="Times New Roman"/>
              <w:sz w:val="24"/>
              <w:szCs w:val="24"/>
            </w:rPr>
            <w:t>chamber's</w:t>
          </w:r>
        </w:sdtContent>
      </w:sdt>
      <w:r w:rsidR="0026019C">
        <w:t xml:space="preserve"> </w:t>
      </w:r>
      <w:r>
        <w:rPr>
          <w:rFonts w:ascii="Times New Roman" w:eastAsia="Times New Roman" w:hAnsi="Times New Roman" w:cs="Times New Roman"/>
          <w:sz w:val="24"/>
          <w:szCs w:val="24"/>
        </w:rPr>
        <w:t>nominal working voltage is between 50 and</w:t>
      </w:r>
      <w:r>
        <w:rPr>
          <w:rFonts w:ascii="Times New Roman" w:eastAsia="Times New Roman" w:hAnsi="Times New Roman" w:cs="Times New Roman"/>
          <w:sz w:val="24"/>
          <w:szCs w:val="24"/>
        </w:rPr>
        <w:t xml:space="preserve"> 300 V. In our experiment, 300 V was used for dose measurements. The entrance chamber wall material is polyethylene and has a thickness of 0.03 mm. The electrode material is PMMA coated with graphite with a diameter of 5 mm. The environmental conditions fo</w:t>
      </w:r>
      <w:r>
        <w:rPr>
          <w:rFonts w:ascii="Times New Roman" w:eastAsia="Times New Roman" w:hAnsi="Times New Roman" w:cs="Times New Roman"/>
          <w:sz w:val="24"/>
          <w:szCs w:val="24"/>
        </w:rPr>
        <w:t>r using the chamber are</w:t>
      </w:r>
      <w:r w:rsidR="0026019C">
        <w:t xml:space="preserve"> </w:t>
      </w:r>
      <w:r>
        <w:rPr>
          <w:rFonts w:ascii="Times New Roman" w:eastAsia="Times New Roman" w:hAnsi="Times New Roman" w:cs="Times New Roman"/>
          <w:sz w:val="24"/>
          <w:szCs w:val="24"/>
        </w:rPr>
        <w:t>temperature between 10 and 40°C, humidity between 10% and 80%</w:t>
      </w:r>
      <w:r w:rsidR="0026019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and air pressure between 700 and 1060 </w:t>
      </w:r>
      <w:proofErr w:type="spellStart"/>
      <w:r>
        <w:rPr>
          <w:rFonts w:ascii="Times New Roman" w:eastAsia="Times New Roman" w:hAnsi="Times New Roman" w:cs="Times New Roman"/>
          <w:sz w:val="24"/>
          <w:szCs w:val="24"/>
        </w:rPr>
        <w:t>hPa</w:t>
      </w:r>
      <w:proofErr w:type="spellEnd"/>
      <w:r>
        <w:rPr>
          <w:rFonts w:ascii="Times New Roman" w:eastAsia="Times New Roman" w:hAnsi="Times New Roman" w:cs="Times New Roman"/>
          <w:sz w:val="24"/>
          <w:szCs w:val="24"/>
        </w:rPr>
        <w:t>.</w:t>
      </w:r>
      <w:r>
        <w:t xml:space="preserve"> </w:t>
      </w:r>
      <w:r>
        <w:rPr>
          <w:rFonts w:ascii="Times New Roman" w:eastAsia="Times New Roman" w:hAnsi="Times New Roman" w:cs="Times New Roman"/>
          <w:sz w:val="24"/>
          <w:szCs w:val="24"/>
        </w:rPr>
        <w:t xml:space="preserve">The chamber was calibrated to </w:t>
      </w:r>
      <w:sdt>
        <w:sdtPr>
          <w:tag w:val="goog_rdk_18"/>
          <w:id w:val="-1354647485"/>
        </w:sdtPr>
        <w:sdtEndPr/>
        <w:sdtContent>
          <w:r>
            <w:rPr>
              <w:rFonts w:ascii="Times New Roman" w:eastAsia="Times New Roman" w:hAnsi="Times New Roman" w:cs="Times New Roman"/>
              <w:sz w:val="24"/>
              <w:szCs w:val="24"/>
            </w:rPr>
            <w:t xml:space="preserve">the </w:t>
          </w:r>
        </w:sdtContent>
      </w:sdt>
      <w:r>
        <w:rPr>
          <w:rFonts w:ascii="Times New Roman" w:eastAsia="Times New Roman" w:hAnsi="Times New Roman" w:cs="Times New Roman"/>
          <w:sz w:val="24"/>
          <w:szCs w:val="24"/>
        </w:rPr>
        <w:t xml:space="preserve">primary Co-60 beam at PTB.  The presented results are not corrected to dose per pulse and </w:t>
      </w:r>
      <w:r>
        <w:rPr>
          <w:rFonts w:ascii="Times New Roman" w:eastAsia="Times New Roman" w:hAnsi="Times New Roman" w:cs="Times New Roman"/>
          <w:sz w:val="24"/>
          <w:szCs w:val="24"/>
        </w:rPr>
        <w:t>beam energy effects.</w:t>
      </w:r>
    </w:p>
    <w:p w:rsidR="007876BF" w:rsidRDefault="0084631F">
      <w:pPr>
        <w:jc w:val="both"/>
      </w:pPr>
      <w:r>
        <w:rPr>
          <w:rFonts w:ascii="Times New Roman" w:eastAsia="Times New Roman" w:hAnsi="Times New Roman" w:cs="Times New Roman"/>
          <w:sz w:val="24"/>
          <w:szCs w:val="24"/>
        </w:rPr>
        <w:t xml:space="preserve">ii) </w:t>
      </w:r>
      <w:r>
        <w:rPr>
          <w:rFonts w:ascii="Times New Roman" w:eastAsia="Times New Roman" w:hAnsi="Times New Roman" w:cs="Times New Roman"/>
          <w:color w:val="000000"/>
          <w:sz w:val="24"/>
          <w:szCs w:val="24"/>
        </w:rPr>
        <w:t xml:space="preserve">TLD Panasonic </w:t>
      </w:r>
      <w:proofErr w:type="spellStart"/>
      <w:r>
        <w:rPr>
          <w:rFonts w:ascii="Times New Roman" w:eastAsia="Times New Roman" w:hAnsi="Times New Roman" w:cs="Times New Roman"/>
          <w:color w:val="000000"/>
          <w:sz w:val="24"/>
          <w:szCs w:val="24"/>
        </w:rPr>
        <w:t>thermoluminescent</w:t>
      </w:r>
      <w:proofErr w:type="spellEnd"/>
      <w:r>
        <w:rPr>
          <w:rFonts w:ascii="Times New Roman" w:eastAsia="Times New Roman" w:hAnsi="Times New Roman" w:cs="Times New Roman"/>
          <w:color w:val="000000"/>
          <w:sz w:val="24"/>
          <w:szCs w:val="24"/>
        </w:rPr>
        <w:t xml:space="preserve"> dosimeters contain 4 </w:t>
      </w:r>
      <w:proofErr w:type="spellStart"/>
      <w:r>
        <w:rPr>
          <w:rFonts w:ascii="Times New Roman" w:eastAsia="Times New Roman" w:hAnsi="Times New Roman" w:cs="Times New Roman"/>
          <w:color w:val="000000"/>
          <w:sz w:val="24"/>
          <w:szCs w:val="24"/>
        </w:rPr>
        <w:t>thermoluminescent</w:t>
      </w:r>
      <w:proofErr w:type="spellEnd"/>
      <w:r>
        <w:rPr>
          <w:rFonts w:ascii="Times New Roman" w:eastAsia="Times New Roman" w:hAnsi="Times New Roman" w:cs="Times New Roman"/>
          <w:color w:val="000000"/>
          <w:sz w:val="24"/>
          <w:szCs w:val="24"/>
        </w:rPr>
        <w:t xml:space="preserve"> elements, two of </w:t>
      </w:r>
      <w:r>
        <w:rPr>
          <w:rFonts w:ascii="Cambria Math" w:eastAsia="Cambria Math" w:hAnsi="Cambria Math" w:cs="Cambria Math"/>
          <w:color w:val="000000"/>
          <w:sz w:val="24"/>
          <w:szCs w:val="24"/>
        </w:rPr>
        <w:t>𝐿𝑖</w:t>
      </w:r>
      <w:r>
        <w:rPr>
          <w:rFonts w:ascii="Times New Roman" w:eastAsia="Times New Roman" w:hAnsi="Times New Roman" w:cs="Times New Roman"/>
          <w:color w:val="000000"/>
          <w:sz w:val="24"/>
          <w:szCs w:val="24"/>
          <w:vertAlign w:val="subscript"/>
        </w:rPr>
        <w:t>2</w:t>
      </w:r>
      <w:r>
        <w:rPr>
          <w:rFonts w:ascii="Cambria Math" w:eastAsia="Cambria Math" w:hAnsi="Cambria Math" w:cs="Cambria Math"/>
          <w:color w:val="000000"/>
          <w:sz w:val="24"/>
          <w:szCs w:val="24"/>
        </w:rPr>
        <w:t>𝐵</w:t>
      </w:r>
      <w:r>
        <w:rPr>
          <w:rFonts w:ascii="Times New Roman" w:eastAsia="Times New Roman" w:hAnsi="Times New Roman" w:cs="Times New Roman"/>
          <w:color w:val="000000"/>
          <w:sz w:val="24"/>
          <w:szCs w:val="24"/>
          <w:vertAlign w:val="subscript"/>
        </w:rPr>
        <w:t>4</w:t>
      </w:r>
      <w:r>
        <w:rPr>
          <w:rFonts w:ascii="Cambria Math" w:eastAsia="Cambria Math" w:hAnsi="Cambria Math" w:cs="Cambria Math"/>
          <w:color w:val="000000"/>
          <w:sz w:val="24"/>
          <w:szCs w:val="24"/>
        </w:rPr>
        <w:t>𝑂</w:t>
      </w:r>
      <w:r>
        <w:rPr>
          <w:rFonts w:ascii="Times New Roman" w:eastAsia="Times New Roman" w:hAnsi="Times New Roman" w:cs="Times New Roman"/>
          <w:color w:val="000000"/>
          <w:sz w:val="24"/>
          <w:szCs w:val="24"/>
          <w:vertAlign w:val="subscript"/>
        </w:rPr>
        <w:t>7</w:t>
      </w:r>
      <w:r>
        <w:rPr>
          <w:rFonts w:ascii="Times New Roman" w:eastAsia="Times New Roman" w:hAnsi="Times New Roman" w:cs="Times New Roman"/>
          <w:color w:val="000000"/>
          <w:sz w:val="24"/>
          <w:szCs w:val="24"/>
        </w:rPr>
        <w:t xml:space="preserve">: </w:t>
      </w:r>
      <w:r>
        <w:rPr>
          <w:rFonts w:ascii="Cambria Math" w:eastAsia="Cambria Math" w:hAnsi="Cambria Math" w:cs="Cambria Math"/>
          <w:color w:val="000000"/>
          <w:sz w:val="24"/>
          <w:szCs w:val="24"/>
        </w:rPr>
        <w:t>𝐶𝑢</w:t>
      </w:r>
      <w:r>
        <w:rPr>
          <w:rFonts w:ascii="Times New Roman" w:eastAsia="Times New Roman" w:hAnsi="Times New Roman" w:cs="Times New Roman"/>
          <w:color w:val="000000"/>
          <w:sz w:val="24"/>
          <w:szCs w:val="24"/>
        </w:rPr>
        <w:t xml:space="preserve"> and two of </w:t>
      </w:r>
      <w:r>
        <w:rPr>
          <w:rFonts w:ascii="Cambria Math" w:eastAsia="Cambria Math" w:hAnsi="Cambria Math" w:cs="Cambria Math"/>
          <w:color w:val="000000"/>
          <w:sz w:val="24"/>
          <w:szCs w:val="24"/>
        </w:rPr>
        <w:t>𝐶𝑎𝑆𝑂</w:t>
      </w:r>
      <w:r>
        <w:rPr>
          <w:rFonts w:ascii="Times New Roman" w:eastAsia="Times New Roman" w:hAnsi="Times New Roman" w:cs="Times New Roman"/>
          <w:color w:val="000000"/>
          <w:sz w:val="24"/>
          <w:szCs w:val="24"/>
          <w:vertAlign w:val="subscript"/>
        </w:rPr>
        <w:t>4</w:t>
      </w:r>
      <w:r>
        <w:rPr>
          <w:rFonts w:ascii="Times New Roman" w:eastAsia="Times New Roman" w:hAnsi="Times New Roman" w:cs="Times New Roman"/>
          <w:color w:val="000000"/>
          <w:sz w:val="24"/>
          <w:szCs w:val="24"/>
        </w:rPr>
        <w:t xml:space="preserve">: </w:t>
      </w:r>
      <w:r>
        <w:rPr>
          <w:rFonts w:ascii="Cambria Math" w:eastAsia="Cambria Math" w:hAnsi="Cambria Math" w:cs="Cambria Math"/>
          <w:color w:val="000000"/>
          <w:sz w:val="24"/>
          <w:szCs w:val="24"/>
        </w:rPr>
        <w:t>𝑇𝑚</w:t>
      </w:r>
      <w:r>
        <w:rPr>
          <w:rFonts w:ascii="Times New Roman" w:eastAsia="Times New Roman" w:hAnsi="Times New Roman" w:cs="Times New Roman"/>
          <w:color w:val="000000"/>
          <w:sz w:val="24"/>
          <w:szCs w:val="24"/>
        </w:rPr>
        <w:t xml:space="preserve"> to determine the average radiation energy and the dose recorded by the dosimeter, using all the information provided by the 4 elements. The </w:t>
      </w:r>
      <w:r>
        <w:rPr>
          <w:rFonts w:ascii="Cambria Math" w:eastAsia="Cambria Math" w:hAnsi="Cambria Math" w:cs="Cambria Math"/>
          <w:color w:val="000000"/>
          <w:sz w:val="24"/>
          <w:szCs w:val="24"/>
        </w:rPr>
        <w:t>𝐿𝑖</w:t>
      </w:r>
      <w:r>
        <w:rPr>
          <w:rFonts w:ascii="Times New Roman" w:eastAsia="Times New Roman" w:hAnsi="Times New Roman" w:cs="Times New Roman"/>
          <w:color w:val="000000"/>
          <w:sz w:val="24"/>
          <w:szCs w:val="24"/>
          <w:vertAlign w:val="subscript"/>
        </w:rPr>
        <w:t>2</w:t>
      </w:r>
      <w:r>
        <w:rPr>
          <w:rFonts w:ascii="Cambria Math" w:eastAsia="Cambria Math" w:hAnsi="Cambria Math" w:cs="Cambria Math"/>
          <w:color w:val="000000"/>
          <w:sz w:val="24"/>
          <w:szCs w:val="24"/>
        </w:rPr>
        <w:t>𝐵</w:t>
      </w:r>
      <w:r>
        <w:rPr>
          <w:rFonts w:ascii="Times New Roman" w:eastAsia="Times New Roman" w:hAnsi="Times New Roman" w:cs="Times New Roman"/>
          <w:color w:val="000000"/>
          <w:sz w:val="24"/>
          <w:szCs w:val="24"/>
          <w:vertAlign w:val="subscript"/>
        </w:rPr>
        <w:t>4</w:t>
      </w:r>
      <w:r>
        <w:rPr>
          <w:rFonts w:ascii="Cambria Math" w:eastAsia="Cambria Math" w:hAnsi="Cambria Math" w:cs="Cambria Math"/>
          <w:color w:val="000000"/>
          <w:sz w:val="24"/>
          <w:szCs w:val="24"/>
        </w:rPr>
        <w:t>𝑂</w:t>
      </w:r>
      <w:r>
        <w:rPr>
          <w:rFonts w:ascii="Times New Roman" w:eastAsia="Times New Roman" w:hAnsi="Times New Roman" w:cs="Times New Roman"/>
          <w:color w:val="000000"/>
          <w:sz w:val="24"/>
          <w:szCs w:val="24"/>
          <w:vertAlign w:val="subscript"/>
        </w:rPr>
        <w:t>7</w:t>
      </w:r>
      <w:r>
        <w:rPr>
          <w:rFonts w:ascii="Times New Roman" w:eastAsia="Times New Roman" w:hAnsi="Times New Roman" w:cs="Times New Roman"/>
          <w:color w:val="000000"/>
          <w:sz w:val="24"/>
          <w:szCs w:val="24"/>
        </w:rPr>
        <w:t xml:space="preserve">: </w:t>
      </w:r>
      <w:r>
        <w:rPr>
          <w:rFonts w:ascii="Cambria Math" w:eastAsia="Cambria Math" w:hAnsi="Cambria Math" w:cs="Cambria Math"/>
          <w:color w:val="000000"/>
          <w:sz w:val="24"/>
          <w:szCs w:val="24"/>
        </w:rPr>
        <w:t>𝐶𝑢</w:t>
      </w:r>
      <w:r>
        <w:rPr>
          <w:rFonts w:ascii="Times New Roman" w:eastAsia="Times New Roman" w:hAnsi="Times New Roman" w:cs="Times New Roman"/>
          <w:color w:val="000000"/>
          <w:sz w:val="24"/>
          <w:szCs w:val="24"/>
        </w:rPr>
        <w:t xml:space="preserve"> chips are sensitive to β, γ, n beam in the 100 µ</w:t>
      </w:r>
      <w:r>
        <w:rPr>
          <w:rFonts w:ascii="Cambria Math" w:eastAsia="Cambria Math" w:hAnsi="Cambria Math" w:cs="Cambria Math"/>
          <w:color w:val="000000"/>
          <w:sz w:val="24"/>
          <w:szCs w:val="24"/>
        </w:rPr>
        <w:t>𝑆</w:t>
      </w:r>
      <w:sdt>
        <w:sdtPr>
          <w:tag w:val="goog_rdk_25"/>
          <w:id w:val="1024286076"/>
        </w:sdtPr>
        <w:sdtEndPr/>
        <w:sdtContent>
          <w:r>
            <w:rPr>
              <w:rFonts w:ascii="Gungsuh" w:eastAsia="Gungsuh" w:hAnsi="Gungsuh" w:cs="Gungsuh"/>
              <w:color w:val="000000"/>
              <w:sz w:val="24"/>
              <w:szCs w:val="24"/>
            </w:rPr>
            <w:t xml:space="preserve">v −10 </w:t>
          </w:r>
        </w:sdtContent>
      </w:sdt>
      <w:r>
        <w:rPr>
          <w:rFonts w:ascii="Cambria Math" w:eastAsia="Cambria Math" w:hAnsi="Cambria Math" w:cs="Cambria Math"/>
          <w:color w:val="000000"/>
          <w:sz w:val="24"/>
          <w:szCs w:val="24"/>
        </w:rPr>
        <w:t>𝑆</w:t>
      </w:r>
      <w:r>
        <w:rPr>
          <w:rFonts w:ascii="Times New Roman" w:eastAsia="Times New Roman" w:hAnsi="Times New Roman" w:cs="Times New Roman"/>
          <w:color w:val="000000"/>
          <w:sz w:val="24"/>
          <w:szCs w:val="24"/>
        </w:rPr>
        <w:t xml:space="preserve">v dose range. The </w:t>
      </w:r>
      <w:r>
        <w:rPr>
          <w:rFonts w:ascii="Cambria Math" w:eastAsia="Cambria Math" w:hAnsi="Cambria Math" w:cs="Cambria Math"/>
          <w:color w:val="000000"/>
          <w:sz w:val="24"/>
          <w:szCs w:val="24"/>
        </w:rPr>
        <w:t>𝐶𝑎𝑆𝑂</w:t>
      </w:r>
      <w:r>
        <w:rPr>
          <w:rFonts w:ascii="Times New Roman" w:eastAsia="Times New Roman" w:hAnsi="Times New Roman" w:cs="Times New Roman"/>
          <w:color w:val="000000"/>
          <w:sz w:val="24"/>
          <w:szCs w:val="24"/>
          <w:vertAlign w:val="subscript"/>
        </w:rPr>
        <w:t>4</w:t>
      </w:r>
      <w:r>
        <w:rPr>
          <w:rFonts w:ascii="Times New Roman" w:eastAsia="Times New Roman" w:hAnsi="Times New Roman" w:cs="Times New Roman"/>
          <w:color w:val="000000"/>
          <w:sz w:val="24"/>
          <w:szCs w:val="24"/>
        </w:rPr>
        <w:t xml:space="preserve">: </w:t>
      </w:r>
      <w:r>
        <w:rPr>
          <w:rFonts w:ascii="Cambria Math" w:eastAsia="Cambria Math" w:hAnsi="Cambria Math" w:cs="Cambria Math"/>
          <w:color w:val="000000"/>
          <w:sz w:val="24"/>
          <w:szCs w:val="24"/>
        </w:rPr>
        <w:t>𝑇</w:t>
      </w:r>
      <w:r>
        <w:rPr>
          <w:rFonts w:ascii="Times New Roman" w:eastAsia="Times New Roman" w:hAnsi="Times New Roman" w:cs="Times New Roman"/>
          <w:color w:val="000000"/>
          <w:sz w:val="24"/>
          <w:szCs w:val="24"/>
        </w:rPr>
        <w:t>m chip</w:t>
      </w:r>
      <w:r>
        <w:rPr>
          <w:rFonts w:ascii="Times New Roman" w:eastAsia="Times New Roman" w:hAnsi="Times New Roman" w:cs="Times New Roman"/>
          <w:color w:val="000000"/>
          <w:sz w:val="24"/>
          <w:szCs w:val="24"/>
        </w:rPr>
        <w:t>s are sensitive to β, γ</w:t>
      </w:r>
      <w:sdt>
        <w:sdtPr>
          <w:tag w:val="goog_rdk_19"/>
          <w:id w:val="-1054549763"/>
        </w:sdtPr>
        <w:sdtEndPr/>
        <w:sdtContent>
          <w:r>
            <w:rPr>
              <w:rFonts w:ascii="Times New Roman" w:eastAsia="Times New Roman" w:hAnsi="Times New Roman" w:cs="Times New Roman"/>
              <w:color w:val="000000"/>
              <w:sz w:val="24"/>
              <w:szCs w:val="24"/>
            </w:rPr>
            <w:t>,</w:t>
          </w:r>
        </w:sdtContent>
      </w:sdt>
      <w:r>
        <w:rPr>
          <w:rFonts w:ascii="Times New Roman" w:eastAsia="Times New Roman" w:hAnsi="Times New Roman" w:cs="Times New Roman"/>
          <w:color w:val="000000"/>
          <w:sz w:val="24"/>
          <w:szCs w:val="24"/>
        </w:rPr>
        <w:t xml:space="preserve"> and γ </w:t>
      </w:r>
      <w:sdt>
        <w:sdtPr>
          <w:tag w:val="goog_rdk_20"/>
          <w:id w:val="-627778387"/>
        </w:sdtPr>
        <w:sdtEndPr/>
        <w:sdtContent>
          <w:r>
            <w:rPr>
              <w:rFonts w:ascii="Times New Roman" w:eastAsia="Times New Roman" w:hAnsi="Times New Roman" w:cs="Times New Roman"/>
              <w:color w:val="000000"/>
              <w:sz w:val="24"/>
              <w:szCs w:val="24"/>
            </w:rPr>
            <w:t>beams</w:t>
          </w:r>
        </w:sdtContent>
      </w:sdt>
      <w:r w:rsidR="0026019C">
        <w:t xml:space="preserve"> </w:t>
      </w:r>
      <w:r>
        <w:rPr>
          <w:rFonts w:ascii="Times New Roman" w:eastAsia="Times New Roman" w:hAnsi="Times New Roman" w:cs="Times New Roman"/>
          <w:color w:val="000000"/>
          <w:sz w:val="24"/>
          <w:szCs w:val="24"/>
        </w:rPr>
        <w:t>in the dose range of 10 µ</w:t>
      </w:r>
      <w:r>
        <w:rPr>
          <w:rFonts w:ascii="Cambria Math" w:eastAsia="Cambria Math" w:hAnsi="Cambria Math" w:cs="Cambria Math"/>
          <w:color w:val="000000"/>
          <w:sz w:val="24"/>
          <w:szCs w:val="24"/>
        </w:rPr>
        <w:t>𝑆𝑣</w:t>
      </w:r>
      <w:sdt>
        <w:sdtPr>
          <w:tag w:val="goog_rdk_26"/>
          <w:id w:val="449750050"/>
        </w:sdtPr>
        <w:sdtEndPr/>
        <w:sdtContent>
          <w:r>
            <w:rPr>
              <w:rFonts w:ascii="Gungsuh" w:eastAsia="Gungsuh" w:hAnsi="Gungsuh" w:cs="Gungsuh"/>
              <w:color w:val="000000"/>
              <w:sz w:val="24"/>
              <w:szCs w:val="24"/>
            </w:rPr>
            <w:t xml:space="preserve"> −500 </w:t>
          </w:r>
        </w:sdtContent>
      </w:sdt>
      <w:r>
        <w:rPr>
          <w:rFonts w:ascii="Cambria Math" w:eastAsia="Cambria Math" w:hAnsi="Cambria Math" w:cs="Cambria Math"/>
          <w:color w:val="000000"/>
          <w:sz w:val="24"/>
          <w:szCs w:val="24"/>
        </w:rPr>
        <w:t>𝑚𝑆</w:t>
      </w:r>
      <w:r>
        <w:rPr>
          <w:rFonts w:ascii="Times New Roman" w:eastAsia="Times New Roman" w:hAnsi="Times New Roman" w:cs="Times New Roman"/>
          <w:color w:val="000000"/>
          <w:sz w:val="24"/>
          <w:szCs w:val="24"/>
        </w:rPr>
        <w:t>v and 10 µ</w:t>
      </w:r>
      <w:r>
        <w:rPr>
          <w:rFonts w:ascii="Cambria Math" w:eastAsia="Cambria Math" w:hAnsi="Cambria Math" w:cs="Cambria Math"/>
          <w:color w:val="000000"/>
          <w:sz w:val="24"/>
          <w:szCs w:val="24"/>
        </w:rPr>
        <w:t>𝑆𝑣</w:t>
      </w:r>
      <w:sdt>
        <w:sdtPr>
          <w:tag w:val="goog_rdk_27"/>
          <w:id w:val="473026195"/>
        </w:sdtPr>
        <w:sdtEndPr/>
        <w:sdtContent>
          <w:r>
            <w:rPr>
              <w:rFonts w:ascii="Gungsuh" w:eastAsia="Gungsuh" w:hAnsi="Gungsuh" w:cs="Gungsuh"/>
              <w:color w:val="000000"/>
              <w:sz w:val="24"/>
              <w:szCs w:val="24"/>
            </w:rPr>
            <w:t xml:space="preserve"> −50 </w:t>
          </w:r>
        </w:sdtContent>
      </w:sdt>
      <w:r>
        <w:rPr>
          <w:rFonts w:ascii="Cambria Math" w:eastAsia="Cambria Math" w:hAnsi="Cambria Math" w:cs="Cambria Math"/>
          <w:color w:val="000000"/>
          <w:sz w:val="24"/>
          <w:szCs w:val="24"/>
        </w:rPr>
        <w:t>𝑚𝑆</w:t>
      </w:r>
      <w:r>
        <w:rPr>
          <w:rFonts w:ascii="Times New Roman" w:eastAsia="Times New Roman" w:hAnsi="Times New Roman" w:cs="Times New Roman"/>
          <w:color w:val="000000"/>
          <w:sz w:val="24"/>
          <w:szCs w:val="24"/>
        </w:rPr>
        <w:t xml:space="preserve">v respectively. A beam energy </w:t>
      </w:r>
      <w:proofErr w:type="gramStart"/>
      <w:r>
        <w:rPr>
          <w:rFonts w:ascii="Times New Roman" w:eastAsia="Times New Roman" w:hAnsi="Times New Roman" w:cs="Times New Roman"/>
          <w:color w:val="000000"/>
          <w:sz w:val="24"/>
          <w:szCs w:val="24"/>
        </w:rPr>
        <w:t>range</w:t>
      </w:r>
      <w:proofErr w:type="gramEnd"/>
      <w:r>
        <w:rPr>
          <w:rFonts w:ascii="Times New Roman" w:eastAsia="Times New Roman" w:hAnsi="Times New Roman" w:cs="Times New Roman"/>
          <w:color w:val="000000"/>
          <w:sz w:val="24"/>
          <w:szCs w:val="24"/>
        </w:rPr>
        <w:t xml:space="preserve"> from 10 keV to 10 MeV is provided by </w:t>
      </w:r>
      <w:sdt>
        <w:sdtPr>
          <w:tag w:val="goog_rdk_22"/>
          <w:id w:val="1362560704"/>
        </w:sdtPr>
        <w:sdtEndPr/>
        <w:sdtContent>
          <w:r>
            <w:rPr>
              <w:rFonts w:ascii="Times New Roman" w:eastAsia="Times New Roman" w:hAnsi="Times New Roman" w:cs="Times New Roman"/>
              <w:color w:val="000000"/>
              <w:sz w:val="24"/>
              <w:szCs w:val="24"/>
            </w:rPr>
            <w:t>th</w:t>
          </w:r>
          <w:r w:rsidR="0026019C">
            <w:rPr>
              <w:rFonts w:ascii="Times New Roman" w:eastAsia="Times New Roman" w:hAnsi="Times New Roman" w:cs="Times New Roman"/>
              <w:color w:val="000000"/>
              <w:sz w:val="24"/>
              <w:szCs w:val="24"/>
            </w:rPr>
            <w:t xml:space="preserve">e </w:t>
          </w:r>
        </w:sdtContent>
      </w:sdt>
      <w:r>
        <w:rPr>
          <w:rFonts w:ascii="Times New Roman" w:eastAsia="Times New Roman" w:hAnsi="Times New Roman" w:cs="Times New Roman"/>
          <w:color w:val="000000"/>
          <w:sz w:val="24"/>
          <w:szCs w:val="24"/>
        </w:rPr>
        <w:t xml:space="preserve">manufacturer. The Panasonic UD-716 reader was a multi-purpose digital </w:t>
      </w:r>
      <w:r>
        <w:rPr>
          <w:rFonts w:ascii="Times New Roman" w:eastAsia="Times New Roman" w:hAnsi="Times New Roman" w:cs="Times New Roman"/>
          <w:color w:val="000000"/>
          <w:sz w:val="24"/>
          <w:szCs w:val="24"/>
        </w:rPr>
        <w:t>thermo-luminescent dosimeter (TL Badge). The heating method employed was PANASONIC original infrared heating. The built-in microcomputer enables full corrections and arithmetic handling of the measured data and performs data transmission to and from the ex</w:t>
      </w:r>
      <w:r>
        <w:rPr>
          <w:rFonts w:ascii="Times New Roman" w:eastAsia="Times New Roman" w:hAnsi="Times New Roman" w:cs="Times New Roman"/>
          <w:color w:val="000000"/>
          <w:sz w:val="24"/>
          <w:szCs w:val="24"/>
        </w:rPr>
        <w:t>ternal computer.  Thus, the reader offers high quality, high performance</w:t>
      </w:r>
      <w:sdt>
        <w:sdtPr>
          <w:tag w:val="goog_rdk_23"/>
          <w:id w:val="1350216153"/>
        </w:sdtPr>
        <w:sdtEndPr/>
        <w:sdtContent>
          <w:r>
            <w:rPr>
              <w:rFonts w:ascii="Times New Roman" w:eastAsia="Times New Roman" w:hAnsi="Times New Roman" w:cs="Times New Roman"/>
              <w:color w:val="000000"/>
              <w:sz w:val="24"/>
              <w:szCs w:val="24"/>
            </w:rPr>
            <w:t>,</w:t>
          </w:r>
        </w:sdtContent>
      </w:sdt>
      <w:r>
        <w:rPr>
          <w:rFonts w:ascii="Times New Roman" w:eastAsia="Times New Roman" w:hAnsi="Times New Roman" w:cs="Times New Roman"/>
          <w:color w:val="000000"/>
          <w:sz w:val="24"/>
          <w:szCs w:val="24"/>
        </w:rPr>
        <w:t xml:space="preserve"> and </w:t>
      </w:r>
      <w:sdt>
        <w:sdtPr>
          <w:tag w:val="goog_rdk_24"/>
          <w:id w:val="1565520541"/>
        </w:sdtPr>
        <w:sdtEndPr/>
        <w:sdtContent>
          <w:r>
            <w:rPr>
              <w:rFonts w:ascii="Times New Roman" w:eastAsia="Times New Roman" w:hAnsi="Times New Roman" w:cs="Times New Roman"/>
              <w:color w:val="000000"/>
              <w:sz w:val="24"/>
              <w:szCs w:val="24"/>
            </w:rPr>
            <w:t xml:space="preserve">the </w:t>
          </w:r>
        </w:sdtContent>
      </w:sdt>
      <w:r>
        <w:rPr>
          <w:rFonts w:ascii="Times New Roman" w:eastAsia="Times New Roman" w:hAnsi="Times New Roman" w:cs="Times New Roman"/>
          <w:color w:val="000000"/>
          <w:sz w:val="24"/>
          <w:szCs w:val="24"/>
        </w:rPr>
        <w:t>full range of functions.</w:t>
      </w:r>
    </w:p>
    <w:p w:rsidR="007876BF" w:rsidRDefault="0084631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iii) The </w:t>
      </w:r>
      <w:proofErr w:type="spellStart"/>
      <w:r>
        <w:rPr>
          <w:rFonts w:ascii="Times New Roman" w:eastAsia="Times New Roman" w:hAnsi="Times New Roman" w:cs="Times New Roman"/>
          <w:sz w:val="24"/>
          <w:szCs w:val="24"/>
        </w:rPr>
        <w:t>gafchromic</w:t>
      </w:r>
      <w:proofErr w:type="spellEnd"/>
      <w:r>
        <w:rPr>
          <w:rFonts w:ascii="Times New Roman" w:eastAsia="Times New Roman" w:hAnsi="Times New Roman" w:cs="Times New Roman"/>
          <w:sz w:val="24"/>
          <w:szCs w:val="24"/>
        </w:rPr>
        <w:t xml:space="preserve"> film was EBT-3, designed for the measurement of absorbed doses of ionizing radiation. The dynamic range of this film is designed for best performance in the dose range from 0.1 to 10 </w:t>
      </w:r>
      <w:proofErr w:type="spellStart"/>
      <w:r>
        <w:rPr>
          <w:rFonts w:ascii="Times New Roman" w:eastAsia="Times New Roman" w:hAnsi="Times New Roman" w:cs="Times New Roman"/>
          <w:sz w:val="24"/>
          <w:szCs w:val="24"/>
        </w:rPr>
        <w:t>Gy</w:t>
      </w:r>
      <w:proofErr w:type="spellEnd"/>
      <w:r>
        <w:rPr>
          <w:rFonts w:ascii="Times New Roman" w:eastAsia="Times New Roman" w:hAnsi="Times New Roman" w:cs="Times New Roman"/>
          <w:sz w:val="24"/>
          <w:szCs w:val="24"/>
        </w:rPr>
        <w:t xml:space="preserve">. These films are </w:t>
      </w:r>
      <w:sdt>
        <w:sdtPr>
          <w:tag w:val="goog_rdk_28"/>
          <w:id w:val="-306167981"/>
        </w:sdtPr>
        <w:sdtEndPr/>
        <w:sdtContent>
          <w:r>
            <w:rPr>
              <w:rFonts w:ascii="Times New Roman" w:eastAsia="Times New Roman" w:hAnsi="Times New Roman" w:cs="Times New Roman"/>
              <w:sz w:val="24"/>
              <w:szCs w:val="24"/>
            </w:rPr>
            <w:t>widely</w:t>
          </w:r>
        </w:sdtContent>
      </w:sdt>
      <w:r w:rsidR="0026019C">
        <w:t xml:space="preserve"> </w:t>
      </w:r>
      <w:r>
        <w:rPr>
          <w:rFonts w:ascii="Times New Roman" w:eastAsia="Times New Roman" w:hAnsi="Times New Roman" w:cs="Times New Roman"/>
          <w:sz w:val="24"/>
          <w:szCs w:val="24"/>
        </w:rPr>
        <w:t>used in medical radiotherapy departments fo</w:t>
      </w:r>
      <w:r>
        <w:rPr>
          <w:rFonts w:ascii="Times New Roman" w:eastAsia="Times New Roman" w:hAnsi="Times New Roman" w:cs="Times New Roman"/>
          <w:sz w:val="24"/>
          <w:szCs w:val="24"/>
        </w:rPr>
        <w:t xml:space="preserve">r quality assurance and dose measurements. These films have a </w:t>
      </w:r>
      <w:sdt>
        <w:sdtPr>
          <w:tag w:val="goog_rdk_30"/>
          <w:id w:val="1569298285"/>
        </w:sdtPr>
        <w:sdtEndPr/>
        <w:sdtContent>
          <w:r>
            <w:rPr>
              <w:rFonts w:ascii="Times New Roman" w:eastAsia="Times New Roman" w:hAnsi="Times New Roman" w:cs="Times New Roman"/>
              <w:sz w:val="24"/>
              <w:szCs w:val="24"/>
            </w:rPr>
            <w:t>near-tissue</w:t>
          </w:r>
        </w:sdtContent>
      </w:sdt>
      <w:r w:rsidR="0026019C">
        <w:t xml:space="preserve"> </w:t>
      </w:r>
      <w:r>
        <w:rPr>
          <w:rFonts w:ascii="Times New Roman" w:eastAsia="Times New Roman" w:hAnsi="Times New Roman" w:cs="Times New Roman"/>
          <w:sz w:val="24"/>
          <w:szCs w:val="24"/>
        </w:rPr>
        <w:t xml:space="preserve">equivalent. They are not sensitive to radiation incident energy. The calibration curve in </w:t>
      </w:r>
      <w:sdt>
        <w:sdtPr>
          <w:tag w:val="goog_rdk_32"/>
          <w:id w:val="1546245644"/>
        </w:sdtPr>
        <w:sdtEndPr/>
        <w:sdtContent>
          <w:r>
            <w:rPr>
              <w:rFonts w:ascii="Times New Roman" w:eastAsia="Times New Roman" w:hAnsi="Times New Roman" w:cs="Times New Roman"/>
              <w:sz w:val="24"/>
              <w:szCs w:val="24"/>
            </w:rPr>
            <w:t>X-ray</w:t>
          </w:r>
        </w:sdtContent>
      </w:sdt>
      <w:r w:rsidR="0026019C">
        <w:t xml:space="preserve"> </w:t>
      </w:r>
      <w:r>
        <w:rPr>
          <w:rFonts w:ascii="Times New Roman" w:eastAsia="Times New Roman" w:hAnsi="Times New Roman" w:cs="Times New Roman"/>
          <w:sz w:val="24"/>
          <w:szCs w:val="24"/>
        </w:rPr>
        <w:t xml:space="preserve">and high energy electron beam shows a similar value. The EBT-3 </w:t>
      </w:r>
      <w:proofErr w:type="spellStart"/>
      <w:r>
        <w:rPr>
          <w:rFonts w:ascii="Times New Roman" w:eastAsia="Times New Roman" w:hAnsi="Times New Roman" w:cs="Times New Roman"/>
          <w:sz w:val="24"/>
          <w:szCs w:val="24"/>
        </w:rPr>
        <w:t>gafchromic</w:t>
      </w:r>
      <w:proofErr w:type="spellEnd"/>
      <w:r>
        <w:rPr>
          <w:rFonts w:ascii="Times New Roman" w:eastAsia="Times New Roman" w:hAnsi="Times New Roman" w:cs="Times New Roman"/>
          <w:sz w:val="24"/>
          <w:szCs w:val="24"/>
        </w:rPr>
        <w:t xml:space="preserve"> </w:t>
      </w:r>
      <w:sdt>
        <w:sdtPr>
          <w:tag w:val="goog_rdk_34"/>
          <w:id w:val="-2023851220"/>
        </w:sdtPr>
        <w:sdtEndPr/>
        <w:sdtContent>
          <w:r>
            <w:rPr>
              <w:rFonts w:ascii="Times New Roman" w:eastAsia="Times New Roman" w:hAnsi="Times New Roman" w:cs="Times New Roman"/>
              <w:sz w:val="24"/>
              <w:szCs w:val="24"/>
            </w:rPr>
            <w:t>films</w:t>
          </w:r>
        </w:sdtContent>
      </w:sdt>
      <w:r w:rsidR="0026019C">
        <w:t xml:space="preserve"> </w:t>
      </w:r>
      <w:r>
        <w:rPr>
          <w:rFonts w:ascii="Times New Roman" w:eastAsia="Times New Roman" w:hAnsi="Times New Roman" w:cs="Times New Roman"/>
          <w:sz w:val="24"/>
          <w:szCs w:val="24"/>
        </w:rPr>
        <w:t xml:space="preserve">are self-developing. The film darkening was measured using </w:t>
      </w:r>
      <w:r w:rsidR="0026019C">
        <w:rPr>
          <w:rFonts w:ascii="Times New Roman" w:eastAsia="Times New Roman" w:hAnsi="Times New Roman" w:cs="Times New Roman"/>
          <w:sz w:val="24"/>
          <w:szCs w:val="24"/>
        </w:rPr>
        <w:t xml:space="preserve">an </w:t>
      </w:r>
      <w:r>
        <w:rPr>
          <w:rFonts w:ascii="Times New Roman" w:eastAsia="Times New Roman" w:hAnsi="Times New Roman" w:cs="Times New Roman"/>
          <w:sz w:val="24"/>
          <w:szCs w:val="24"/>
        </w:rPr>
        <w:t xml:space="preserve">integrated densitometer in </w:t>
      </w:r>
      <w:r w:rsidR="0026019C">
        <w:rPr>
          <w:rFonts w:ascii="Times New Roman" w:eastAsia="Times New Roman" w:hAnsi="Times New Roman" w:cs="Times New Roman"/>
          <w:sz w:val="24"/>
          <w:szCs w:val="24"/>
        </w:rPr>
        <w:t xml:space="preserve">a </w:t>
      </w:r>
      <w:r>
        <w:rPr>
          <w:rFonts w:ascii="Times New Roman" w:eastAsia="Times New Roman" w:hAnsi="Times New Roman" w:cs="Times New Roman"/>
          <w:sz w:val="24"/>
          <w:szCs w:val="24"/>
        </w:rPr>
        <w:t>dedicated EPSON Expression 11000XL professional scanner with a resolution of 4800 dpi in transmission mode.</w:t>
      </w:r>
    </w:p>
    <w:p w:rsidR="007876BF" w:rsidRDefault="0084631F">
      <w:pPr>
        <w:jc w:val="both"/>
        <w:rPr>
          <w:rFonts w:ascii="Times New Roman" w:eastAsia="Times New Roman" w:hAnsi="Times New Roman" w:cs="Times New Roman"/>
          <w:i/>
        </w:rPr>
      </w:pPr>
      <w:r>
        <w:rPr>
          <w:rFonts w:ascii="Times New Roman" w:eastAsia="Times New Roman" w:hAnsi="Times New Roman" w:cs="Times New Roman"/>
          <w:sz w:val="24"/>
          <w:szCs w:val="24"/>
        </w:rPr>
        <w:t xml:space="preserve">The higher dose measured with TLD as compared to </w:t>
      </w:r>
      <w:sdt>
        <w:sdtPr>
          <w:tag w:val="goog_rdk_38"/>
          <w:id w:val="1195192946"/>
        </w:sdtPr>
        <w:sdtEndPr/>
        <w:sdtContent>
          <w:r>
            <w:rPr>
              <w:rFonts w:ascii="Times New Roman" w:eastAsia="Times New Roman" w:hAnsi="Times New Roman" w:cs="Times New Roman"/>
              <w:sz w:val="24"/>
              <w:szCs w:val="24"/>
            </w:rPr>
            <w:t xml:space="preserve">the </w:t>
          </w:r>
        </w:sdtContent>
      </w:sdt>
      <w:r>
        <w:rPr>
          <w:rFonts w:ascii="Times New Roman" w:eastAsia="Times New Roman" w:hAnsi="Times New Roman" w:cs="Times New Roman"/>
          <w:sz w:val="24"/>
          <w:szCs w:val="24"/>
        </w:rPr>
        <w:t>do</w:t>
      </w:r>
      <w:r>
        <w:rPr>
          <w:rFonts w:ascii="Times New Roman" w:eastAsia="Times New Roman" w:hAnsi="Times New Roman" w:cs="Times New Roman"/>
          <w:sz w:val="24"/>
          <w:szCs w:val="24"/>
        </w:rPr>
        <w:t xml:space="preserve">se measured by </w:t>
      </w:r>
      <w:sdt>
        <w:sdtPr>
          <w:tag w:val="goog_rdk_39"/>
          <w:id w:val="-2132547139"/>
        </w:sdtPr>
        <w:sdtEndPr/>
        <w:sdtContent>
          <w:r>
            <w:rPr>
              <w:rFonts w:ascii="Times New Roman" w:eastAsia="Times New Roman" w:hAnsi="Times New Roman" w:cs="Times New Roman"/>
              <w:sz w:val="24"/>
              <w:szCs w:val="24"/>
            </w:rPr>
            <w:t xml:space="preserve">the </w:t>
          </w:r>
        </w:sdtContent>
      </w:sdt>
      <w:r>
        <w:rPr>
          <w:rFonts w:ascii="Times New Roman" w:eastAsia="Times New Roman" w:hAnsi="Times New Roman" w:cs="Times New Roman"/>
          <w:sz w:val="24"/>
          <w:szCs w:val="24"/>
        </w:rPr>
        <w:t xml:space="preserve">ionization chamber may suggest the presence of considerable </w:t>
      </w:r>
      <w:sdt>
        <w:sdtPr>
          <w:tag w:val="goog_rdk_40"/>
          <w:id w:val="1881676070"/>
        </w:sdtPr>
        <w:sdtEndPr/>
        <w:sdtContent>
          <w:r>
            <w:rPr>
              <w:rFonts w:ascii="Times New Roman" w:eastAsia="Times New Roman" w:hAnsi="Times New Roman" w:cs="Times New Roman"/>
              <w:sz w:val="24"/>
              <w:szCs w:val="24"/>
            </w:rPr>
            <w:t xml:space="preserve">electron </w:t>
          </w:r>
          <w:proofErr w:type="spellStart"/>
          <w:r>
            <w:rPr>
              <w:rFonts w:ascii="Times New Roman" w:eastAsia="Times New Roman" w:hAnsi="Times New Roman" w:cs="Times New Roman"/>
              <w:sz w:val="24"/>
              <w:szCs w:val="24"/>
            </w:rPr>
            <w:t>numbers</w:t>
          </w:r>
        </w:sdtContent>
      </w:sdt>
      <w:r w:rsidR="0026019C">
        <w:t>c</w:t>
      </w:r>
      <w:r>
        <w:rPr>
          <w:rFonts w:ascii="Times New Roman" w:eastAsia="Times New Roman" w:hAnsi="Times New Roman" w:cs="Times New Roman"/>
          <w:sz w:val="24"/>
          <w:szCs w:val="24"/>
        </w:rPr>
        <w:t>with</w:t>
      </w:r>
      <w:proofErr w:type="spellEnd"/>
      <w:r>
        <w:rPr>
          <w:rFonts w:ascii="Times New Roman" w:eastAsia="Times New Roman" w:hAnsi="Times New Roman" w:cs="Times New Roman"/>
          <w:sz w:val="24"/>
          <w:szCs w:val="24"/>
        </w:rPr>
        <w:t xml:space="preserve"> energies below 12 MeV which were stopped in the sample stack.</w:t>
      </w:r>
      <w:r>
        <w:rPr>
          <w:rFonts w:ascii="Times New Roman" w:eastAsia="Times New Roman" w:hAnsi="Times New Roman" w:cs="Times New Roman"/>
          <w:i/>
        </w:rPr>
        <w:t xml:space="preserve"> </w:t>
      </w:r>
      <w:r>
        <w:rPr>
          <w:rFonts w:ascii="Times New Roman" w:eastAsia="Times New Roman" w:hAnsi="Times New Roman" w:cs="Times New Roman"/>
          <w:sz w:val="24"/>
          <w:szCs w:val="24"/>
        </w:rPr>
        <w:t xml:space="preserve">The presence of the high energy electrons in the spectrum </w:t>
      </w:r>
      <w:sdt>
        <w:sdtPr>
          <w:tag w:val="goog_rdk_42"/>
          <w:id w:val="1033537034"/>
        </w:sdtPr>
        <w:sdtEndPr/>
        <w:sdtContent>
          <w:r>
            <w:rPr>
              <w:rFonts w:ascii="Times New Roman" w:eastAsia="Times New Roman" w:hAnsi="Times New Roman" w:cs="Times New Roman"/>
              <w:sz w:val="24"/>
              <w:szCs w:val="24"/>
            </w:rPr>
            <w:t>is</w:t>
          </w:r>
        </w:sdtContent>
      </w:sdt>
      <w:sdt>
        <w:sdtPr>
          <w:tag w:val="goog_rdk_43"/>
          <w:id w:val="-2102798233"/>
          <w:showingPlcHdr/>
        </w:sdtPr>
        <w:sdtEndPr/>
        <w:sdtContent>
          <w:r w:rsidR="0026019C">
            <w:t xml:space="preserve">     </w:t>
          </w:r>
        </w:sdtContent>
      </w:sdt>
      <w:r>
        <w:rPr>
          <w:rFonts w:ascii="Times New Roman" w:eastAsia="Times New Roman" w:hAnsi="Times New Roman" w:cs="Times New Roman"/>
          <w:sz w:val="24"/>
          <w:szCs w:val="24"/>
        </w:rPr>
        <w:t xml:space="preserve"> eventually revealed</w:t>
      </w:r>
      <w:r>
        <w:rPr>
          <w:rFonts w:ascii="Times New Roman" w:eastAsia="Times New Roman" w:hAnsi="Times New Roman" w:cs="Times New Roman"/>
          <w:sz w:val="24"/>
          <w:szCs w:val="24"/>
        </w:rPr>
        <w:t xml:space="preserve"> with the </w:t>
      </w:r>
      <w:proofErr w:type="spellStart"/>
      <w:r>
        <w:rPr>
          <w:rFonts w:ascii="Times New Roman" w:eastAsia="Times New Roman" w:hAnsi="Times New Roman" w:cs="Times New Roman"/>
          <w:sz w:val="24"/>
          <w:szCs w:val="24"/>
        </w:rPr>
        <w:t>gafchromic</w:t>
      </w:r>
      <w:proofErr w:type="spellEnd"/>
      <w:r>
        <w:rPr>
          <w:rFonts w:ascii="Times New Roman" w:eastAsia="Times New Roman" w:hAnsi="Times New Roman" w:cs="Times New Roman"/>
          <w:sz w:val="24"/>
          <w:szCs w:val="24"/>
        </w:rPr>
        <w:t xml:space="preserve"> and ionization chamber dose measurements that pass </w:t>
      </w:r>
      <w:r>
        <w:rPr>
          <w:rFonts w:ascii="Times New Roman" w:eastAsia="Times New Roman" w:hAnsi="Times New Roman" w:cs="Times New Roman"/>
          <w:sz w:val="24"/>
          <w:szCs w:val="24"/>
        </w:rPr>
        <w:lastRenderedPageBreak/>
        <w:t xml:space="preserve">through </w:t>
      </w:r>
      <w:sdt>
        <w:sdtPr>
          <w:tag w:val="goog_rdk_44"/>
          <w:id w:val="1351297552"/>
        </w:sdtPr>
        <w:sdtEndPr/>
        <w:sdtContent>
          <w:r>
            <w:rPr>
              <w:rFonts w:ascii="Times New Roman" w:eastAsia="Times New Roman" w:hAnsi="Times New Roman" w:cs="Times New Roman"/>
              <w:sz w:val="24"/>
              <w:szCs w:val="24"/>
            </w:rPr>
            <w:t xml:space="preserve">the </w:t>
          </w:r>
        </w:sdtContent>
      </w:sdt>
      <w:r>
        <w:rPr>
          <w:rFonts w:ascii="Times New Roman" w:eastAsia="Times New Roman" w:hAnsi="Times New Roman" w:cs="Times New Roman"/>
          <w:sz w:val="24"/>
          <w:szCs w:val="24"/>
        </w:rPr>
        <w:t xml:space="preserve">entire sample stack. These electrons have been measured with </w:t>
      </w:r>
      <w:proofErr w:type="spellStart"/>
      <w:r>
        <w:rPr>
          <w:rFonts w:ascii="Times New Roman" w:eastAsia="Times New Roman" w:hAnsi="Times New Roman" w:cs="Times New Roman"/>
          <w:sz w:val="24"/>
          <w:szCs w:val="24"/>
        </w:rPr>
        <w:t>gafchromic</w:t>
      </w:r>
      <w:proofErr w:type="spellEnd"/>
      <w:r>
        <w:rPr>
          <w:rFonts w:ascii="Times New Roman" w:eastAsia="Times New Roman" w:hAnsi="Times New Roman" w:cs="Times New Roman"/>
          <w:sz w:val="24"/>
          <w:szCs w:val="24"/>
        </w:rPr>
        <w:t xml:space="preserve"> film and ionization chamber behind </w:t>
      </w:r>
      <w:sdt>
        <w:sdtPr>
          <w:tag w:val="goog_rdk_45"/>
          <w:id w:val="-37589481"/>
        </w:sdtPr>
        <w:sdtEndPr/>
        <w:sdtContent>
          <w:r>
            <w:rPr>
              <w:rFonts w:ascii="Times New Roman" w:eastAsia="Times New Roman" w:hAnsi="Times New Roman" w:cs="Times New Roman"/>
              <w:sz w:val="24"/>
              <w:szCs w:val="24"/>
            </w:rPr>
            <w:t xml:space="preserve">the </w:t>
          </w:r>
        </w:sdtContent>
      </w:sdt>
      <w:r>
        <w:rPr>
          <w:rFonts w:ascii="Times New Roman" w:eastAsia="Times New Roman" w:hAnsi="Times New Roman" w:cs="Times New Roman"/>
          <w:sz w:val="24"/>
          <w:szCs w:val="24"/>
        </w:rPr>
        <w:t>entire sample stack and show similar values corresponding</w:t>
      </w:r>
      <w:r>
        <w:rPr>
          <w:rFonts w:ascii="Times New Roman" w:eastAsia="Times New Roman" w:hAnsi="Times New Roman" w:cs="Times New Roman"/>
          <w:sz w:val="24"/>
          <w:szCs w:val="24"/>
        </w:rPr>
        <w:t xml:space="preserve"> </w:t>
      </w:r>
      <w:sdt>
        <w:sdtPr>
          <w:tag w:val="goog_rdk_46"/>
          <w:id w:val="-1353720781"/>
        </w:sdtPr>
        <w:sdtEndPr/>
        <w:sdtContent>
          <w:r>
            <w:rPr>
              <w:rFonts w:ascii="Times New Roman" w:eastAsia="Times New Roman" w:hAnsi="Times New Roman" w:cs="Times New Roman"/>
              <w:sz w:val="24"/>
              <w:szCs w:val="24"/>
            </w:rPr>
            <w:t xml:space="preserve">to </w:t>
          </w:r>
        </w:sdtContent>
      </w:sdt>
      <w:r>
        <w:rPr>
          <w:rFonts w:ascii="Times New Roman" w:eastAsia="Times New Roman" w:hAnsi="Times New Roman" w:cs="Times New Roman"/>
          <w:sz w:val="24"/>
          <w:szCs w:val="24"/>
        </w:rPr>
        <w:t xml:space="preserve">measurements uncertainty of both independent dosimetry </w:t>
      </w:r>
      <w:sdt>
        <w:sdtPr>
          <w:tag w:val="goog_rdk_47"/>
          <w:id w:val="-277490018"/>
        </w:sdtPr>
        <w:sdtEndPr/>
        <w:sdtContent>
          <w:r>
            <w:rPr>
              <w:rFonts w:ascii="Times New Roman" w:eastAsia="Times New Roman" w:hAnsi="Times New Roman" w:cs="Times New Roman"/>
              <w:sz w:val="24"/>
              <w:szCs w:val="24"/>
            </w:rPr>
            <w:t>systems</w:t>
          </w:r>
        </w:sdtContent>
      </w:sdt>
      <w:r>
        <w:rPr>
          <w:rFonts w:ascii="Times New Roman" w:eastAsia="Times New Roman" w:hAnsi="Times New Roman" w:cs="Times New Roman"/>
          <w:sz w:val="24"/>
          <w:szCs w:val="24"/>
        </w:rPr>
        <w:t xml:space="preserve">. </w:t>
      </w:r>
    </w:p>
    <w:p w:rsidR="007876BF" w:rsidRDefault="0084631F">
      <w:pPr>
        <w:spacing w:after="0"/>
        <w:ind w:firstLine="720"/>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Monte Carlo simulation - geometry and details:</w:t>
      </w:r>
    </w:p>
    <w:p w:rsidR="007876BF" w:rsidRDefault="0084631F">
      <w:pPr>
        <w:jc w:val="both"/>
        <w:rPr>
          <w:rFonts w:ascii="Times New Roman" w:eastAsia="Times New Roman" w:hAnsi="Times New Roman" w:cs="Times New Roman"/>
          <w:color w:val="0F0F0F"/>
          <w:sz w:val="24"/>
          <w:szCs w:val="24"/>
        </w:rPr>
      </w:pPr>
      <w:r>
        <w:rPr>
          <w:rFonts w:ascii="Times New Roman" w:eastAsia="Times New Roman" w:hAnsi="Times New Roman" w:cs="Times New Roman"/>
          <w:color w:val="0F0F0F"/>
          <w:sz w:val="24"/>
          <w:szCs w:val="24"/>
        </w:rPr>
        <w:t>Monte Carlo simulation stands as the sole viable method for accurately determining dose distributions in samples exposed to Very High En</w:t>
      </w:r>
      <w:r>
        <w:rPr>
          <w:rFonts w:ascii="Times New Roman" w:eastAsia="Times New Roman" w:hAnsi="Times New Roman" w:cs="Times New Roman"/>
          <w:color w:val="0F0F0F"/>
          <w:sz w:val="24"/>
          <w:szCs w:val="24"/>
        </w:rPr>
        <w:t>ergy Electron (VHEE) beams. This is due to the unavailability of a direct measurement approach for verifying VHEE electron beams, given that such beams are not currently very accessible for experimental validation.</w:t>
      </w:r>
    </w:p>
    <w:p w:rsidR="007876BF" w:rsidRDefault="0084631F">
      <w:pPr>
        <w:jc w:val="both"/>
        <w:rPr>
          <w:rFonts w:ascii="Times New Roman" w:eastAsia="Times New Roman" w:hAnsi="Times New Roman" w:cs="Times New Roman"/>
          <w:color w:val="0F0F0F"/>
          <w:sz w:val="24"/>
          <w:szCs w:val="24"/>
        </w:rPr>
      </w:pPr>
      <w:r>
        <w:rPr>
          <w:rFonts w:ascii="Times New Roman" w:eastAsia="Times New Roman" w:hAnsi="Times New Roman" w:cs="Times New Roman"/>
          <w:color w:val="0F0F0F"/>
          <w:sz w:val="24"/>
          <w:szCs w:val="24"/>
        </w:rPr>
        <w:t xml:space="preserve">The data on depth dose distribution of </w:t>
      </w:r>
      <w:r>
        <w:rPr>
          <w:rFonts w:ascii="Times New Roman" w:eastAsia="Times New Roman" w:hAnsi="Times New Roman" w:cs="Times New Roman"/>
          <w:color w:val="0F0F0F"/>
          <w:sz w:val="24"/>
          <w:szCs w:val="24"/>
        </w:rPr>
        <w:t>sample stack irradiated by VHEE have been computed by Monte Carlo code PENELOPE2014, which is a Fortran-77 subroutine package able to simulate electron, positron</w:t>
      </w:r>
      <w:sdt>
        <w:sdtPr>
          <w:tag w:val="goog_rdk_49"/>
          <w:id w:val="794025146"/>
        </w:sdtPr>
        <w:sdtEndPr/>
        <w:sdtContent>
          <w:r>
            <w:rPr>
              <w:rFonts w:ascii="Times New Roman" w:eastAsia="Times New Roman" w:hAnsi="Times New Roman" w:cs="Times New Roman"/>
              <w:color w:val="0F0F0F"/>
              <w:sz w:val="24"/>
              <w:szCs w:val="24"/>
            </w:rPr>
            <w:t>,</w:t>
          </w:r>
        </w:sdtContent>
      </w:sdt>
      <w:r>
        <w:rPr>
          <w:rFonts w:ascii="Times New Roman" w:eastAsia="Times New Roman" w:hAnsi="Times New Roman" w:cs="Times New Roman"/>
          <w:color w:val="0F0F0F"/>
          <w:sz w:val="24"/>
          <w:szCs w:val="24"/>
        </w:rPr>
        <w:t xml:space="preserve"> and photon transport through matter. </w:t>
      </w:r>
    </w:p>
    <w:p w:rsidR="007876BF" w:rsidRDefault="0084631F">
      <w:pPr>
        <w:jc w:val="both"/>
        <w:rPr>
          <w:rFonts w:ascii="Times New Roman" w:eastAsia="Times New Roman" w:hAnsi="Times New Roman" w:cs="Times New Roman"/>
          <w:color w:val="0F0F0F"/>
          <w:sz w:val="24"/>
          <w:szCs w:val="24"/>
        </w:rPr>
      </w:pPr>
      <w:r>
        <w:rPr>
          <w:rFonts w:ascii="Times New Roman" w:eastAsia="Times New Roman" w:hAnsi="Times New Roman" w:cs="Times New Roman"/>
          <w:color w:val="0F0F0F"/>
          <w:sz w:val="24"/>
          <w:szCs w:val="24"/>
        </w:rPr>
        <w:t xml:space="preserve">Energetically calibrating the electron beam employed </w:t>
      </w:r>
      <w:r>
        <w:rPr>
          <w:rFonts w:ascii="Times New Roman" w:eastAsia="Times New Roman" w:hAnsi="Times New Roman" w:cs="Times New Roman"/>
          <w:color w:val="0F0F0F"/>
          <w:sz w:val="24"/>
          <w:szCs w:val="24"/>
        </w:rPr>
        <w:t>in irradiation experiments is challenging to achieve through experimental measurements. Considering that the absorbed dose depends on the energy of the irradiation beam, Monte Carlo simulations were conducted in this case to better comprehend the doses mea</w:t>
      </w:r>
      <w:r>
        <w:rPr>
          <w:rFonts w:ascii="Times New Roman" w:eastAsia="Times New Roman" w:hAnsi="Times New Roman" w:cs="Times New Roman"/>
          <w:color w:val="0F0F0F"/>
          <w:sz w:val="24"/>
          <w:szCs w:val="24"/>
        </w:rPr>
        <w:t>sured by TLD dosimeters during the irradiation experiments of the sample stack.</w:t>
      </w:r>
    </w:p>
    <w:p w:rsidR="007876BF" w:rsidRDefault="0084631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geometry of the irradiated sample in the simulation program was defined as </w:t>
      </w:r>
      <w:sdt>
        <w:sdtPr>
          <w:tag w:val="goog_rdk_50"/>
          <w:id w:val="1175926878"/>
        </w:sdtPr>
        <w:sdtEndPr/>
        <w:sdtContent>
          <w:r>
            <w:rPr>
              <w:rFonts w:ascii="Times New Roman" w:eastAsia="Times New Roman" w:hAnsi="Times New Roman" w:cs="Times New Roman"/>
              <w:sz w:val="24"/>
              <w:szCs w:val="24"/>
            </w:rPr>
            <w:t>simply</w:t>
          </w:r>
        </w:sdtContent>
      </w:sdt>
      <w:r w:rsidR="0026019C">
        <w:t xml:space="preserve"> </w:t>
      </w:r>
      <w:r>
        <w:rPr>
          <w:rFonts w:ascii="Times New Roman" w:eastAsia="Times New Roman" w:hAnsi="Times New Roman" w:cs="Times New Roman"/>
          <w:sz w:val="24"/>
          <w:szCs w:val="24"/>
        </w:rPr>
        <w:t>as possible to closely emulate the sample stack used in experiments</w:t>
      </w:r>
      <w:r w:rsidR="0026019C">
        <w:t xml:space="preserve"> </w:t>
      </w:r>
      <w:r>
        <w:rPr>
          <w:rFonts w:ascii="Times New Roman" w:eastAsia="Times New Roman" w:hAnsi="Times New Roman" w:cs="Times New Roman"/>
          <w:sz w:val="24"/>
          <w:szCs w:val="24"/>
        </w:rPr>
        <w:t>while ensuring a rea</w:t>
      </w:r>
      <w:r>
        <w:rPr>
          <w:rFonts w:ascii="Times New Roman" w:eastAsia="Times New Roman" w:hAnsi="Times New Roman" w:cs="Times New Roman"/>
          <w:sz w:val="24"/>
          <w:szCs w:val="24"/>
        </w:rPr>
        <w:t xml:space="preserve">sonably short simulation time. Thus, the cell flask phantoms were defined as right rectangular prisms made of water with a thickness of 2 cm (green and orange body) and surrounded by a layer of polyethylene (red and blue body) with a thickness of 0.02 cm. </w:t>
      </w:r>
      <w:r>
        <w:rPr>
          <w:rFonts w:ascii="Times New Roman" w:eastAsia="Times New Roman" w:hAnsi="Times New Roman" w:cs="Times New Roman"/>
          <w:sz w:val="24"/>
          <w:szCs w:val="24"/>
        </w:rPr>
        <w:t>TLD (</w:t>
      </w:r>
      <w:proofErr w:type="spellStart"/>
      <w:r>
        <w:rPr>
          <w:rFonts w:ascii="Times New Roman" w:eastAsia="Times New Roman" w:hAnsi="Times New Roman" w:cs="Times New Roman"/>
          <w:sz w:val="24"/>
          <w:szCs w:val="24"/>
        </w:rPr>
        <w:t>thermoluminescent</w:t>
      </w:r>
      <w:proofErr w:type="spellEnd"/>
      <w:r>
        <w:rPr>
          <w:rFonts w:ascii="Times New Roman" w:eastAsia="Times New Roman" w:hAnsi="Times New Roman" w:cs="Times New Roman"/>
          <w:sz w:val="24"/>
          <w:szCs w:val="24"/>
        </w:rPr>
        <w:t xml:space="preserve"> dosimeter) materials with a thickness of 0.1 cm were specified at both ends of the two phantoms and between them. The TLD dosimeter </w:t>
      </w:r>
      <w:sdt>
        <w:sdtPr>
          <w:tag w:val="goog_rdk_53"/>
          <w:id w:val="-973442857"/>
        </w:sdtPr>
        <w:sdtEndPr/>
        <w:sdtContent>
          <w:r>
            <w:rPr>
              <w:rFonts w:ascii="Times New Roman" w:eastAsia="Times New Roman" w:hAnsi="Times New Roman" w:cs="Times New Roman"/>
              <w:sz w:val="24"/>
              <w:szCs w:val="24"/>
            </w:rPr>
            <w:t>was</w:t>
          </w:r>
        </w:sdtContent>
      </w:sdt>
      <w:r w:rsidR="0026019C">
        <w:t xml:space="preserve"> </w:t>
      </w:r>
      <w:r>
        <w:rPr>
          <w:rFonts w:ascii="Times New Roman" w:eastAsia="Times New Roman" w:hAnsi="Times New Roman" w:cs="Times New Roman"/>
          <w:sz w:val="24"/>
          <w:szCs w:val="24"/>
        </w:rPr>
        <w:t xml:space="preserve">defined as a homogeneous medium of </w:t>
      </w:r>
      <w:r>
        <w:rPr>
          <w:rFonts w:ascii="Cambria Math" w:eastAsia="Cambria Math" w:hAnsi="Cambria Math" w:cs="Cambria Math"/>
          <w:color w:val="000000"/>
          <w:sz w:val="24"/>
          <w:szCs w:val="24"/>
        </w:rPr>
        <w:t>𝐶𝑎𝑆𝑂</w:t>
      </w:r>
      <w:r>
        <w:rPr>
          <w:rFonts w:ascii="Times New Roman" w:eastAsia="Times New Roman" w:hAnsi="Times New Roman" w:cs="Times New Roman"/>
          <w:color w:val="000000"/>
          <w:sz w:val="24"/>
          <w:szCs w:val="24"/>
          <w:vertAlign w:val="subscript"/>
        </w:rPr>
        <w:t>4</w:t>
      </w:r>
      <w:r>
        <w:rPr>
          <w:rFonts w:ascii="Times New Roman" w:eastAsia="Times New Roman" w:hAnsi="Times New Roman" w:cs="Times New Roman"/>
          <w:color w:val="000000"/>
          <w:sz w:val="24"/>
          <w:szCs w:val="24"/>
        </w:rPr>
        <w:t xml:space="preserve">: </w:t>
      </w:r>
      <w:r>
        <w:rPr>
          <w:rFonts w:ascii="Cambria Math" w:eastAsia="Cambria Math" w:hAnsi="Cambria Math" w:cs="Cambria Math"/>
          <w:color w:val="000000"/>
          <w:sz w:val="24"/>
          <w:szCs w:val="24"/>
        </w:rPr>
        <w:t>𝑇𝑚</w:t>
      </w:r>
      <w:r>
        <w:rPr>
          <w:rFonts w:ascii="Times New Roman" w:eastAsia="Times New Roman" w:hAnsi="Times New Roman" w:cs="Times New Roman"/>
          <w:color w:val="000000"/>
          <w:sz w:val="24"/>
          <w:szCs w:val="24"/>
        </w:rPr>
        <w:t xml:space="preserve"> with 1% at. concentration of Tm. </w:t>
      </w:r>
      <w:r>
        <w:rPr>
          <w:rFonts w:ascii="Times New Roman" w:eastAsia="Times New Roman" w:hAnsi="Times New Roman" w:cs="Times New Roman"/>
          <w:sz w:val="24"/>
          <w:szCs w:val="24"/>
        </w:rPr>
        <w:t>The simulat</w:t>
      </w:r>
      <w:r>
        <w:rPr>
          <w:rFonts w:ascii="Times New Roman" w:eastAsia="Times New Roman" w:hAnsi="Times New Roman" w:cs="Times New Roman"/>
          <w:sz w:val="24"/>
          <w:szCs w:val="24"/>
        </w:rPr>
        <w:t>ion starts with a monoenergetic electron beam with energy of 10 or 100 MeV hitting perpendicular to the surface of the sample stack which is placed at a distance of 1,8 m from the beam source (as in experimental condition). The cut-off parameters, i.e. the</w:t>
      </w:r>
      <w:r>
        <w:rPr>
          <w:rFonts w:ascii="Times New Roman" w:eastAsia="Times New Roman" w:hAnsi="Times New Roman" w:cs="Times New Roman"/>
          <w:sz w:val="24"/>
          <w:szCs w:val="24"/>
        </w:rPr>
        <w:t xml:space="preserve"> energy cut-off for electron, photon</w:t>
      </w:r>
      <w:sdt>
        <w:sdtPr>
          <w:tag w:val="goog_rdk_55"/>
          <w:id w:val="-2047435081"/>
        </w:sdtPr>
        <w:sdtEndPr/>
        <w:sdtContent>
          <w:r>
            <w:rPr>
              <w:rFonts w:ascii="Times New Roman" w:eastAsia="Times New Roman" w:hAnsi="Times New Roman" w:cs="Times New Roman"/>
              <w:sz w:val="24"/>
              <w:szCs w:val="24"/>
            </w:rPr>
            <w:t>,</w:t>
          </w:r>
        </w:sdtContent>
      </w:sdt>
      <w:r>
        <w:rPr>
          <w:rFonts w:ascii="Times New Roman" w:eastAsia="Times New Roman" w:hAnsi="Times New Roman" w:cs="Times New Roman"/>
          <w:sz w:val="24"/>
          <w:szCs w:val="24"/>
        </w:rPr>
        <w:t xml:space="preserve"> and positron trajectory tracing through each simulated material (EABS1:3) </w:t>
      </w:r>
      <w:sdt>
        <w:sdtPr>
          <w:tag w:val="goog_rdk_56"/>
          <w:id w:val="839041475"/>
        </w:sdtPr>
        <w:sdtEndPr/>
        <w:sdtContent>
          <w:r>
            <w:rPr>
              <w:rFonts w:ascii="Times New Roman" w:eastAsia="Times New Roman" w:hAnsi="Times New Roman" w:cs="Times New Roman"/>
              <w:sz w:val="24"/>
              <w:szCs w:val="24"/>
            </w:rPr>
            <w:t>were</w:t>
          </w:r>
        </w:sdtContent>
      </w:sdt>
      <w:r w:rsidR="0026019C">
        <w:t xml:space="preserve"> </w:t>
      </w:r>
      <w:r>
        <w:rPr>
          <w:rFonts w:ascii="Times New Roman" w:eastAsia="Times New Roman" w:hAnsi="Times New Roman" w:cs="Times New Roman"/>
          <w:sz w:val="24"/>
          <w:szCs w:val="24"/>
        </w:rPr>
        <w:t xml:space="preserve">set at 10 keV while the cut-off parameters for the elastic scattering </w:t>
      </w:r>
      <w:sdt>
        <w:sdtPr>
          <w:tag w:val="goog_rdk_58"/>
          <w:id w:val="409434528"/>
        </w:sdtPr>
        <w:sdtEndPr/>
        <w:sdtContent>
          <w:r>
            <w:rPr>
              <w:rFonts w:ascii="Times New Roman" w:eastAsia="Times New Roman" w:hAnsi="Times New Roman" w:cs="Times New Roman"/>
              <w:sz w:val="24"/>
              <w:szCs w:val="24"/>
            </w:rPr>
            <w:t>were</w:t>
          </w:r>
        </w:sdtContent>
      </w:sdt>
      <w:r w:rsidR="0026019C">
        <w:t xml:space="preserve"> </w:t>
      </w:r>
      <w:r>
        <w:rPr>
          <w:rFonts w:ascii="Times New Roman" w:eastAsia="Times New Roman" w:hAnsi="Times New Roman" w:cs="Times New Roman"/>
          <w:sz w:val="24"/>
          <w:szCs w:val="24"/>
        </w:rPr>
        <w:t>set as C1= C2 =0.05. For the bremsstrahlung emission and i</w:t>
      </w:r>
      <w:r>
        <w:rPr>
          <w:rFonts w:ascii="Times New Roman" w:eastAsia="Times New Roman" w:hAnsi="Times New Roman" w:cs="Times New Roman"/>
          <w:sz w:val="24"/>
          <w:szCs w:val="24"/>
        </w:rPr>
        <w:t>nelastic collisions, the cot-off was also set at 10 keV (WCR =WCC =10 Kev). No variance reduction or interaction forcing techniques were used. A total of 1x10</w:t>
      </w:r>
      <w:r>
        <w:rPr>
          <w:rFonts w:ascii="Times New Roman" w:eastAsia="Times New Roman" w:hAnsi="Times New Roman" w:cs="Times New Roman"/>
          <w:sz w:val="24"/>
          <w:szCs w:val="24"/>
          <w:vertAlign w:val="superscript"/>
        </w:rPr>
        <w:t>8</w:t>
      </w:r>
      <w:r>
        <w:rPr>
          <w:rFonts w:ascii="Times New Roman" w:eastAsia="Times New Roman" w:hAnsi="Times New Roman" w:cs="Times New Roman"/>
          <w:sz w:val="24"/>
          <w:szCs w:val="24"/>
        </w:rPr>
        <w:t xml:space="preserve"> particles were simulated for each run time.</w:t>
      </w:r>
    </w:p>
    <w:p w:rsidR="007876BF" w:rsidRDefault="0084631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Fig. SI 2 presents the absorbed dose distributions t</w:t>
      </w:r>
      <w:r>
        <w:rPr>
          <w:rFonts w:ascii="Times New Roman" w:eastAsia="Times New Roman" w:hAnsi="Times New Roman" w:cs="Times New Roman"/>
          <w:sz w:val="24"/>
          <w:szCs w:val="24"/>
        </w:rPr>
        <w:t xml:space="preserve">hrough </w:t>
      </w:r>
      <w:sdt>
        <w:sdtPr>
          <w:tag w:val="goog_rdk_60"/>
          <w:id w:val="1426616846"/>
        </w:sdtPr>
        <w:sdtEndPr/>
        <w:sdtContent>
          <w:r>
            <w:rPr>
              <w:rFonts w:ascii="Times New Roman" w:eastAsia="Times New Roman" w:hAnsi="Times New Roman" w:cs="Times New Roman"/>
              <w:sz w:val="24"/>
              <w:szCs w:val="24"/>
            </w:rPr>
            <w:t xml:space="preserve">the </w:t>
          </w:r>
        </w:sdtContent>
      </w:sdt>
      <w:r>
        <w:rPr>
          <w:rFonts w:ascii="Times New Roman" w:eastAsia="Times New Roman" w:hAnsi="Times New Roman" w:cs="Times New Roman"/>
          <w:sz w:val="24"/>
          <w:szCs w:val="24"/>
        </w:rPr>
        <w:t>entire sample stack. For both electron energies</w:t>
      </w:r>
      <w:sdt>
        <w:sdtPr>
          <w:tag w:val="goog_rdk_61"/>
          <w:id w:val="-440076087"/>
        </w:sdtPr>
        <w:sdtEndPr/>
        <w:sdtContent>
          <w:r>
            <w:rPr>
              <w:rFonts w:ascii="Times New Roman" w:eastAsia="Times New Roman" w:hAnsi="Times New Roman" w:cs="Times New Roman"/>
              <w:sz w:val="24"/>
              <w:szCs w:val="24"/>
            </w:rPr>
            <w:t>,</w:t>
          </w:r>
        </w:sdtContent>
      </w:sdt>
      <w:r>
        <w:rPr>
          <w:rFonts w:ascii="Times New Roman" w:eastAsia="Times New Roman" w:hAnsi="Times New Roman" w:cs="Times New Roman"/>
          <w:sz w:val="24"/>
          <w:szCs w:val="24"/>
        </w:rPr>
        <w:t xml:space="preserve"> the absorbed dose through TLD dosimeters is higher than in the water phantoms and can </w:t>
      </w:r>
      <w:sdt>
        <w:sdtPr>
          <w:tag w:val="goog_rdk_62"/>
          <w:id w:val="-1726683740"/>
        </w:sdtPr>
        <w:sdtEndPr/>
        <w:sdtContent>
          <w:r>
            <w:rPr>
              <w:rFonts w:ascii="Times New Roman" w:eastAsia="Times New Roman" w:hAnsi="Times New Roman" w:cs="Times New Roman"/>
              <w:sz w:val="24"/>
              <w:szCs w:val="24"/>
            </w:rPr>
            <w:t>be observed</w:t>
          </w:r>
        </w:sdtContent>
      </w:sdt>
      <w:r w:rsidR="0026019C">
        <w:t xml:space="preserve"> </w:t>
      </w:r>
      <w:r>
        <w:rPr>
          <w:rFonts w:ascii="Times New Roman" w:eastAsia="Times New Roman" w:hAnsi="Times New Roman" w:cs="Times New Roman"/>
          <w:sz w:val="24"/>
          <w:szCs w:val="24"/>
        </w:rPr>
        <w:t xml:space="preserve">as three valleys </w:t>
      </w:r>
      <w:sdt>
        <w:sdtPr>
          <w:tag w:val="goog_rdk_64"/>
          <w:id w:val="-1888566252"/>
        </w:sdtPr>
        <w:sdtEndPr/>
        <w:sdtContent>
          <w:r>
            <w:rPr>
              <w:rFonts w:ascii="Times New Roman" w:eastAsia="Times New Roman" w:hAnsi="Times New Roman" w:cs="Times New Roman"/>
              <w:sz w:val="24"/>
              <w:szCs w:val="24"/>
            </w:rPr>
            <w:t>centered</w:t>
          </w:r>
        </w:sdtContent>
      </w:sdt>
      <w:r w:rsidR="0026019C">
        <w:t xml:space="preserve"> </w:t>
      </w:r>
      <w:r>
        <w:rPr>
          <w:rFonts w:ascii="Times New Roman" w:eastAsia="Times New Roman" w:hAnsi="Times New Roman" w:cs="Times New Roman"/>
          <w:sz w:val="24"/>
          <w:szCs w:val="24"/>
        </w:rPr>
        <w:t>at the hitting surface (0 cm), in the middle of the sample stack</w:t>
      </w:r>
      <w:r>
        <w:rPr>
          <w:rFonts w:ascii="Times New Roman" w:eastAsia="Times New Roman" w:hAnsi="Times New Roman" w:cs="Times New Roman"/>
          <w:sz w:val="24"/>
          <w:szCs w:val="24"/>
        </w:rPr>
        <w:t xml:space="preserve"> (2.2 cm)</w:t>
      </w:r>
      <w:sdt>
        <w:sdtPr>
          <w:tag w:val="goog_rdk_66"/>
          <w:id w:val="517966834"/>
        </w:sdtPr>
        <w:sdtEndPr/>
        <w:sdtContent>
          <w:r>
            <w:rPr>
              <w:rFonts w:ascii="Times New Roman" w:eastAsia="Times New Roman" w:hAnsi="Times New Roman" w:cs="Times New Roman"/>
              <w:sz w:val="24"/>
              <w:szCs w:val="24"/>
            </w:rPr>
            <w:t>,</w:t>
          </w:r>
        </w:sdtContent>
      </w:sdt>
      <w:r>
        <w:rPr>
          <w:rFonts w:ascii="Times New Roman" w:eastAsia="Times New Roman" w:hAnsi="Times New Roman" w:cs="Times New Roman"/>
          <w:sz w:val="24"/>
          <w:szCs w:val="24"/>
        </w:rPr>
        <w:t xml:space="preserve"> and at the end of the sample stack (4.5 cm). This is because the density and the effective atomic number of TLD material are higher than water phantom and polyethylene. For comparison </w:t>
      </w:r>
      <w:sdt>
        <w:sdtPr>
          <w:tag w:val="goog_rdk_67"/>
          <w:id w:val="335429340"/>
        </w:sdtPr>
        <w:sdtEndPr/>
        <w:sdtContent>
          <w:r>
            <w:rPr>
              <w:rFonts w:ascii="Times New Roman" w:eastAsia="Times New Roman" w:hAnsi="Times New Roman" w:cs="Times New Roman"/>
              <w:sz w:val="24"/>
              <w:szCs w:val="24"/>
            </w:rPr>
            <w:t>reasons</w:t>
          </w:r>
        </w:sdtContent>
      </w:sdt>
      <w:r>
        <w:rPr>
          <w:rFonts w:ascii="Times New Roman" w:eastAsia="Times New Roman" w:hAnsi="Times New Roman" w:cs="Times New Roman"/>
          <w:sz w:val="24"/>
          <w:szCs w:val="24"/>
        </w:rPr>
        <w:t>, the dose measured by TLD dosimeters during irrad</w:t>
      </w:r>
      <w:r>
        <w:rPr>
          <w:rFonts w:ascii="Times New Roman" w:eastAsia="Times New Roman" w:hAnsi="Times New Roman" w:cs="Times New Roman"/>
          <w:sz w:val="24"/>
          <w:szCs w:val="24"/>
        </w:rPr>
        <w:t xml:space="preserve">iation experiments </w:t>
      </w:r>
      <w:sdt>
        <w:sdtPr>
          <w:tag w:val="goog_rdk_69"/>
          <w:id w:val="505328731"/>
        </w:sdtPr>
        <w:sdtEndPr/>
        <w:sdtContent>
          <w:r>
            <w:rPr>
              <w:rFonts w:ascii="Times New Roman" w:eastAsia="Times New Roman" w:hAnsi="Times New Roman" w:cs="Times New Roman"/>
              <w:sz w:val="24"/>
              <w:szCs w:val="24"/>
            </w:rPr>
            <w:t>is</w:t>
          </w:r>
        </w:sdtContent>
      </w:sdt>
      <w:sdt>
        <w:sdtPr>
          <w:tag w:val="goog_rdk_70"/>
          <w:id w:val="1670441513"/>
          <w:showingPlcHdr/>
        </w:sdtPr>
        <w:sdtEndPr/>
        <w:sdtContent>
          <w:r w:rsidR="0026019C">
            <w:t xml:space="preserve">     </w:t>
          </w:r>
        </w:sdtContent>
      </w:sdt>
      <w:r>
        <w:rPr>
          <w:rFonts w:ascii="Times New Roman" w:eastAsia="Times New Roman" w:hAnsi="Times New Roman" w:cs="Times New Roman"/>
          <w:sz w:val="24"/>
          <w:szCs w:val="24"/>
        </w:rPr>
        <w:t xml:space="preserve"> also presented in the graph of Fig. SI 2. </w:t>
      </w:r>
    </w:p>
    <w:p w:rsidR="007876BF" w:rsidRDefault="0084631F">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From Monte Carlo simulations, we observe that the energy deposition of 10 MeV electrons gradually drops within the sample stack compared to 100 MeV electrons which show a quasi-unifo</w:t>
      </w:r>
      <w:r>
        <w:rPr>
          <w:rFonts w:ascii="Times New Roman" w:eastAsia="Times New Roman" w:hAnsi="Times New Roman" w:cs="Times New Roman"/>
          <w:sz w:val="24"/>
          <w:szCs w:val="24"/>
        </w:rPr>
        <w:t>rm distribution over the whole stack depth.</w:t>
      </w:r>
      <w:r>
        <w:t xml:space="preserve"> </w:t>
      </w:r>
      <w:r>
        <w:rPr>
          <w:rFonts w:ascii="Times New Roman" w:eastAsia="Times New Roman" w:hAnsi="Times New Roman" w:cs="Times New Roman"/>
          <w:sz w:val="24"/>
          <w:szCs w:val="24"/>
        </w:rPr>
        <w:t>These results are supported by studies previously reported in the literature</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which indicate that with </w:t>
      </w:r>
      <w:sdt>
        <w:sdtPr>
          <w:tag w:val="goog_rdk_71"/>
          <w:id w:val="-1845076184"/>
        </w:sdtPr>
        <w:sdtEndPr/>
        <w:sdtContent>
          <w:r>
            <w:rPr>
              <w:rFonts w:ascii="Times New Roman" w:eastAsia="Times New Roman" w:hAnsi="Times New Roman" w:cs="Times New Roman"/>
              <w:sz w:val="24"/>
              <w:szCs w:val="24"/>
            </w:rPr>
            <w:t xml:space="preserve">an </w:t>
          </w:r>
        </w:sdtContent>
      </w:sdt>
      <w:r>
        <w:rPr>
          <w:rFonts w:ascii="Times New Roman" w:eastAsia="Times New Roman" w:hAnsi="Times New Roman" w:cs="Times New Roman"/>
          <w:sz w:val="24"/>
          <w:szCs w:val="24"/>
        </w:rPr>
        <w:t>increase in the irradiation beam energy, the maximum absorbed dose occurs at greater depths. For a geom</w:t>
      </w:r>
      <w:r>
        <w:rPr>
          <w:rFonts w:ascii="Times New Roman" w:eastAsia="Times New Roman" w:hAnsi="Times New Roman" w:cs="Times New Roman"/>
          <w:sz w:val="24"/>
          <w:szCs w:val="24"/>
        </w:rPr>
        <w:t xml:space="preserve">etry similar to our cells stack, the </w:t>
      </w:r>
      <w:r>
        <w:rPr>
          <w:rFonts w:ascii="Times New Roman" w:eastAsia="Times New Roman" w:hAnsi="Times New Roman" w:cs="Times New Roman"/>
          <w:sz w:val="24"/>
          <w:szCs w:val="24"/>
        </w:rPr>
        <w:lastRenderedPageBreak/>
        <w:t xml:space="preserve">highest energy absorption occurs with 10 MeV electrons and reaches a maximum at a depth </w:t>
      </w:r>
      <w:sdt>
        <w:sdtPr>
          <w:tag w:val="goog_rdk_72"/>
          <w:id w:val="-551003062"/>
        </w:sdtPr>
        <w:sdtEndPr/>
        <w:sdtContent>
          <w:r>
            <w:rPr>
              <w:rFonts w:ascii="Times New Roman" w:eastAsia="Times New Roman" w:hAnsi="Times New Roman" w:cs="Times New Roman"/>
              <w:sz w:val="24"/>
              <w:szCs w:val="24"/>
            </w:rPr>
            <w:t xml:space="preserve">of </w:t>
          </w:r>
        </w:sdtContent>
      </w:sdt>
      <w:r>
        <w:rPr>
          <w:rFonts w:ascii="Times New Roman" w:eastAsia="Times New Roman" w:hAnsi="Times New Roman" w:cs="Times New Roman"/>
          <w:sz w:val="24"/>
          <w:szCs w:val="24"/>
        </w:rPr>
        <w:t>around 4 cm. Based on the dose depth distribution simulated in Fig. SI 2, one may suppose that the electron pulse has a wide e</w:t>
      </w:r>
      <w:r>
        <w:rPr>
          <w:rFonts w:ascii="Times New Roman" w:eastAsia="Times New Roman" w:hAnsi="Times New Roman" w:cs="Times New Roman"/>
          <w:sz w:val="24"/>
          <w:szCs w:val="24"/>
        </w:rPr>
        <w:t xml:space="preserve">nergy distribution with a significant component up to 10 - 12 MeV that might explain the decreasing tendency of doses measurement by TLD dosimeters and a higher energy part (over 50 MeV) that was captured by the ionization chamber and the </w:t>
      </w:r>
      <w:proofErr w:type="spellStart"/>
      <w:r>
        <w:rPr>
          <w:rFonts w:ascii="Times New Roman" w:eastAsia="Times New Roman" w:hAnsi="Times New Roman" w:cs="Times New Roman"/>
          <w:sz w:val="24"/>
          <w:szCs w:val="24"/>
        </w:rPr>
        <w:t>Gafchromic</w:t>
      </w:r>
      <w:proofErr w:type="spellEnd"/>
      <w:r>
        <w:rPr>
          <w:rFonts w:ascii="Times New Roman" w:eastAsia="Times New Roman" w:hAnsi="Times New Roman" w:cs="Times New Roman"/>
          <w:sz w:val="24"/>
          <w:szCs w:val="24"/>
        </w:rPr>
        <w:t xml:space="preserve"> films.</w:t>
      </w:r>
    </w:p>
    <w:p w:rsidR="007876BF" w:rsidRDefault="007876BF">
      <w:pPr>
        <w:ind w:firstLine="720"/>
        <w:jc w:val="both"/>
        <w:rPr>
          <w:rFonts w:ascii="Times New Roman" w:eastAsia="Times New Roman" w:hAnsi="Times New Roman" w:cs="Times New Roman"/>
          <w:sz w:val="24"/>
          <w:szCs w:val="24"/>
        </w:rPr>
      </w:pPr>
    </w:p>
    <w:p w:rsidR="007876BF" w:rsidRDefault="0084631F">
      <w:pPr>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971800" cy="3200400"/>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7"/>
                    <a:srcRect/>
                    <a:stretch>
                      <a:fillRect/>
                    </a:stretch>
                  </pic:blipFill>
                  <pic:spPr>
                    <a:xfrm>
                      <a:off x="0" y="0"/>
                      <a:ext cx="2971800" cy="3200400"/>
                    </a:xfrm>
                    <a:prstGeom prst="rect">
                      <a:avLst/>
                    </a:prstGeom>
                    <a:ln/>
                  </pic:spPr>
                </pic:pic>
              </a:graphicData>
            </a:graphic>
          </wp:inline>
        </w:drawing>
      </w:r>
    </w:p>
    <w:p w:rsidR="007876BF" w:rsidRDefault="0084631F">
      <w:pPr>
        <w:jc w:val="center"/>
        <w:rPr>
          <w:rFonts w:ascii="Times New Roman" w:eastAsia="Times New Roman" w:hAnsi="Times New Roman" w:cs="Times New Roman"/>
          <w:i/>
        </w:rPr>
      </w:pPr>
      <w:r>
        <w:rPr>
          <w:rFonts w:ascii="Times New Roman" w:eastAsia="Times New Roman" w:hAnsi="Times New Roman" w:cs="Times New Roman"/>
          <w:i/>
        </w:rPr>
        <w:t xml:space="preserve">Figure SI </w:t>
      </w:r>
      <w:proofErr w:type="gramStart"/>
      <w:r>
        <w:rPr>
          <w:rFonts w:ascii="Times New Roman" w:eastAsia="Times New Roman" w:hAnsi="Times New Roman" w:cs="Times New Roman"/>
          <w:i/>
        </w:rPr>
        <w:t>2:Depth</w:t>
      </w:r>
      <w:proofErr w:type="gramEnd"/>
      <w:r>
        <w:rPr>
          <w:rFonts w:ascii="Times New Roman" w:eastAsia="Times New Roman" w:hAnsi="Times New Roman" w:cs="Times New Roman"/>
          <w:i/>
        </w:rPr>
        <w:t xml:space="preserve"> dose distribution through sample stack (top image) and the corresponding simulated geometry for stack sample(bottom image).</w:t>
      </w:r>
    </w:p>
    <w:p w:rsidR="007876BF" w:rsidRDefault="007876BF">
      <w:pPr>
        <w:rPr>
          <w:sz w:val="24"/>
          <w:szCs w:val="24"/>
        </w:rPr>
      </w:pPr>
    </w:p>
    <w:p w:rsidR="007876BF" w:rsidRDefault="007876BF"/>
    <w:p w:rsidR="007876BF" w:rsidRDefault="007876BF"/>
    <w:p w:rsidR="007876BF" w:rsidRDefault="007876BF"/>
    <w:p w:rsidR="007876BF" w:rsidRDefault="007876BF"/>
    <w:p w:rsidR="007876BF" w:rsidRDefault="007876BF"/>
    <w:p w:rsidR="007876BF" w:rsidRDefault="007876BF"/>
    <w:p w:rsidR="007876BF" w:rsidRDefault="007876BF"/>
    <w:p w:rsidR="007876BF" w:rsidRDefault="007876BF"/>
    <w:p w:rsidR="007876BF" w:rsidRDefault="007876BF"/>
    <w:p w:rsidR="007876BF" w:rsidRDefault="007876BF"/>
    <w:p w:rsidR="007876BF" w:rsidRDefault="007876BF"/>
    <w:p w:rsidR="007876BF" w:rsidRDefault="0084631F">
      <w:pPr>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lastRenderedPageBreak/>
        <w:t xml:space="preserve">Image cytometry data processing of melanoma and normal </w:t>
      </w:r>
      <w:sdt>
        <w:sdtPr>
          <w:tag w:val="goog_rdk_73"/>
          <w:id w:val="-415406084"/>
        </w:sdtPr>
        <w:sdtEndPr/>
        <w:sdtContent>
          <w:r>
            <w:rPr>
              <w:rFonts w:ascii="Times New Roman" w:eastAsia="Times New Roman" w:hAnsi="Times New Roman" w:cs="Times New Roman"/>
              <w:b/>
              <w:i/>
              <w:sz w:val="24"/>
              <w:szCs w:val="24"/>
            </w:rPr>
            <w:t>melanocyte</w:t>
          </w:r>
        </w:sdtContent>
      </w:sdt>
      <w:r w:rsidR="0026019C">
        <w:t xml:space="preserve"> </w:t>
      </w:r>
      <w:r>
        <w:rPr>
          <w:rFonts w:ascii="Times New Roman" w:eastAsia="Times New Roman" w:hAnsi="Times New Roman" w:cs="Times New Roman"/>
          <w:b/>
          <w:i/>
          <w:sz w:val="24"/>
          <w:szCs w:val="24"/>
        </w:rPr>
        <w:t xml:space="preserve">co-cultures irradiated by </w:t>
      </w:r>
      <w:sdt>
        <w:sdtPr>
          <w:tag w:val="goog_rdk_75"/>
          <w:id w:val="242075553"/>
        </w:sdtPr>
        <w:sdtEndPr/>
        <w:sdtContent>
          <w:r>
            <w:rPr>
              <w:rFonts w:ascii="Times New Roman" w:eastAsia="Times New Roman" w:hAnsi="Times New Roman" w:cs="Times New Roman"/>
              <w:b/>
              <w:i/>
              <w:sz w:val="24"/>
              <w:szCs w:val="24"/>
            </w:rPr>
            <w:t>PW-induced</w:t>
          </w:r>
        </w:sdtContent>
      </w:sdt>
      <w:sdt>
        <w:sdtPr>
          <w:tag w:val="goog_rdk_76"/>
          <w:id w:val="-439763101"/>
          <w:showingPlcHdr/>
        </w:sdtPr>
        <w:sdtEndPr/>
        <w:sdtContent>
          <w:r w:rsidR="0026019C">
            <w:t xml:space="preserve">     </w:t>
          </w:r>
        </w:sdtContent>
      </w:sdt>
      <w:r>
        <w:rPr>
          <w:rFonts w:ascii="Times New Roman" w:eastAsia="Times New Roman" w:hAnsi="Times New Roman" w:cs="Times New Roman"/>
          <w:b/>
          <w:i/>
          <w:sz w:val="24"/>
          <w:szCs w:val="24"/>
        </w:rPr>
        <w:t xml:space="preserve"> electrons or by pulsed X-ray</w:t>
      </w:r>
    </w:p>
    <w:p w:rsidR="007876BF" w:rsidRDefault="0084631F">
      <w:pPr>
        <w:rPr>
          <w:sz w:val="24"/>
          <w:szCs w:val="24"/>
        </w:rPr>
      </w:pPr>
      <w:r>
        <w:rPr>
          <w:noProof/>
          <w:sz w:val="24"/>
          <w:szCs w:val="24"/>
        </w:rPr>
        <w:drawing>
          <wp:inline distT="0" distB="0" distL="0" distR="0">
            <wp:extent cx="2572914" cy="4798526"/>
            <wp:effectExtent l="0" t="0" r="0" b="0"/>
            <wp:docPr id="5"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2572914" cy="4798526"/>
                    </a:xfrm>
                    <a:prstGeom prst="rect">
                      <a:avLst/>
                    </a:prstGeom>
                    <a:ln/>
                  </pic:spPr>
                </pic:pic>
              </a:graphicData>
            </a:graphic>
          </wp:inline>
        </w:drawing>
      </w:r>
      <w:r>
        <w:rPr>
          <w:noProof/>
        </w:rPr>
        <w:drawing>
          <wp:anchor distT="0" distB="0" distL="114300" distR="114300" simplePos="0" relativeHeight="251658240" behindDoc="0" locked="0" layoutInCell="1" hidden="0" allowOverlap="1">
            <wp:simplePos x="0" y="0"/>
            <wp:positionH relativeFrom="column">
              <wp:posOffset>293370</wp:posOffset>
            </wp:positionH>
            <wp:positionV relativeFrom="paragraph">
              <wp:posOffset>0</wp:posOffset>
            </wp:positionV>
            <wp:extent cx="2559685" cy="2055495"/>
            <wp:effectExtent l="0" t="0" r="0" b="0"/>
            <wp:wrapSquare wrapText="bothSides" distT="0" distB="0" distL="114300" distR="11430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2559685" cy="2055495"/>
                    </a:xfrm>
                    <a:prstGeom prst="rect">
                      <a:avLst/>
                    </a:prstGeom>
                    <a:ln/>
                  </pic:spPr>
                </pic:pic>
              </a:graphicData>
            </a:graphic>
          </wp:anchor>
        </w:drawing>
      </w:r>
      <w:r>
        <w:rPr>
          <w:noProof/>
        </w:rPr>
        <w:drawing>
          <wp:anchor distT="0" distB="0" distL="114300" distR="114300" simplePos="0" relativeHeight="251659264" behindDoc="0" locked="0" layoutInCell="1" hidden="0" allowOverlap="1">
            <wp:simplePos x="0" y="0"/>
            <wp:positionH relativeFrom="column">
              <wp:posOffset>109221</wp:posOffset>
            </wp:positionH>
            <wp:positionV relativeFrom="paragraph">
              <wp:posOffset>3058795</wp:posOffset>
            </wp:positionV>
            <wp:extent cx="3126105" cy="1273810"/>
            <wp:effectExtent l="0" t="0" r="0" b="0"/>
            <wp:wrapSquare wrapText="bothSides" distT="0" distB="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3126105" cy="1273810"/>
                    </a:xfrm>
                    <a:prstGeom prst="rect">
                      <a:avLst/>
                    </a:prstGeom>
                    <a:ln/>
                  </pic:spPr>
                </pic:pic>
              </a:graphicData>
            </a:graphic>
          </wp:anchor>
        </w:drawing>
      </w:r>
    </w:p>
    <w:p w:rsidR="007876BF" w:rsidRDefault="007876BF">
      <w:pPr>
        <w:rPr>
          <w:sz w:val="24"/>
          <w:szCs w:val="24"/>
        </w:rPr>
      </w:pPr>
    </w:p>
    <w:p w:rsidR="007876BF" w:rsidRDefault="0084631F">
      <w:pPr>
        <w:jc w:val="center"/>
        <w:rPr>
          <w:rFonts w:ascii="Times New Roman" w:eastAsia="Times New Roman" w:hAnsi="Times New Roman" w:cs="Times New Roman"/>
          <w:i/>
        </w:rPr>
      </w:pPr>
      <w:r>
        <w:rPr>
          <w:rFonts w:ascii="Times New Roman" w:eastAsia="Times New Roman" w:hAnsi="Times New Roman" w:cs="Times New Roman"/>
          <w:i/>
        </w:rPr>
        <w:t xml:space="preserve">Figure SI 3 (related to Figure 2): Analysis of A375 melanoma and NHEM co-cultures upon </w:t>
      </w:r>
      <w:proofErr w:type="spellStart"/>
      <w:r>
        <w:rPr>
          <w:rFonts w:ascii="Times New Roman" w:eastAsia="Times New Roman" w:hAnsi="Times New Roman" w:cs="Times New Roman"/>
          <w:i/>
        </w:rPr>
        <w:t>CisPt</w:t>
      </w:r>
      <w:proofErr w:type="spellEnd"/>
      <w:r>
        <w:rPr>
          <w:rFonts w:ascii="Times New Roman" w:eastAsia="Times New Roman" w:hAnsi="Times New Roman" w:cs="Times New Roman"/>
          <w:i/>
        </w:rPr>
        <w:t xml:space="preserve"> treatment versus untreated control. (A) DNA damage response revealed as p-γ-H2AX foci at 24h post-exposure to </w:t>
      </w:r>
      <w:proofErr w:type="spellStart"/>
      <w:r>
        <w:rPr>
          <w:rFonts w:ascii="Times New Roman" w:eastAsia="Times New Roman" w:hAnsi="Times New Roman" w:cs="Times New Roman"/>
          <w:i/>
        </w:rPr>
        <w:t>CisPt</w:t>
      </w:r>
      <w:proofErr w:type="spellEnd"/>
      <w:r>
        <w:rPr>
          <w:rFonts w:ascii="Times New Roman" w:eastAsia="Times New Roman" w:hAnsi="Times New Roman" w:cs="Times New Roman"/>
          <w:i/>
        </w:rPr>
        <w:t xml:space="preserve"> versus not exposed (untreated) negative control. Immunofluorescence microscopy images of overlapped DAPI and </w:t>
      </w:r>
      <w:proofErr w:type="spellStart"/>
      <w:r>
        <w:rPr>
          <w:rFonts w:ascii="Times New Roman" w:eastAsia="Times New Roman" w:hAnsi="Times New Roman" w:cs="Times New Roman"/>
          <w:i/>
        </w:rPr>
        <w:t>TxRed</w:t>
      </w:r>
      <w:proofErr w:type="spellEnd"/>
      <w:r>
        <w:rPr>
          <w:rFonts w:ascii="Times New Roman" w:eastAsia="Times New Roman" w:hAnsi="Times New Roman" w:cs="Times New Roman"/>
          <w:i/>
        </w:rPr>
        <w:t xml:space="preserve"> signals (top), as well a</w:t>
      </w:r>
      <w:r>
        <w:rPr>
          <w:rFonts w:ascii="Times New Roman" w:eastAsia="Times New Roman" w:hAnsi="Times New Roman" w:cs="Times New Roman"/>
          <w:i/>
        </w:rPr>
        <w:t xml:space="preserve">s grayscale images of </w:t>
      </w:r>
      <w:proofErr w:type="spellStart"/>
      <w:r>
        <w:rPr>
          <w:rFonts w:ascii="Times New Roman" w:eastAsia="Times New Roman" w:hAnsi="Times New Roman" w:cs="Times New Roman"/>
          <w:i/>
        </w:rPr>
        <w:t>TxRed</w:t>
      </w:r>
      <w:proofErr w:type="spellEnd"/>
      <w:r>
        <w:rPr>
          <w:rFonts w:ascii="Times New Roman" w:eastAsia="Times New Roman" w:hAnsi="Times New Roman" w:cs="Times New Roman"/>
          <w:i/>
        </w:rPr>
        <w:t xml:space="preserve"> signal (bottom) of representative field of views (FOVs) in each condition are depicted. The p-γ-H2AX foci are visible in detailed insets (bottom right). Scale bar = 20</w:t>
      </w:r>
      <w:r>
        <w:rPr>
          <w:rFonts w:ascii="Symbol" w:eastAsia="Symbol" w:hAnsi="Symbol" w:cs="Symbol"/>
          <w:i/>
        </w:rPr>
        <w:t></w:t>
      </w:r>
      <w:r>
        <w:rPr>
          <w:rFonts w:ascii="Times New Roman" w:eastAsia="Times New Roman" w:hAnsi="Times New Roman" w:cs="Times New Roman"/>
          <w:i/>
        </w:rPr>
        <w:t xml:space="preserve">m; (B) Image cytometry histograms depicting distribution of </w:t>
      </w:r>
      <w:proofErr w:type="spellStart"/>
      <w:r>
        <w:rPr>
          <w:rFonts w:ascii="Times New Roman" w:eastAsia="Times New Roman" w:hAnsi="Times New Roman" w:cs="Times New Roman"/>
          <w:i/>
        </w:rPr>
        <w:t>Texa</w:t>
      </w:r>
      <w:proofErr w:type="spellEnd"/>
      <w:r>
        <w:rPr>
          <w:rFonts w:ascii="Times New Roman" w:eastAsia="Times New Roman" w:hAnsi="Times New Roman" w:cs="Times New Roman"/>
          <w:i/>
        </w:rPr>
        <w:t xml:space="preserve"> – Mean Intensity values in the investigated cell populations (co-culture vs. melanoma in co-culture vs. melanocytes in co-culture) and quantification of the percentage of p-γ-H2AX+ cells, median fluorescence intensity (MFI) of p-γ-H2AX signal (top pan</w:t>
      </w:r>
      <w:r>
        <w:rPr>
          <w:rFonts w:ascii="Times New Roman" w:eastAsia="Times New Roman" w:hAnsi="Times New Roman" w:cs="Times New Roman"/>
          <w:i/>
        </w:rPr>
        <w:t>el of grouped histograms), as well as distribution of p-γ-H2AX foci count with the associated median and mean values for each condition tested (bottom panel of grouped histograms). (C) Violin plots of „number of foci per nucleus” values frequency distribut</w:t>
      </w:r>
      <w:r>
        <w:rPr>
          <w:rFonts w:ascii="Times New Roman" w:eastAsia="Times New Roman" w:hAnsi="Times New Roman" w:cs="Times New Roman"/>
          <w:i/>
        </w:rPr>
        <w:t xml:space="preserve">ion for </w:t>
      </w:r>
      <w:proofErr w:type="spellStart"/>
      <w:r>
        <w:rPr>
          <w:rFonts w:ascii="Times New Roman" w:eastAsia="Times New Roman" w:hAnsi="Times New Roman" w:cs="Times New Roman"/>
          <w:i/>
        </w:rPr>
        <w:t>CisPt</w:t>
      </w:r>
      <w:proofErr w:type="spellEnd"/>
      <w:r>
        <w:rPr>
          <w:rFonts w:ascii="Times New Roman" w:eastAsia="Times New Roman" w:hAnsi="Times New Roman" w:cs="Times New Roman"/>
          <w:i/>
        </w:rPr>
        <w:t xml:space="preserve"> treated cells vs. untreated control. Graphs </w:t>
      </w:r>
      <w:sdt>
        <w:sdtPr>
          <w:tag w:val="goog_rdk_77"/>
          <w:id w:val="-1644501293"/>
        </w:sdtPr>
        <w:sdtEndPr/>
        <w:sdtContent>
          <w:r>
            <w:rPr>
              <w:rFonts w:ascii="Times New Roman" w:eastAsia="Times New Roman" w:hAnsi="Times New Roman" w:cs="Times New Roman"/>
              <w:i/>
            </w:rPr>
            <w:t>depict</w:t>
          </w:r>
        </w:sdtContent>
      </w:sdt>
      <w:sdt>
        <w:sdtPr>
          <w:tag w:val="goog_rdk_78"/>
          <w:id w:val="-1642108319"/>
          <w:showingPlcHdr/>
        </w:sdtPr>
        <w:sdtEndPr/>
        <w:sdtContent>
          <w:r w:rsidR="0026019C">
            <w:t xml:space="preserve">     </w:t>
          </w:r>
        </w:sdtContent>
      </w:sdt>
      <w:r>
        <w:rPr>
          <w:rFonts w:ascii="Times New Roman" w:eastAsia="Times New Roman" w:hAnsi="Times New Roman" w:cs="Times New Roman"/>
          <w:i/>
        </w:rPr>
        <w:t xml:space="preserve"> comparisons between treatments for overall A375&amp;NHEM co-cultures, for A375 cells in the co-culture, and for NHEM cells in the co-culture, respectively. Statistical differences were d</w:t>
      </w:r>
      <w:r>
        <w:rPr>
          <w:rFonts w:ascii="Times New Roman" w:eastAsia="Times New Roman" w:hAnsi="Times New Roman" w:cs="Times New Roman"/>
          <w:i/>
        </w:rPr>
        <w:t xml:space="preserve">etermined using unpaired two-tailed Student’s </w:t>
      </w:r>
      <w:sdt>
        <w:sdtPr>
          <w:tag w:val="goog_rdk_79"/>
          <w:id w:val="1871175391"/>
        </w:sdtPr>
        <w:sdtEndPr/>
        <w:sdtContent>
          <w:r>
            <w:rPr>
              <w:rFonts w:ascii="Times New Roman" w:eastAsia="Times New Roman" w:hAnsi="Times New Roman" w:cs="Times New Roman"/>
              <w:i/>
            </w:rPr>
            <w:t>t-test</w:t>
          </w:r>
        </w:sdtContent>
      </w:sdt>
      <w:r w:rsidR="0026019C">
        <w:t xml:space="preserve"> </w:t>
      </w:r>
      <w:r>
        <w:rPr>
          <w:rFonts w:ascii="Times New Roman" w:eastAsia="Times New Roman" w:hAnsi="Times New Roman" w:cs="Times New Roman"/>
          <w:i/>
        </w:rPr>
        <w:t>(n = 8656-9734 nuclei, **** p&lt;0.0001).</w:t>
      </w:r>
    </w:p>
    <w:p w:rsidR="007876BF" w:rsidRDefault="0084631F">
      <w:pPr>
        <w:rPr>
          <w:rFonts w:ascii="Times New Roman" w:eastAsia="Times New Roman" w:hAnsi="Times New Roman" w:cs="Times New Roman"/>
          <w:i/>
        </w:rPr>
      </w:pPr>
      <w:r>
        <w:rPr>
          <w:rFonts w:ascii="Times New Roman" w:eastAsia="Times New Roman" w:hAnsi="Times New Roman" w:cs="Times New Roman"/>
          <w:i/>
          <w:noProof/>
        </w:rPr>
        <w:lastRenderedPageBreak/>
        <w:drawing>
          <wp:inline distT="0" distB="0" distL="0" distR="0">
            <wp:extent cx="1504435" cy="2754687"/>
            <wp:effectExtent l="0" t="0" r="0" b="0"/>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1504435" cy="2754687"/>
                    </a:xfrm>
                    <a:prstGeom prst="rect">
                      <a:avLst/>
                    </a:prstGeom>
                    <a:ln/>
                  </pic:spPr>
                </pic:pic>
              </a:graphicData>
            </a:graphic>
          </wp:inline>
        </w:drawing>
      </w:r>
      <w:r>
        <w:rPr>
          <w:rFonts w:ascii="Times New Roman" w:eastAsia="Times New Roman" w:hAnsi="Times New Roman" w:cs="Times New Roman"/>
          <w:i/>
          <w:noProof/>
        </w:rPr>
        <w:drawing>
          <wp:inline distT="0" distB="0" distL="0" distR="0">
            <wp:extent cx="2032433" cy="2774014"/>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2032433" cy="2774014"/>
                    </a:xfrm>
                    <a:prstGeom prst="rect">
                      <a:avLst/>
                    </a:prstGeom>
                    <a:ln/>
                  </pic:spPr>
                </pic:pic>
              </a:graphicData>
            </a:graphic>
          </wp:inline>
        </w:drawing>
      </w:r>
      <w:r>
        <w:rPr>
          <w:rFonts w:ascii="Times New Roman" w:eastAsia="Times New Roman" w:hAnsi="Times New Roman" w:cs="Times New Roman"/>
          <w:i/>
          <w:noProof/>
        </w:rPr>
        <w:drawing>
          <wp:inline distT="0" distB="0" distL="0" distR="0">
            <wp:extent cx="2127980" cy="2833633"/>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3"/>
                    <a:srcRect/>
                    <a:stretch>
                      <a:fillRect/>
                    </a:stretch>
                  </pic:blipFill>
                  <pic:spPr>
                    <a:xfrm>
                      <a:off x="0" y="0"/>
                      <a:ext cx="2127980" cy="2833633"/>
                    </a:xfrm>
                    <a:prstGeom prst="rect">
                      <a:avLst/>
                    </a:prstGeom>
                    <a:ln/>
                  </pic:spPr>
                </pic:pic>
              </a:graphicData>
            </a:graphic>
          </wp:inline>
        </w:drawing>
      </w:r>
    </w:p>
    <w:p w:rsidR="007876BF" w:rsidRDefault="0084631F">
      <w:pPr>
        <w:rPr>
          <w:rFonts w:ascii="Times New Roman" w:eastAsia="Times New Roman" w:hAnsi="Times New Roman" w:cs="Times New Roman"/>
          <w:i/>
        </w:rPr>
      </w:pPr>
      <w:r>
        <w:rPr>
          <w:rFonts w:ascii="Times New Roman" w:eastAsia="Times New Roman" w:hAnsi="Times New Roman" w:cs="Times New Roman"/>
          <w:i/>
        </w:rPr>
        <w:t xml:space="preserve"> </w:t>
      </w:r>
    </w:p>
    <w:p w:rsidR="007876BF" w:rsidRDefault="0084631F">
      <w:pPr>
        <w:jc w:val="center"/>
        <w:rPr>
          <w:rFonts w:ascii="Times New Roman" w:eastAsia="Times New Roman" w:hAnsi="Times New Roman" w:cs="Times New Roman"/>
          <w:i/>
        </w:rPr>
      </w:pPr>
      <w:r>
        <w:rPr>
          <w:rFonts w:ascii="Times New Roman" w:eastAsia="Times New Roman" w:hAnsi="Times New Roman" w:cs="Times New Roman"/>
          <w:i/>
        </w:rPr>
        <w:t>Figure SI 4 (related to Figure 3): Analysis of A375 melanoma and NHEM co-cultures upon PW irradiation vs. pulsed X-ray or untreated controls. (A-C) Image cy</w:t>
      </w:r>
      <w:r>
        <w:rPr>
          <w:rFonts w:ascii="Times New Roman" w:eastAsia="Times New Roman" w:hAnsi="Times New Roman" w:cs="Times New Roman"/>
          <w:i/>
        </w:rPr>
        <w:t xml:space="preserve">tometry histograms depicting distribution of </w:t>
      </w:r>
      <w:proofErr w:type="spellStart"/>
      <w:r>
        <w:rPr>
          <w:rFonts w:ascii="Times New Roman" w:eastAsia="Times New Roman" w:hAnsi="Times New Roman" w:cs="Times New Roman"/>
          <w:i/>
        </w:rPr>
        <w:t>Texa</w:t>
      </w:r>
      <w:proofErr w:type="spellEnd"/>
      <w:r>
        <w:rPr>
          <w:rFonts w:ascii="Times New Roman" w:eastAsia="Times New Roman" w:hAnsi="Times New Roman" w:cs="Times New Roman"/>
          <w:i/>
        </w:rPr>
        <w:t xml:space="preserve"> – Mean Intensity values in the investigated cell populations (co-culture vs. melanoma in co-culture vs. melanocytes in co-culture) and quantification of the percentage of p-γ-H2AX+ cells, median fluorescenc</w:t>
      </w:r>
      <w:r>
        <w:rPr>
          <w:rFonts w:ascii="Times New Roman" w:eastAsia="Times New Roman" w:hAnsi="Times New Roman" w:cs="Times New Roman"/>
          <w:i/>
        </w:rPr>
        <w:t>e intensity (MFI) of p-γ-H2AX signal (top panel of grouped histograms), as well as distribution of p-γ-H2AX foci count with the associated median and mean values (bottom panel of grouped histograms) for each condition tested: (A) pulsed X-ray vs. non-irrad</w:t>
      </w:r>
      <w:r>
        <w:rPr>
          <w:rFonts w:ascii="Times New Roman" w:eastAsia="Times New Roman" w:hAnsi="Times New Roman" w:cs="Times New Roman"/>
          <w:i/>
        </w:rPr>
        <w:t>iated cells, (B) PW1 irradiated cells – top vs. center vs. bottom ROIs, (C) PW2 irradiated cells – top vs. center vs. bottom ROIs.</w:t>
      </w:r>
    </w:p>
    <w:p w:rsidR="007876BF" w:rsidRDefault="007876BF">
      <w:pPr>
        <w:rPr>
          <w:rFonts w:ascii="Times New Roman" w:eastAsia="Times New Roman" w:hAnsi="Times New Roman" w:cs="Times New Roman"/>
          <w:i/>
        </w:rPr>
      </w:pPr>
    </w:p>
    <w:p w:rsidR="007876BF" w:rsidRDefault="0084631F">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References</w:t>
      </w:r>
    </w:p>
    <w:p w:rsidR="007876BF" w:rsidRDefault="0084631F">
      <w:pPr>
        <w:widowControl w:val="0"/>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Bliznyuk, U.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Electron Beam Processing of Biological Objects and Materials. in (ed. </w:t>
      </w:r>
      <w:proofErr w:type="spellStart"/>
      <w:r>
        <w:rPr>
          <w:rFonts w:ascii="Times New Roman" w:eastAsia="Times New Roman" w:hAnsi="Times New Roman" w:cs="Times New Roman"/>
          <w:sz w:val="24"/>
          <w:szCs w:val="24"/>
        </w:rPr>
        <w:t>Artun</w:t>
      </w:r>
      <w:proofErr w:type="spellEnd"/>
      <w:r>
        <w:rPr>
          <w:rFonts w:ascii="Times New Roman" w:eastAsia="Times New Roman" w:hAnsi="Times New Roman" w:cs="Times New Roman"/>
          <w:sz w:val="24"/>
          <w:szCs w:val="24"/>
        </w:rPr>
        <w:t>, O.) Ch. 5 (</w:t>
      </w:r>
      <w:proofErr w:type="spellStart"/>
      <w:r>
        <w:rPr>
          <w:rFonts w:ascii="Times New Roman" w:eastAsia="Times New Roman" w:hAnsi="Times New Roman" w:cs="Times New Roman"/>
          <w:sz w:val="24"/>
          <w:szCs w:val="24"/>
        </w:rPr>
        <w:t>In</w:t>
      </w:r>
      <w:r>
        <w:rPr>
          <w:rFonts w:ascii="Times New Roman" w:eastAsia="Times New Roman" w:hAnsi="Times New Roman" w:cs="Times New Roman"/>
          <w:sz w:val="24"/>
          <w:szCs w:val="24"/>
        </w:rPr>
        <w:t>techOpen</w:t>
      </w:r>
      <w:proofErr w:type="spellEnd"/>
      <w:r>
        <w:rPr>
          <w:rFonts w:ascii="Times New Roman" w:eastAsia="Times New Roman" w:hAnsi="Times New Roman" w:cs="Times New Roman"/>
          <w:sz w:val="24"/>
          <w:szCs w:val="24"/>
        </w:rPr>
        <w:t>, 2023). doi:10.5772/intechopen.112699.</w:t>
      </w:r>
    </w:p>
    <w:p w:rsidR="007876BF" w:rsidRDefault="007876BF">
      <w:pPr>
        <w:rPr>
          <w:rFonts w:ascii="Times New Roman" w:eastAsia="Times New Roman" w:hAnsi="Times New Roman" w:cs="Times New Roman"/>
          <w:b/>
          <w:sz w:val="24"/>
          <w:szCs w:val="24"/>
        </w:rPr>
      </w:pPr>
    </w:p>
    <w:sectPr w:rsidR="007876B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Gungsuh">
    <w:panose1 w:val="02030600000101010101"/>
    <w:charset w:val="81"/>
    <w:family w:val="roman"/>
    <w:pitch w:val="variable"/>
    <w:sig w:usb0="B00002AF" w:usb1="69D77CFB" w:usb2="00000030" w:usb3="00000000" w:csb0="0008009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76BF"/>
    <w:rsid w:val="0026019C"/>
    <w:rsid w:val="007876BF"/>
    <w:rsid w:val="007B357D"/>
    <w:rsid w:val="0084631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ecimalSymbol w:val=","/>
  <w:listSeparator w:val=","/>
  <w15:docId w15:val="{50F5267C-EA89-6146-AA3F-B6968AED7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GB" w:bidi="ar-SA"/>
      </w:rPr>
    </w:rPrDefault>
    <w:pPrDefault>
      <w:pPr>
        <w:spacing w:after="16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26019C"/>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khgcX8CM1wXYx+alsCcaEgqQlg==">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</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5B66DC4-C8F8-BC4D-B6D9-3EFFCD638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1789</Words>
  <Characters>10199</Characters>
  <Application>Microsoft Office Word</Application>
  <DocSecurity>0</DocSecurity>
  <Lines>84</Lines>
  <Paragraphs>23</Paragraphs>
  <ScaleCrop>false</ScaleCrop>
  <Company/>
  <LinksUpToDate>false</LinksUpToDate>
  <CharactersWithSpaces>11965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Livia Sima</cp:lastModifiedBy>
  <cp:revision>2</cp:revision>
  <dcterms:created xsi:type="dcterms:W3CDTF">2024-01-29T19:36:00Z</dcterms:created>
  <dcterms:modified xsi:type="dcterms:W3CDTF">2024-01-29T19:36:00Z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6_1">
    <vt:lpwstr>https://csl.mendeley.com/styles/606192321/ieee-PW</vt:lpwstr>
  </property>
  <property fmtid="{D5CDD505-2E9C-101B-9397-08002B2CF9AE}" pid="4" name="Mendeley Recent Style Id 7_1">
    <vt:lpwstr>https://csl.mendeley.com/styles/606192321/ieee-ICEPEPA2023</vt:lpwstr>
  </property>
  <property fmtid="{D5CDD505-2E9C-101B-9397-08002B2CF9AE}" pid="5" name="Mendeley Recent Style Id 8_1">
    <vt:lpwstr>https://csl.mendeley.com/styles/606192321/ieee</vt:lpwstr>
  </property>
  <property fmtid="{D5CDD505-2E9C-101B-9397-08002B2CF9AE}" pid="6" name="Mendeley Recent Style Id 9_1">
    <vt:lpwstr>http://www.zotero.org/styles/nature</vt:lpwstr>
  </property>
  <property fmtid="{D5CDD505-2E9C-101B-9397-08002B2CF9AE}" pid="7" name="Mendeley Recent Style Name 8_1">
    <vt:lpwstr>IEEE - for LPM2023</vt:lpwstr>
  </property>
  <property fmtid="{D5CDD505-2E9C-101B-9397-08002B2CF9AE}" pid="8" name="Mendeley Recent Style Name 9_1">
    <vt:lpwstr>Nature</vt:lpwstr>
  </property>
  <property fmtid="{D5CDD505-2E9C-101B-9397-08002B2CF9AE}" pid="9" name="Mendeley Recent Style Name 6_1">
    <vt:lpwstr>IEEE - Maria-Alexandra Bran</vt:lpwstr>
  </property>
  <property fmtid="{D5CDD505-2E9C-101B-9397-08002B2CF9AE}" pid="10" name="Mendeley Recent Style Name 7_1">
    <vt:lpwstr>IEEE - for ICPEPA2023</vt:lpwstr>
  </property>
  <property fmtid="{D5CDD505-2E9C-101B-9397-08002B2CF9AE}" pid="11" name="Mendeley Citation Style_1">
    <vt:lpwstr>http://www.zotero.org/styles/nature</vt:lpwstr>
  </property>
  <property fmtid="{D5CDD505-2E9C-101B-9397-08002B2CF9AE}" pid="12" name="Mendeley Recent Style Name 0_1">
    <vt:lpwstr>American Chemical Society - Maria-Alexandra Bran</vt:lpwstr>
  </property>
  <property fmtid="{D5CDD505-2E9C-101B-9397-08002B2CF9AE}" pid="13" name="Mendeley Recent Style Name 1_1">
    <vt:lpwstr>American Medical Association 11th edition</vt:lpwstr>
  </property>
  <property fmtid="{D5CDD505-2E9C-101B-9397-08002B2CF9AE}" pid="14" name="Mendeley Unique User Id_1">
    <vt:lpwstr>63e2ecdd-7e07-305f-8075-2ab48c665c90</vt:lpwstr>
  </property>
  <property fmtid="{D5CDD505-2E9C-101B-9397-08002B2CF9AE}" pid="15" name="Mendeley Recent Style Name 4_1">
    <vt:lpwstr>Cite Them Right 10th edition - Harvard</vt:lpwstr>
  </property>
  <property fmtid="{D5CDD505-2E9C-101B-9397-08002B2CF9AE}" pid="16" name="Mendeley Recent Style Name 5_1">
    <vt:lpwstr>IEEE</vt:lpwstr>
  </property>
  <property fmtid="{D5CDD505-2E9C-101B-9397-08002B2CF9AE}" pid="17" name="Mendeley Recent Style Name 2_1">
    <vt:lpwstr>American Psychological Association 7th edition</vt:lpwstr>
  </property>
  <property fmtid="{D5CDD505-2E9C-101B-9397-08002B2CF9AE}" pid="18" name="Mendeley Recent Style Name 3_1">
    <vt:lpwstr>American Psychological Association 7th edition - Maria-Alexandra Bran</vt:lpwstr>
  </property>
  <property fmtid="{D5CDD505-2E9C-101B-9397-08002B2CF9AE}" pid="19" name="Mendeley Recent Style Id 2_1">
    <vt:lpwstr>http://www.zotero.org/styles/apa</vt:lpwstr>
  </property>
  <property fmtid="{D5CDD505-2E9C-101B-9397-08002B2CF9AE}" pid="20" name="Mendeley Recent Style Id 3_1">
    <vt:lpwstr>http://csl.mendeley.com/styles/606192321/apa</vt:lpwstr>
  </property>
  <property fmtid="{D5CDD505-2E9C-101B-9397-08002B2CF9AE}" pid="21" name="Mendeley Recent Style Id 4_1">
    <vt:lpwstr>http://www.zotero.org/styles/harvard-cite-them-right</vt:lpwstr>
  </property>
  <property fmtid="{D5CDD505-2E9C-101B-9397-08002B2CF9AE}" pid="22" name="Mendeley Recent Style Id 5_1">
    <vt:lpwstr>http://www.zotero.org/styles/ieee</vt:lpwstr>
  </property>
  <property fmtid="{D5CDD505-2E9C-101B-9397-08002B2CF9AE}" pid="23" name="Mendeley Recent Style Id 0_1">
    <vt:lpwstr>https://csl.mendeley.com/styles/606192321/american-chemical-society</vt:lpwstr>
  </property>
  <property fmtid="{D5CDD505-2E9C-101B-9397-08002B2CF9AE}" pid="24" name="Mendeley Recent Style Id 1_1">
    <vt:lpwstr>http://www.zotero.org/styles/american-medical-association</vt:lpwstr>
  </property>
</Properties>
</file>