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C92BE" w14:textId="708232F0" w:rsidR="1231CB74" w:rsidRDefault="1231CB74" w:rsidP="6E657C56">
      <w:pPr>
        <w:pStyle w:val="Title"/>
        <w:keepNext/>
        <w:keepLines/>
        <w:rPr>
          <w:rFonts w:ascii="Calibri Light" w:eastAsia="Calibri Light" w:hAnsi="Calibri Light" w:cs="Calibri Light"/>
          <w:color w:val="000000" w:themeColor="text1"/>
          <w:sz w:val="36"/>
          <w:szCs w:val="36"/>
        </w:rPr>
      </w:pPr>
      <w:r w:rsidRPr="6E657C56">
        <w:rPr>
          <w:rFonts w:ascii="Calibri Light" w:eastAsia="Calibri Light" w:hAnsi="Calibri Light" w:cs="Calibri Light"/>
          <w:color w:val="000000" w:themeColor="text1"/>
          <w:sz w:val="36"/>
          <w:szCs w:val="36"/>
        </w:rPr>
        <w:t>Fine-Tuning GBS Data with Comparison of Reference and Mock Genome Approaches for Advancing Genomic Selection in Less Studied Farmed Species</w:t>
      </w:r>
    </w:p>
    <w:p w14:paraId="2C078E63" w14:textId="60EDDE7C" w:rsidR="004D1842" w:rsidRDefault="004D1842" w:rsidP="2F7224CB"/>
    <w:p w14:paraId="2C1E94FD" w14:textId="6E090F58" w:rsidR="20E3433C" w:rsidRDefault="20E3433C" w:rsidP="6E657C56">
      <w:pPr>
        <w:pStyle w:val="Heading1"/>
      </w:pPr>
      <w:r>
        <w:t>Supplemental material</w:t>
      </w:r>
    </w:p>
    <w:p w14:paraId="452E96D7" w14:textId="42A1D193" w:rsidR="6E657C56" w:rsidRDefault="6E657C56" w:rsidP="6E657C56"/>
    <w:p w14:paraId="76E00529" w14:textId="392B109E" w:rsidR="5CD1FA59" w:rsidRDefault="5CD1FA59" w:rsidP="1769BD43">
      <w:pPr>
        <w:spacing w:line="360" w:lineRule="auto"/>
        <w:rPr>
          <w:rFonts w:ascii="Calibri" w:eastAsia="Calibri" w:hAnsi="Calibri" w:cs="Calibri"/>
          <w:color w:val="000000" w:themeColor="text1"/>
        </w:rPr>
      </w:pPr>
      <w:r>
        <w:rPr>
          <w:noProof/>
        </w:rPr>
        <w:drawing>
          <wp:inline distT="0" distB="0" distL="0" distR="0" wp14:anchorId="581EFC58" wp14:editId="03E61E25">
            <wp:extent cx="4572000" cy="2876550"/>
            <wp:effectExtent l="0" t="0" r="0" b="0"/>
            <wp:docPr id="2051234050" name="Picture 2051234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71436" w14:textId="2F5F3AFC" w:rsidR="5CD1FA59" w:rsidRDefault="5CD1FA59" w:rsidP="43439D48">
      <w:pPr>
        <w:spacing w:line="360" w:lineRule="auto"/>
        <w:rPr>
          <w:rFonts w:ascii="Calibri" w:eastAsia="Calibri" w:hAnsi="Calibri" w:cs="Calibri"/>
          <w:color w:val="000000" w:themeColor="text1"/>
        </w:rPr>
      </w:pPr>
      <w:r w:rsidRPr="1C6932AD">
        <w:rPr>
          <w:rFonts w:ascii="Calibri" w:eastAsia="Calibri" w:hAnsi="Calibri" w:cs="Calibri"/>
          <w:color w:val="000000" w:themeColor="text1"/>
        </w:rPr>
        <w:t xml:space="preserve">Figure </w:t>
      </w:r>
      <w:r w:rsidR="14CC2ADC" w:rsidRPr="1C6932AD">
        <w:rPr>
          <w:rFonts w:ascii="Calibri" w:eastAsia="Calibri" w:hAnsi="Calibri" w:cs="Calibri"/>
          <w:color w:val="000000" w:themeColor="text1"/>
        </w:rPr>
        <w:t>S</w:t>
      </w:r>
      <w:r w:rsidR="5C4336CB" w:rsidRPr="1C6932AD">
        <w:rPr>
          <w:rFonts w:ascii="Calibri" w:eastAsia="Calibri" w:hAnsi="Calibri" w:cs="Calibri"/>
          <w:color w:val="000000" w:themeColor="text1"/>
        </w:rPr>
        <w:t>1</w:t>
      </w:r>
      <w:r w:rsidRPr="1C6932AD">
        <w:rPr>
          <w:rFonts w:ascii="Calibri" w:eastAsia="Calibri" w:hAnsi="Calibri" w:cs="Calibri"/>
          <w:color w:val="000000" w:themeColor="text1"/>
        </w:rPr>
        <w:t xml:space="preserve">. The schematic representation of the sequencing strategy. Altogether 12 cattle and 42 European whitefish individuals were used to create 36 cow and 66 whitefish GBS datasets. GBS </w:t>
      </w:r>
      <w:proofErr w:type="spellStart"/>
      <w:r w:rsidRPr="1C6932AD">
        <w:rPr>
          <w:rFonts w:ascii="Calibri" w:eastAsia="Calibri" w:hAnsi="Calibri" w:cs="Calibri"/>
          <w:color w:val="000000" w:themeColor="text1"/>
        </w:rPr>
        <w:t>Orig</w:t>
      </w:r>
      <w:proofErr w:type="spellEnd"/>
      <w:r w:rsidRPr="1C6932AD">
        <w:rPr>
          <w:rFonts w:ascii="Calibri" w:eastAsia="Calibri" w:hAnsi="Calibri" w:cs="Calibri"/>
          <w:color w:val="000000" w:themeColor="text1"/>
        </w:rPr>
        <w:t xml:space="preserve"> = The GBS dataset produced starting from DNA, GBS Rep-set = The GBS dataset produced </w:t>
      </w:r>
      <w:r w:rsidR="0048096E" w:rsidRPr="1C6932AD">
        <w:rPr>
          <w:rFonts w:ascii="Calibri" w:eastAsia="Calibri" w:hAnsi="Calibri" w:cs="Calibri"/>
          <w:color w:val="000000" w:themeColor="text1"/>
        </w:rPr>
        <w:t xml:space="preserve">from a new sequencing library, created from the </w:t>
      </w:r>
      <w:r w:rsidRPr="1C6932AD">
        <w:rPr>
          <w:rFonts w:ascii="Calibri" w:eastAsia="Calibri" w:hAnsi="Calibri" w:cs="Calibri"/>
          <w:color w:val="000000" w:themeColor="text1"/>
        </w:rPr>
        <w:t xml:space="preserve">same DNA extract as in GBS </w:t>
      </w:r>
      <w:proofErr w:type="spellStart"/>
      <w:r w:rsidRPr="1C6932AD">
        <w:rPr>
          <w:rFonts w:ascii="Calibri" w:eastAsia="Calibri" w:hAnsi="Calibri" w:cs="Calibri"/>
          <w:color w:val="000000" w:themeColor="text1"/>
        </w:rPr>
        <w:t>Orig</w:t>
      </w:r>
      <w:proofErr w:type="spellEnd"/>
      <w:r w:rsidRPr="1C6932AD">
        <w:rPr>
          <w:rFonts w:ascii="Calibri" w:eastAsia="Calibri" w:hAnsi="Calibri" w:cs="Calibri"/>
          <w:color w:val="000000" w:themeColor="text1"/>
        </w:rPr>
        <w:t xml:space="preserve"> dataset, GBS Tech = The GBS dataset produced by re-sequencing </w:t>
      </w:r>
      <w:r w:rsidR="00F46298" w:rsidRPr="1C6932AD">
        <w:rPr>
          <w:rFonts w:ascii="Calibri" w:eastAsia="Calibri" w:hAnsi="Calibri" w:cs="Calibri"/>
          <w:color w:val="000000" w:themeColor="text1"/>
        </w:rPr>
        <w:t xml:space="preserve">aliquots of the </w:t>
      </w:r>
      <w:r w:rsidR="00345F77" w:rsidRPr="1C6932AD">
        <w:rPr>
          <w:rFonts w:ascii="Calibri" w:eastAsia="Calibri" w:hAnsi="Calibri" w:cs="Calibri"/>
          <w:color w:val="000000" w:themeColor="text1"/>
        </w:rPr>
        <w:t xml:space="preserve">same sequencing library </w:t>
      </w:r>
      <w:r w:rsidR="007E39D8" w:rsidRPr="1C6932AD">
        <w:rPr>
          <w:rFonts w:ascii="Calibri" w:eastAsia="Calibri" w:hAnsi="Calibri" w:cs="Calibri"/>
          <w:color w:val="000000" w:themeColor="text1"/>
        </w:rPr>
        <w:t xml:space="preserve">prepared for </w:t>
      </w:r>
      <w:r w:rsidRPr="1C6932AD">
        <w:rPr>
          <w:rFonts w:ascii="Calibri" w:eastAsia="Calibri" w:hAnsi="Calibri" w:cs="Calibri"/>
          <w:color w:val="000000" w:themeColor="text1"/>
        </w:rPr>
        <w:t xml:space="preserve">GBS </w:t>
      </w:r>
      <w:proofErr w:type="spellStart"/>
      <w:r w:rsidRPr="1C6932AD">
        <w:rPr>
          <w:rFonts w:ascii="Calibri" w:eastAsia="Calibri" w:hAnsi="Calibri" w:cs="Calibri"/>
          <w:color w:val="000000" w:themeColor="text1"/>
        </w:rPr>
        <w:t>Orig</w:t>
      </w:r>
      <w:proofErr w:type="spellEnd"/>
      <w:r w:rsidRPr="1C6932AD">
        <w:rPr>
          <w:rFonts w:ascii="Calibri" w:eastAsia="Calibri" w:hAnsi="Calibri" w:cs="Calibri"/>
          <w:color w:val="000000" w:themeColor="text1"/>
        </w:rPr>
        <w:t xml:space="preserve"> dataset</w:t>
      </w:r>
    </w:p>
    <w:p w14:paraId="520C37E5" w14:textId="0C73F46A" w:rsidR="1769BD43" w:rsidRDefault="1769BD43" w:rsidP="1769BD43"/>
    <w:p w14:paraId="0D78CE64" w14:textId="5FE95155" w:rsidR="2F7224CB" w:rsidRDefault="2F7224CB" w:rsidP="2F7224CB"/>
    <w:p w14:paraId="4C2D60B1" w14:textId="22891EE2" w:rsidR="2F7224CB" w:rsidRDefault="16F5CB7B" w:rsidP="2F7224CB">
      <w:r>
        <w:rPr>
          <w:noProof/>
        </w:rPr>
        <w:lastRenderedPageBreak/>
        <w:drawing>
          <wp:inline distT="0" distB="0" distL="0" distR="0" wp14:anchorId="4E28251E" wp14:editId="78980A97">
            <wp:extent cx="5572125" cy="3448050"/>
            <wp:effectExtent l="0" t="0" r="0" b="0"/>
            <wp:docPr id="1319943292" name="Picture 1319943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344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08BD8" w14:textId="43794704" w:rsidR="2F7224CB" w:rsidRDefault="16F5CB7B" w:rsidP="43439D48">
      <w:pPr>
        <w:spacing w:before="180" w:after="180" w:line="360" w:lineRule="auto"/>
        <w:rPr>
          <w:rFonts w:ascii="Calibri" w:eastAsia="Calibri" w:hAnsi="Calibri" w:cs="Calibri"/>
        </w:rPr>
      </w:pPr>
      <w:r>
        <w:t>Figure S</w:t>
      </w:r>
      <w:r w:rsidR="52EA952E">
        <w:t>2</w:t>
      </w:r>
      <w:r>
        <w:t>:</w:t>
      </w:r>
      <w:r w:rsidRPr="48325188">
        <w:rPr>
          <w:rFonts w:ascii="Calibri" w:eastAsia="Calibri" w:hAnsi="Calibri" w:cs="Calibri"/>
        </w:rPr>
        <w:t xml:space="preserve"> Quality assessment metrics for the alignment of different mock sample sampling strategies. The gray box indicates the aimed target, based in the in-silico prediction</w:t>
      </w:r>
      <w:r w:rsidR="00602498" w:rsidRPr="48325188">
        <w:rPr>
          <w:rFonts w:ascii="Calibri" w:eastAsia="Calibri" w:hAnsi="Calibri" w:cs="Calibri"/>
        </w:rPr>
        <w:t>. Mock</w:t>
      </w:r>
      <w:r w:rsidR="00D55C29" w:rsidRPr="48325188">
        <w:rPr>
          <w:rFonts w:ascii="Calibri" w:eastAsia="Calibri" w:hAnsi="Calibri" w:cs="Calibri"/>
        </w:rPr>
        <w:t xml:space="preserve"> 1: </w:t>
      </w:r>
      <w:r w:rsidR="00602498" w:rsidRPr="48325188">
        <w:rPr>
          <w:rFonts w:eastAsiaTheme="minorEastAsia"/>
        </w:rPr>
        <w:t>sample with the highest read count</w:t>
      </w:r>
      <w:r w:rsidR="00D55C29" w:rsidRPr="48325188">
        <w:rPr>
          <w:rFonts w:eastAsiaTheme="minorEastAsia"/>
        </w:rPr>
        <w:t xml:space="preserve">; </w:t>
      </w:r>
      <w:r w:rsidR="00AA2CD9" w:rsidRPr="48325188">
        <w:rPr>
          <w:rFonts w:eastAsiaTheme="minorEastAsia"/>
        </w:rPr>
        <w:t xml:space="preserve">mock2: </w:t>
      </w:r>
      <w:r w:rsidR="00602498" w:rsidRPr="48325188">
        <w:rPr>
          <w:rFonts w:eastAsiaTheme="minorEastAsia"/>
        </w:rPr>
        <w:t>sample with an average read count</w:t>
      </w:r>
      <w:r w:rsidR="00AA2CD9" w:rsidRPr="48325188">
        <w:rPr>
          <w:rFonts w:eastAsiaTheme="minorEastAsia"/>
        </w:rPr>
        <w:t xml:space="preserve">; mock3: </w:t>
      </w:r>
      <w:r w:rsidR="00602498" w:rsidRPr="48325188">
        <w:rPr>
          <w:rFonts w:eastAsiaTheme="minorEastAsia"/>
        </w:rPr>
        <w:t>random subset of three samples</w:t>
      </w:r>
      <w:r w:rsidR="00AA2CD9" w:rsidRPr="48325188">
        <w:rPr>
          <w:rFonts w:eastAsiaTheme="minorEastAsia"/>
        </w:rPr>
        <w:t xml:space="preserve">; mock4: </w:t>
      </w:r>
      <w:r w:rsidR="00602498" w:rsidRPr="48325188">
        <w:rPr>
          <w:rFonts w:eastAsiaTheme="minorEastAsia"/>
        </w:rPr>
        <w:t>all samples.</w:t>
      </w:r>
    </w:p>
    <w:p w14:paraId="0821892F" w14:textId="0B0423E2" w:rsidR="7B28BA84" w:rsidRDefault="7B28BA84" w:rsidP="48325188">
      <w:pPr>
        <w:spacing w:before="180" w:after="180" w:line="360" w:lineRule="auto"/>
        <w:rPr>
          <w:rFonts w:eastAsiaTheme="minorEastAsia"/>
        </w:rPr>
      </w:pPr>
      <w:r w:rsidRPr="48325188">
        <w:rPr>
          <w:rFonts w:eastAsiaTheme="minorEastAsia"/>
        </w:rPr>
        <w:t xml:space="preserve">Solid lines refer to left axis (clusters), dashed lines to right axis (ratios). </w:t>
      </w:r>
      <w:proofErr w:type="spellStart"/>
      <w:r w:rsidRPr="48325188">
        <w:rPr>
          <w:rFonts w:eastAsiaTheme="minorEastAsia"/>
        </w:rPr>
        <w:t>Redish</w:t>
      </w:r>
      <w:proofErr w:type="spellEnd"/>
      <w:r w:rsidRPr="48325188">
        <w:rPr>
          <w:rFonts w:eastAsiaTheme="minorEastAsia"/>
        </w:rPr>
        <w:t xml:space="preserve"> </w:t>
      </w:r>
      <w:proofErr w:type="spellStart"/>
      <w:r w:rsidRPr="48325188">
        <w:rPr>
          <w:rFonts w:eastAsiaTheme="minorEastAsia"/>
        </w:rPr>
        <w:t>colours</w:t>
      </w:r>
      <w:proofErr w:type="spellEnd"/>
      <w:r w:rsidRPr="48325188">
        <w:rPr>
          <w:rFonts w:eastAsiaTheme="minorEastAsia"/>
        </w:rPr>
        <w:t xml:space="preserve"> indicate </w:t>
      </w:r>
      <w:r w:rsidR="60CC5A09" w:rsidRPr="48325188">
        <w:rPr>
          <w:rFonts w:eastAsiaTheme="minorEastAsia"/>
        </w:rPr>
        <w:t>the mock reference, blueish lines the refined mock reference.</w:t>
      </w:r>
      <w:r w:rsidR="2A9B69E0" w:rsidRPr="48325188">
        <w:rPr>
          <w:rFonts w:eastAsiaTheme="minorEastAsia"/>
        </w:rPr>
        <w:t xml:space="preserve"> Intense </w:t>
      </w:r>
      <w:proofErr w:type="spellStart"/>
      <w:r w:rsidR="2A9B69E0" w:rsidRPr="48325188">
        <w:rPr>
          <w:rFonts w:eastAsiaTheme="minorEastAsia"/>
        </w:rPr>
        <w:t>colours</w:t>
      </w:r>
      <w:proofErr w:type="spellEnd"/>
      <w:r w:rsidR="2A9B69E0" w:rsidRPr="48325188">
        <w:rPr>
          <w:rFonts w:eastAsiaTheme="minorEastAsia"/>
        </w:rPr>
        <w:t xml:space="preserve"> (red, blue) indicate the number of aligned clusters from the mock reference to the reference genome, light </w:t>
      </w:r>
      <w:proofErr w:type="spellStart"/>
      <w:r w:rsidR="2A9B69E0" w:rsidRPr="48325188">
        <w:rPr>
          <w:rFonts w:eastAsiaTheme="minorEastAsia"/>
        </w:rPr>
        <w:t>colours</w:t>
      </w:r>
      <w:proofErr w:type="spellEnd"/>
      <w:r w:rsidR="2A9B69E0" w:rsidRPr="48325188">
        <w:rPr>
          <w:rFonts w:eastAsiaTheme="minorEastAsia"/>
        </w:rPr>
        <w:t xml:space="preserve"> (pink, cyan) the number of secondary alignments of that </w:t>
      </w:r>
      <w:r w:rsidR="6B0ABA40" w:rsidRPr="48325188">
        <w:rPr>
          <w:rFonts w:eastAsiaTheme="minorEastAsia"/>
        </w:rPr>
        <w:t xml:space="preserve">alignment. </w:t>
      </w:r>
    </w:p>
    <w:p w14:paraId="08131F59" w14:textId="5BF756A0" w:rsidR="312CEDAE" w:rsidRDefault="312CEDAE" w:rsidP="48325188">
      <w:pPr>
        <w:spacing w:before="180" w:after="180" w:line="360" w:lineRule="auto"/>
        <w:rPr>
          <w:rFonts w:eastAsiaTheme="minorEastAsia"/>
        </w:rPr>
      </w:pPr>
      <w:r w:rsidRPr="48325188">
        <w:rPr>
          <w:rFonts w:eastAsiaTheme="minorEastAsia"/>
        </w:rPr>
        <w:t xml:space="preserve">Dashed lines indicate the average alignment rates </w:t>
      </w:r>
      <w:r w:rsidR="754F0CF3" w:rsidRPr="48325188">
        <w:rPr>
          <w:rFonts w:eastAsiaTheme="minorEastAsia"/>
        </w:rPr>
        <w:t>across</w:t>
      </w:r>
      <w:r w:rsidRPr="48325188">
        <w:rPr>
          <w:rFonts w:eastAsiaTheme="minorEastAsia"/>
        </w:rPr>
        <w:t xml:space="preserve"> the samples against the mock (red) and refined mock (blue), long-dashed lines </w:t>
      </w:r>
      <w:r w:rsidR="09676507" w:rsidRPr="48325188">
        <w:rPr>
          <w:rFonts w:eastAsiaTheme="minorEastAsia"/>
        </w:rPr>
        <w:t>indicate the alignment rates of the mock reference (red) and refined-mock reference against the in-silico predicted reference genome.</w:t>
      </w:r>
    </w:p>
    <w:p w14:paraId="59741C9D" w14:textId="323F0C95" w:rsidR="6FDB715B" w:rsidRDefault="6FDB715B" w:rsidP="48325188">
      <w:pPr>
        <w:spacing w:before="180" w:after="180" w:line="360" w:lineRule="auto"/>
        <w:rPr>
          <w:rFonts w:eastAsiaTheme="minorEastAsia"/>
        </w:rPr>
      </w:pPr>
      <w:r w:rsidRPr="48325188">
        <w:rPr>
          <w:rFonts w:eastAsiaTheme="minorEastAsia"/>
        </w:rPr>
        <w:t>The grey box indicates the predicted number of clusters after digestion.</w:t>
      </w:r>
    </w:p>
    <w:p w14:paraId="05C414CF" w14:textId="660E7B6C" w:rsidR="2F7224CB" w:rsidRDefault="2F7224CB" w:rsidP="2F7224CB"/>
    <w:p w14:paraId="08345031" w14:textId="1A83DCDE" w:rsidR="2F7224CB" w:rsidRDefault="172058C4" w:rsidP="2F7224CB">
      <w:r>
        <w:rPr>
          <w:noProof/>
        </w:rPr>
        <w:lastRenderedPageBreak/>
        <w:drawing>
          <wp:inline distT="0" distB="0" distL="0" distR="0" wp14:anchorId="52D832A3" wp14:editId="1C00974A">
            <wp:extent cx="5905500" cy="5314950"/>
            <wp:effectExtent l="0" t="0" r="0" b="0"/>
            <wp:docPr id="1709659766" name="Picture 1709659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531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5E55E" w14:textId="52361586" w:rsidR="745EA608" w:rsidRDefault="7AC983A3" w:rsidP="48325188">
      <w:pPr>
        <w:spacing w:before="180" w:after="180" w:line="360" w:lineRule="auto"/>
        <w:rPr>
          <w:rFonts w:eastAsiaTheme="minorEastAsia"/>
        </w:rPr>
      </w:pPr>
      <w:r w:rsidRPr="48325188">
        <w:t>Figure S</w:t>
      </w:r>
      <w:r w:rsidR="3D7638C7" w:rsidRPr="48325188">
        <w:t>3</w:t>
      </w:r>
      <w:r w:rsidRPr="48325188">
        <w:t xml:space="preserve">: </w:t>
      </w:r>
      <w:r w:rsidRPr="48325188">
        <w:rPr>
          <w:rFonts w:ascii="Calibri" w:eastAsia="Calibri" w:hAnsi="Calibri" w:cs="Calibri"/>
        </w:rPr>
        <w:t>Impact of different parameter choices</w:t>
      </w:r>
      <w:r w:rsidR="43E61D34" w:rsidRPr="48325188">
        <w:rPr>
          <w:rFonts w:ascii="Calibri" w:eastAsia="Calibri" w:hAnsi="Calibri" w:cs="Calibri"/>
        </w:rPr>
        <w:t xml:space="preserve"> on various </w:t>
      </w:r>
      <w:r w:rsidR="0DD2C926" w:rsidRPr="48325188">
        <w:rPr>
          <w:rFonts w:ascii="Calibri" w:eastAsia="Calibri" w:hAnsi="Calibri" w:cs="Calibri"/>
        </w:rPr>
        <w:t xml:space="preserve">pipeline </w:t>
      </w:r>
      <w:r w:rsidR="43E61D34" w:rsidRPr="48325188">
        <w:rPr>
          <w:rFonts w:ascii="Calibri" w:eastAsia="Calibri" w:hAnsi="Calibri" w:cs="Calibri"/>
        </w:rPr>
        <w:t xml:space="preserve">tuning parameters. </w:t>
      </w:r>
      <w:r w:rsidR="43E61D34" w:rsidRPr="48325188">
        <w:rPr>
          <w:rFonts w:eastAsiaTheme="minorEastAsia"/>
        </w:rPr>
        <w:t xml:space="preserve">Solid lines refer to left axis (clusters), dashed lines to right axis (ratios). </w:t>
      </w:r>
      <w:proofErr w:type="spellStart"/>
      <w:r w:rsidR="43E61D34" w:rsidRPr="48325188">
        <w:rPr>
          <w:rFonts w:eastAsiaTheme="minorEastAsia"/>
        </w:rPr>
        <w:t>Redish</w:t>
      </w:r>
      <w:proofErr w:type="spellEnd"/>
      <w:r w:rsidR="43E61D34" w:rsidRPr="48325188">
        <w:rPr>
          <w:rFonts w:eastAsiaTheme="minorEastAsia"/>
        </w:rPr>
        <w:t xml:space="preserve"> </w:t>
      </w:r>
      <w:proofErr w:type="spellStart"/>
      <w:r w:rsidR="43E61D34" w:rsidRPr="48325188">
        <w:rPr>
          <w:rFonts w:eastAsiaTheme="minorEastAsia"/>
        </w:rPr>
        <w:t>colours</w:t>
      </w:r>
      <w:proofErr w:type="spellEnd"/>
      <w:r w:rsidR="43E61D34" w:rsidRPr="48325188">
        <w:rPr>
          <w:rFonts w:eastAsiaTheme="minorEastAsia"/>
        </w:rPr>
        <w:t xml:space="preserve"> indicate the mock reference, blueish lines the refined mock reference. Intense </w:t>
      </w:r>
      <w:proofErr w:type="spellStart"/>
      <w:r w:rsidR="43E61D34" w:rsidRPr="48325188">
        <w:rPr>
          <w:rFonts w:eastAsiaTheme="minorEastAsia"/>
        </w:rPr>
        <w:t>colours</w:t>
      </w:r>
      <w:proofErr w:type="spellEnd"/>
      <w:r w:rsidR="43E61D34" w:rsidRPr="48325188">
        <w:rPr>
          <w:rFonts w:eastAsiaTheme="minorEastAsia"/>
        </w:rPr>
        <w:t xml:space="preserve"> (red, blue) indicate the number of aligned clusters from the mock reference to the reference genome, light </w:t>
      </w:r>
      <w:proofErr w:type="spellStart"/>
      <w:r w:rsidR="43E61D34" w:rsidRPr="48325188">
        <w:rPr>
          <w:rFonts w:eastAsiaTheme="minorEastAsia"/>
        </w:rPr>
        <w:t>colours</w:t>
      </w:r>
      <w:proofErr w:type="spellEnd"/>
      <w:r w:rsidR="43E61D34" w:rsidRPr="48325188">
        <w:rPr>
          <w:rFonts w:eastAsiaTheme="minorEastAsia"/>
        </w:rPr>
        <w:t xml:space="preserve"> (pink, cyan) the number of secondary alignments of that alignment. </w:t>
      </w:r>
    </w:p>
    <w:p w14:paraId="387B39EA" w14:textId="5BF756A0" w:rsidR="745EA608" w:rsidRDefault="43E61D34" w:rsidP="48325188">
      <w:pPr>
        <w:spacing w:before="180" w:after="180" w:line="360" w:lineRule="auto"/>
        <w:rPr>
          <w:rFonts w:eastAsiaTheme="minorEastAsia"/>
        </w:rPr>
      </w:pPr>
      <w:r w:rsidRPr="48325188">
        <w:rPr>
          <w:rFonts w:eastAsiaTheme="minorEastAsia"/>
        </w:rPr>
        <w:t>Dashed lines indicate the average alignment rates across the samples against the mock (red) and refined mock (blue), long-dashed lines indicate the alignment rates of the mock reference (red) and refined-mock reference against the in-silico predicted reference genome.</w:t>
      </w:r>
    </w:p>
    <w:p w14:paraId="60926245" w14:textId="5C81A90B" w:rsidR="745EA608" w:rsidRDefault="4F2DE3F4" w:rsidP="48325188">
      <w:pPr>
        <w:spacing w:before="180" w:after="180" w:line="360" w:lineRule="auto"/>
        <w:rPr>
          <w:rFonts w:eastAsiaTheme="minorEastAsia"/>
        </w:rPr>
      </w:pPr>
      <w:r w:rsidRPr="48325188">
        <w:rPr>
          <w:rFonts w:eastAsiaTheme="minorEastAsia"/>
        </w:rPr>
        <w:t>The grey box indicates the predicted number of clusters after digestion.</w:t>
      </w:r>
    </w:p>
    <w:p w14:paraId="6A9D7841" w14:textId="38C76534" w:rsidR="745EA608" w:rsidRDefault="59922B6A" w:rsidP="34A6C064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4ADAEC6" wp14:editId="2D8130AB">
            <wp:extent cx="6181724" cy="5563552"/>
            <wp:effectExtent l="0" t="0" r="0" b="0"/>
            <wp:docPr id="1388891003" name="Picture 1388891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889100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1724" cy="5563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 w:rsidR="745EA608" w:rsidRPr="48325188">
        <w:rPr>
          <w:rFonts w:ascii="Calibri" w:eastAsia="Calibri" w:hAnsi="Calibri" w:cs="Calibri"/>
          <w:color w:val="000000" w:themeColor="text1"/>
        </w:rPr>
        <w:t>Figure S</w:t>
      </w:r>
      <w:r w:rsidR="621B5482" w:rsidRPr="48325188">
        <w:rPr>
          <w:rFonts w:ascii="Calibri" w:eastAsia="Calibri" w:hAnsi="Calibri" w:cs="Calibri"/>
          <w:color w:val="000000" w:themeColor="text1"/>
        </w:rPr>
        <w:t>4</w:t>
      </w:r>
      <w:r w:rsidR="745EA608" w:rsidRPr="48325188">
        <w:rPr>
          <w:rFonts w:ascii="Calibri" w:eastAsia="Calibri" w:hAnsi="Calibri" w:cs="Calibri"/>
          <w:color w:val="000000" w:themeColor="text1"/>
        </w:rPr>
        <w:t>: Impact of tuning parameters for the final mock.</w:t>
      </w:r>
      <w:r w:rsidR="5438D7D3" w:rsidRPr="48325188">
        <w:rPr>
          <w:rFonts w:ascii="Calibri" w:eastAsia="Calibri" w:hAnsi="Calibri" w:cs="Calibri"/>
          <w:color w:val="000000" w:themeColor="text1"/>
        </w:rPr>
        <w:t xml:space="preserve"> Tested values are here average number of reads per sample (</w:t>
      </w:r>
      <w:proofErr w:type="spellStart"/>
      <w:r w:rsidR="5438D7D3" w:rsidRPr="48325188">
        <w:rPr>
          <w:rFonts w:ascii="Calibri" w:eastAsia="Calibri" w:hAnsi="Calibri" w:cs="Calibri"/>
          <w:color w:val="000000" w:themeColor="text1"/>
        </w:rPr>
        <w:t>rps</w:t>
      </w:r>
      <w:proofErr w:type="spellEnd"/>
      <w:r w:rsidR="5438D7D3" w:rsidRPr="48325188">
        <w:rPr>
          <w:rFonts w:ascii="Calibri" w:eastAsia="Calibri" w:hAnsi="Calibri" w:cs="Calibri"/>
          <w:color w:val="000000" w:themeColor="text1"/>
        </w:rPr>
        <w:t>) and number samples with reads on cluster (s)</w:t>
      </w:r>
    </w:p>
    <w:p w14:paraId="43C94535" w14:textId="204EE69F" w:rsidR="2C4722B4" w:rsidRDefault="2C4722B4" w:rsidP="48325188">
      <w:pPr>
        <w:spacing w:before="180" w:after="180" w:line="360" w:lineRule="auto"/>
        <w:rPr>
          <w:rFonts w:eastAsiaTheme="minorEastAsia"/>
        </w:rPr>
      </w:pPr>
      <w:r w:rsidRPr="48325188">
        <w:rPr>
          <w:rFonts w:eastAsiaTheme="minorEastAsia"/>
        </w:rPr>
        <w:t xml:space="preserve">Solid lines refer to left axis (clusters), dashed lines to right axis (ratios). </w:t>
      </w:r>
      <w:proofErr w:type="spellStart"/>
      <w:r w:rsidRPr="48325188">
        <w:rPr>
          <w:rFonts w:eastAsiaTheme="minorEastAsia"/>
        </w:rPr>
        <w:t>Redish</w:t>
      </w:r>
      <w:proofErr w:type="spellEnd"/>
      <w:r w:rsidRPr="48325188">
        <w:rPr>
          <w:rFonts w:eastAsiaTheme="minorEastAsia"/>
        </w:rPr>
        <w:t xml:space="preserve"> </w:t>
      </w:r>
      <w:proofErr w:type="spellStart"/>
      <w:r w:rsidRPr="48325188">
        <w:rPr>
          <w:rFonts w:eastAsiaTheme="minorEastAsia"/>
        </w:rPr>
        <w:t>colours</w:t>
      </w:r>
      <w:proofErr w:type="spellEnd"/>
      <w:r w:rsidRPr="48325188">
        <w:rPr>
          <w:rFonts w:eastAsiaTheme="minorEastAsia"/>
        </w:rPr>
        <w:t xml:space="preserve"> indicate the mock reference, blueish lines the refined mock reference. Intense </w:t>
      </w:r>
      <w:proofErr w:type="spellStart"/>
      <w:r w:rsidRPr="48325188">
        <w:rPr>
          <w:rFonts w:eastAsiaTheme="minorEastAsia"/>
        </w:rPr>
        <w:t>colours</w:t>
      </w:r>
      <w:proofErr w:type="spellEnd"/>
      <w:r w:rsidRPr="48325188">
        <w:rPr>
          <w:rFonts w:eastAsiaTheme="minorEastAsia"/>
        </w:rPr>
        <w:t xml:space="preserve"> (red, blue) indicate the number of aligned clusters from the mock reference to the reference genome, light </w:t>
      </w:r>
      <w:proofErr w:type="spellStart"/>
      <w:r w:rsidRPr="48325188">
        <w:rPr>
          <w:rFonts w:eastAsiaTheme="minorEastAsia"/>
        </w:rPr>
        <w:t>colours</w:t>
      </w:r>
      <w:proofErr w:type="spellEnd"/>
      <w:r w:rsidRPr="48325188">
        <w:rPr>
          <w:rFonts w:eastAsiaTheme="minorEastAsia"/>
        </w:rPr>
        <w:t xml:space="preserve"> (pink, cyan) the number of secondary alignments of that alignment. </w:t>
      </w:r>
    </w:p>
    <w:p w14:paraId="028A4709" w14:textId="5BF756A0" w:rsidR="2C4722B4" w:rsidRDefault="2C4722B4" w:rsidP="48325188">
      <w:pPr>
        <w:spacing w:before="180" w:after="180" w:line="360" w:lineRule="auto"/>
        <w:rPr>
          <w:rFonts w:eastAsiaTheme="minorEastAsia"/>
        </w:rPr>
      </w:pPr>
      <w:r w:rsidRPr="48325188">
        <w:rPr>
          <w:rFonts w:eastAsiaTheme="minorEastAsia"/>
        </w:rPr>
        <w:t>Dashed lines indicate the average alignment rates across the samples against the mock (red) and refined mock (blue), long-dashed lines indicate the alignment rates of the mock reference (red) and refined-mock reference against the in-silico predicted reference genome.</w:t>
      </w:r>
    </w:p>
    <w:p w14:paraId="150633BB" w14:textId="5C81A90B" w:rsidR="2C4722B4" w:rsidRDefault="2C4722B4" w:rsidP="48325188">
      <w:pPr>
        <w:spacing w:before="180" w:after="180" w:line="360" w:lineRule="auto"/>
        <w:rPr>
          <w:rFonts w:eastAsiaTheme="minorEastAsia"/>
        </w:rPr>
      </w:pPr>
      <w:r w:rsidRPr="48325188">
        <w:rPr>
          <w:rFonts w:eastAsiaTheme="minorEastAsia"/>
        </w:rPr>
        <w:lastRenderedPageBreak/>
        <w:t>The grey box indicates the predicted number of clusters after digestion.</w:t>
      </w:r>
    </w:p>
    <w:p w14:paraId="6696D482" w14:textId="770C3350" w:rsidR="48325188" w:rsidRDefault="48325188" w:rsidP="48325188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A96108D" w14:textId="3B5E6A63" w:rsidR="36B94CC9" w:rsidRDefault="36B94CC9" w:rsidP="34A6C064">
      <w:pPr>
        <w:spacing w:before="180" w:after="180" w:line="360" w:lineRule="auto"/>
        <w:rPr>
          <w:rFonts w:ascii="Calibri" w:eastAsia="Calibri" w:hAnsi="Calibri" w:cs="Calibri"/>
        </w:rPr>
      </w:pPr>
      <w:r>
        <w:rPr>
          <w:noProof/>
        </w:rPr>
        <w:drawing>
          <wp:inline distT="0" distB="0" distL="0" distR="0" wp14:anchorId="483BD709" wp14:editId="189E2DC0">
            <wp:extent cx="5934076" cy="4048125"/>
            <wp:effectExtent l="0" t="0" r="0" b="0"/>
            <wp:docPr id="607305200" name="Picture 607305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4076" cy="404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27212A" w14:textId="4521F2E4" w:rsidR="36B94CC9" w:rsidRDefault="36B94CC9" w:rsidP="4EB29794">
      <w:pPr>
        <w:spacing w:before="180" w:after="180" w:line="360" w:lineRule="auto"/>
        <w:rPr>
          <w:rFonts w:ascii="Calibri" w:eastAsia="Calibri" w:hAnsi="Calibri" w:cs="Calibri"/>
          <w:color w:val="0078D4"/>
        </w:rPr>
      </w:pPr>
      <w:r w:rsidRPr="4EB29794">
        <w:rPr>
          <w:rFonts w:ascii="Calibri" w:eastAsia="Calibri" w:hAnsi="Calibri" w:cs="Calibri"/>
        </w:rPr>
        <w:t xml:space="preserve">Figure </w:t>
      </w:r>
      <w:r w:rsidR="5C569686" w:rsidRPr="4EB29794">
        <w:rPr>
          <w:rFonts w:ascii="Calibri" w:eastAsia="Calibri" w:hAnsi="Calibri" w:cs="Calibri"/>
        </w:rPr>
        <w:t>S</w:t>
      </w:r>
      <w:r w:rsidR="66D23C88" w:rsidRPr="4EB29794">
        <w:rPr>
          <w:rFonts w:ascii="Calibri" w:eastAsia="Calibri" w:hAnsi="Calibri" w:cs="Calibri"/>
        </w:rPr>
        <w:t>5</w:t>
      </w:r>
      <w:r w:rsidRPr="4EB29794">
        <w:rPr>
          <w:rFonts w:ascii="Calibri" w:eastAsia="Calibri" w:hAnsi="Calibri" w:cs="Calibri"/>
        </w:rPr>
        <w:t>. Ratio of variants that could not be recovered from the WGS data, split per chromosome 1-29+X.</w:t>
      </w:r>
    </w:p>
    <w:p w14:paraId="1EF6E182" w14:textId="460D31FB" w:rsidR="34A6C064" w:rsidRDefault="34A6C064" w:rsidP="34A6C064"/>
    <w:p w14:paraId="1DB47D79" w14:textId="65463FAC" w:rsidR="34A6C064" w:rsidRDefault="24E6F67E" w:rsidP="34A6C064">
      <w:r>
        <w:rPr>
          <w:noProof/>
        </w:rPr>
        <w:lastRenderedPageBreak/>
        <w:drawing>
          <wp:inline distT="0" distB="0" distL="0" distR="0" wp14:anchorId="40B19AA7" wp14:editId="71CDA0A0">
            <wp:extent cx="4572000" cy="3638550"/>
            <wp:effectExtent l="0" t="0" r="0" b="0"/>
            <wp:docPr id="1726898256" name="Picture 1726898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63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595C2" w14:textId="32B195F7" w:rsidR="34A6C064" w:rsidRDefault="24E6F67E" w:rsidP="34A6C064">
      <w:r>
        <w:t xml:space="preserve">Figure S6: Workflow diagram of the </w:t>
      </w:r>
      <w:proofErr w:type="spellStart"/>
      <w:r>
        <w:t>wetlab</w:t>
      </w:r>
      <w:proofErr w:type="spellEnd"/>
      <w:r>
        <w:t xml:space="preserve"> pipeline</w:t>
      </w:r>
    </w:p>
    <w:p w14:paraId="45E50E5A" w14:textId="1C0FA3CF" w:rsidR="47B71A88" w:rsidRDefault="47B71A88" w:rsidP="357A02D1">
      <w:pPr>
        <w:spacing w:before="180" w:after="180" w:line="36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sectPr w:rsidR="47B71A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3622A15"/>
    <w:rsid w:val="00051D37"/>
    <w:rsid w:val="00080B46"/>
    <w:rsid w:val="000A6B39"/>
    <w:rsid w:val="00161BA3"/>
    <w:rsid w:val="001D359C"/>
    <w:rsid w:val="00345F77"/>
    <w:rsid w:val="003977FA"/>
    <w:rsid w:val="003F5615"/>
    <w:rsid w:val="0041189E"/>
    <w:rsid w:val="0048096E"/>
    <w:rsid w:val="004D1842"/>
    <w:rsid w:val="00535D36"/>
    <w:rsid w:val="005E21AF"/>
    <w:rsid w:val="00602498"/>
    <w:rsid w:val="00755411"/>
    <w:rsid w:val="007E39D8"/>
    <w:rsid w:val="00820932"/>
    <w:rsid w:val="008955BD"/>
    <w:rsid w:val="008A32E3"/>
    <w:rsid w:val="008F29F9"/>
    <w:rsid w:val="00A21D3E"/>
    <w:rsid w:val="00AA2CD9"/>
    <w:rsid w:val="00B36496"/>
    <w:rsid w:val="00B678F5"/>
    <w:rsid w:val="00C82166"/>
    <w:rsid w:val="00CB3944"/>
    <w:rsid w:val="00CD1D5B"/>
    <w:rsid w:val="00D30FDC"/>
    <w:rsid w:val="00D55C29"/>
    <w:rsid w:val="00DF25D3"/>
    <w:rsid w:val="00E2439F"/>
    <w:rsid w:val="00F46298"/>
    <w:rsid w:val="00FA2CB5"/>
    <w:rsid w:val="01B30E38"/>
    <w:rsid w:val="0314FC5E"/>
    <w:rsid w:val="03754DE4"/>
    <w:rsid w:val="067029D4"/>
    <w:rsid w:val="0870D127"/>
    <w:rsid w:val="08F2BBB5"/>
    <w:rsid w:val="09676507"/>
    <w:rsid w:val="0DD2C926"/>
    <w:rsid w:val="1231CB74"/>
    <w:rsid w:val="13E66701"/>
    <w:rsid w:val="14A7DF9C"/>
    <w:rsid w:val="14CC2ADC"/>
    <w:rsid w:val="16F5CB7B"/>
    <w:rsid w:val="172058C4"/>
    <w:rsid w:val="1769BD43"/>
    <w:rsid w:val="182E844F"/>
    <w:rsid w:val="182F332E"/>
    <w:rsid w:val="1B4180BD"/>
    <w:rsid w:val="1B70DE91"/>
    <w:rsid w:val="1C00974A"/>
    <w:rsid w:val="1C6932AD"/>
    <w:rsid w:val="1E79217F"/>
    <w:rsid w:val="20D24443"/>
    <w:rsid w:val="20E3433C"/>
    <w:rsid w:val="24CF07D5"/>
    <w:rsid w:val="24E6F67E"/>
    <w:rsid w:val="24ECFA21"/>
    <w:rsid w:val="273F934F"/>
    <w:rsid w:val="2916E0D7"/>
    <w:rsid w:val="2A63C0FD"/>
    <w:rsid w:val="2A9B69E0"/>
    <w:rsid w:val="2C4722B4"/>
    <w:rsid w:val="2D818885"/>
    <w:rsid w:val="2E04908F"/>
    <w:rsid w:val="2F7224CB"/>
    <w:rsid w:val="312CEDAE"/>
    <w:rsid w:val="31535164"/>
    <w:rsid w:val="316EEEEC"/>
    <w:rsid w:val="31936AF3"/>
    <w:rsid w:val="34A6C064"/>
    <w:rsid w:val="357A02D1"/>
    <w:rsid w:val="36198838"/>
    <w:rsid w:val="36B94CC9"/>
    <w:rsid w:val="3A36F885"/>
    <w:rsid w:val="3A5A0F49"/>
    <w:rsid w:val="3B87CE20"/>
    <w:rsid w:val="3D7638C7"/>
    <w:rsid w:val="3E7998E8"/>
    <w:rsid w:val="3FC6E856"/>
    <w:rsid w:val="40273FA3"/>
    <w:rsid w:val="40C167C0"/>
    <w:rsid w:val="43439D48"/>
    <w:rsid w:val="43622A15"/>
    <w:rsid w:val="43AE1B80"/>
    <w:rsid w:val="43E61D34"/>
    <w:rsid w:val="440EDB59"/>
    <w:rsid w:val="45AAABBA"/>
    <w:rsid w:val="46BC980C"/>
    <w:rsid w:val="47B71A88"/>
    <w:rsid w:val="48325188"/>
    <w:rsid w:val="48E24C7C"/>
    <w:rsid w:val="48FD75FD"/>
    <w:rsid w:val="493B21C5"/>
    <w:rsid w:val="4A18120A"/>
    <w:rsid w:val="4AE7FC8A"/>
    <w:rsid w:val="4DC2ACF0"/>
    <w:rsid w:val="4EB29794"/>
    <w:rsid w:val="4EC055A7"/>
    <w:rsid w:val="4F2DE3F4"/>
    <w:rsid w:val="4F4F9CED"/>
    <w:rsid w:val="50243B10"/>
    <w:rsid w:val="5120BCFD"/>
    <w:rsid w:val="51F7237B"/>
    <w:rsid w:val="52EA952E"/>
    <w:rsid w:val="53200159"/>
    <w:rsid w:val="5438D7D3"/>
    <w:rsid w:val="586CC426"/>
    <w:rsid w:val="58DF47E9"/>
    <w:rsid w:val="59922B6A"/>
    <w:rsid w:val="5BD4150A"/>
    <w:rsid w:val="5C4336CB"/>
    <w:rsid w:val="5C569686"/>
    <w:rsid w:val="5CD1FA59"/>
    <w:rsid w:val="60CC5A09"/>
    <w:rsid w:val="621B5482"/>
    <w:rsid w:val="63F1B4C1"/>
    <w:rsid w:val="66D23C88"/>
    <w:rsid w:val="6AA74EF5"/>
    <w:rsid w:val="6B0ABA40"/>
    <w:rsid w:val="6B221267"/>
    <w:rsid w:val="6BB85DA3"/>
    <w:rsid w:val="6E657C56"/>
    <w:rsid w:val="6F8B8F2E"/>
    <w:rsid w:val="6FDB715B"/>
    <w:rsid w:val="7307801C"/>
    <w:rsid w:val="745EA608"/>
    <w:rsid w:val="754F0CF3"/>
    <w:rsid w:val="7AC983A3"/>
    <w:rsid w:val="7B28BA84"/>
    <w:rsid w:val="7D3204D1"/>
    <w:rsid w:val="7EB24623"/>
    <w:rsid w:val="7F3D2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3622A15"/>
  <w15:chartTrackingRefBased/>
  <w15:docId w15:val="{7C581CE5-E4D0-4C65-AFBC-DECFBC7FF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82093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364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364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3649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64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649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c8b2bc-ee22-4d26-a5da-6078b8d414b9">
      <Terms xmlns="http://schemas.microsoft.com/office/infopath/2007/PartnerControls"/>
    </lcf76f155ced4ddcb4097134ff3c332f>
    <TaxCatchAll xmlns="cfe885dc-9db7-4894-95a4-8bf7ccbac14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86530755AE184184E405F4619567F6" ma:contentTypeVersion="15" ma:contentTypeDescription="Create a new document." ma:contentTypeScope="" ma:versionID="22c7b6ad209db8867fab93192b653fdc">
  <xsd:schema xmlns:xsd="http://www.w3.org/2001/XMLSchema" xmlns:xs="http://www.w3.org/2001/XMLSchema" xmlns:p="http://schemas.microsoft.com/office/2006/metadata/properties" xmlns:ns2="e1c8b2bc-ee22-4d26-a5da-6078b8d414b9" xmlns:ns3="e11239a4-cb9a-447b-abdd-ed92b57ab48b" xmlns:ns4="cfe885dc-9db7-4894-95a4-8bf7ccbac140" targetNamespace="http://schemas.microsoft.com/office/2006/metadata/properties" ma:root="true" ma:fieldsID="329816a970e1560b50492c8c6cf638bd" ns2:_="" ns3:_="" ns4:_="">
    <xsd:import namespace="e1c8b2bc-ee22-4d26-a5da-6078b8d414b9"/>
    <xsd:import namespace="e11239a4-cb9a-447b-abdd-ed92b57ab48b"/>
    <xsd:import namespace="cfe885dc-9db7-4894-95a4-8bf7ccbac1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c8b2bc-ee22-4d26-a5da-6078b8d414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e95fa535-6bc0-41a5-b9d9-f1c35ec2e0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1239a4-cb9a-447b-abdd-ed92b57ab48b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e885dc-9db7-4894-95a4-8bf7ccbac140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774b7150-d5fd-4d1b-b7b5-e1ac349ee9b9}" ma:internalName="TaxCatchAll" ma:showField="CatchAllData" ma:web="e11239a4-cb9a-447b-abdd-ed92b57ab48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EEDE057-97DE-4FAB-B192-6D7E9BC64454}">
  <ds:schemaRefs>
    <ds:schemaRef ds:uri="http://schemas.microsoft.com/office/2006/metadata/properties"/>
    <ds:schemaRef ds:uri="http://schemas.microsoft.com/office/infopath/2007/PartnerControls"/>
    <ds:schemaRef ds:uri="e1c8b2bc-ee22-4d26-a5da-6078b8d414b9"/>
    <ds:schemaRef ds:uri="cfe885dc-9db7-4894-95a4-8bf7ccbac140"/>
  </ds:schemaRefs>
</ds:datastoreItem>
</file>

<file path=customXml/itemProps2.xml><?xml version="1.0" encoding="utf-8"?>
<ds:datastoreItem xmlns:ds="http://schemas.openxmlformats.org/officeDocument/2006/customXml" ds:itemID="{FF2B42A8-B2AA-4BE8-8A5D-12EBFC3D49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D4BFC9F-5AE6-4AE9-BD7C-85925A73FF4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526</Words>
  <Characters>3003</Characters>
  <Application>Microsoft Office Word</Application>
  <DocSecurity>0</DocSecurity>
  <Lines>25</Lines>
  <Paragraphs>7</Paragraphs>
  <ScaleCrop>false</ScaleCrop>
  <Company/>
  <LinksUpToDate>false</LinksUpToDate>
  <CharactersWithSpaces>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Fischer Daniel (LUKE)</dc:creator>
  <cp:keywords/>
  <dc:description/>
  <cp:lastModifiedBy>Fischer Daniel (LUKE)</cp:lastModifiedBy>
  <cp:revision>36</cp:revision>
  <dcterms:created xsi:type="dcterms:W3CDTF">2023-06-20T11:11:00Z</dcterms:created>
  <dcterms:modified xsi:type="dcterms:W3CDTF">2023-10-06T12:16:00Z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0x010100F386530755AE184184E405F4619567F6</vt:lpwstr>
  </property>
  <property fmtid="{D5CDD505-2E9C-101B-9397-08002B2CF9AE}" pid="3" name="MediaServiceImageTags">
    <vt:lpwstr/>
  </property>
</Properties>
</file>