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C4160" w14:textId="77777777" w:rsidR="0030494B" w:rsidRPr="00B059E3" w:rsidRDefault="0030494B" w:rsidP="003049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m:oMathPara>
        <m:oMath>
          <m:r>
            <m:rPr>
              <m:nor/>
            </m:rPr>
            <w:rPr>
              <w:rFonts w:ascii="Times New Roman" w:hAnsi="Times New Roman" w:cs="Times New Roman"/>
              <w:bCs/>
              <w:sz w:val="24"/>
              <w:szCs w:val="24"/>
            </w:rPr>
            <m:t>logit</m:t>
          </m:r>
          <m:d>
            <m:dPr>
              <m:begChr m:val="["/>
              <m:endChr m:val="]"/>
              <m:ctrlPr>
                <w:rPr>
                  <w:rFonts w:ascii="Cambria Math" w:hAnsi="Times New Roman" w:cs="Times New Roman"/>
                  <w:b/>
                  <w:bCs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Pr</m:t>
              </m:r>
              <m:d>
                <m:dPr>
                  <m:ctrlPr>
                    <w:rPr>
                      <w:rFonts w:ascii="Cambria Math" w:hAnsi="Times New Roman" w:cs="Times New Roman"/>
                      <w:b/>
                      <w:bCs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bCs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y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 xml:space="preserve">i </m:t>
                      </m:r>
                    </m:sub>
                  </m:sSub>
                  <m:r>
                    <m:rPr>
                      <m:sty m:val="b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| </m:t>
                  </m:r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  <m:r>
                    <m:rPr>
                      <m:sty m:val="b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, </m:t>
                  </m:r>
                  <m:r>
                    <m:rPr>
                      <m:sty m:val="b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β</m:t>
                  </m:r>
                </m:e>
              </m:d>
            </m:e>
          </m:d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=logit</m:t>
          </m:r>
          <m:d>
            <m:d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p</m:t>
              </m:r>
            </m:e>
          </m:d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=log</m:t>
          </m:r>
          <m:d>
            <m:d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p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1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p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 xml:space="preserve">= </m:t>
          </m:r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sSubPr>
            <m:e>
              <m:sSub>
                <m:sSubPr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β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 xml:space="preserve">+ </m:t>
              </m:r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β</m:t>
              </m:r>
            </m:e>
            <m:sub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sub>
          </m:sSub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1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 xml:space="preserve">+ </m:t>
          </m:r>
          <m:r>
            <m:rPr>
              <m:sty m:val="p"/>
            </m:rPr>
            <w:rPr>
              <w:rFonts w:ascii="Cambria Math" w:hAnsi="Cambria Math" w:cs="Times New Roman"/>
              <w:sz w:val="24"/>
              <w:szCs w:val="24"/>
            </w:rPr>
            <m:t>⋯</m:t>
          </m:r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 xml:space="preserve">+ </m:t>
          </m:r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β</m:t>
              </m:r>
            </m:e>
            <m:sub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p</m:t>
              </m:r>
            </m:sub>
          </m:sSub>
          <m:sSub>
            <m:sSub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X</m:t>
              </m:r>
            </m:e>
            <m:sub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p</m:t>
              </m:r>
            </m:sub>
          </m:sSub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,                                        (1)</m:t>
          </m:r>
        </m:oMath>
      </m:oMathPara>
    </w:p>
    <w:p w14:paraId="15A4A87D" w14:textId="77777777" w:rsidR="0030494B" w:rsidRPr="00B059E3" w:rsidRDefault="0030494B" w:rsidP="0030494B">
      <w:pPr>
        <w:spacing w:after="80" w:line="480" w:lineRule="auto"/>
        <w:outlineLvl w:val="0"/>
        <w:rPr>
          <w:rFonts w:ascii="Times New Roman" w:eastAsia="Arial" w:hAnsi="Times New Roman" w:cs="Times New Roman"/>
          <w:sz w:val="24"/>
          <w:szCs w:val="24"/>
        </w:rPr>
      </w:pPr>
      <w:r w:rsidRPr="00B059E3">
        <w:rPr>
          <w:rFonts w:ascii="Times New Roman" w:eastAsia="Arial" w:hAnsi="Times New Roman" w:cs="Times New Roman"/>
          <w:sz w:val="24"/>
          <w:szCs w:val="24"/>
        </w:rPr>
        <w:t>where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, </m:t>
        </m:r>
        <m:r>
          <m:rPr>
            <m:sty m:val="p"/>
          </m:rPr>
          <w:rPr>
            <w:rFonts w:ascii="Cambria Math" w:eastAsia="Arial" w:hAnsi="Cambria Math" w:cs="Times New Roman"/>
            <w:sz w:val="24"/>
            <w:szCs w:val="24"/>
          </w:rPr>
          <m:t>⋯</m:t>
        </m:r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p</m:t>
            </m:r>
          </m:sub>
        </m:sSub>
      </m:oMath>
      <w:r w:rsidRPr="00B059E3">
        <w:rPr>
          <w:rFonts w:ascii="Times New Roman" w:eastAsia="Arial" w:hAnsi="Times New Roman" w:cs="Times New Roman"/>
          <w:sz w:val="24"/>
          <w:szCs w:val="24"/>
        </w:rPr>
        <w:t>are the risk factors/predictors;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sSub>
              <m:sSub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</w:rPr>
                  <m:t>β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 xml:space="preserve">,  </m:t>
            </m:r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⋯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 xml:space="preserve">,  </m:t>
            </m:r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p</m:t>
            </m:r>
          </m:sub>
        </m:sSub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 are parameter estimates representing the effects of their corresponding risk factors on the dichotomous response variable (birth length status);</w:t>
      </w:r>
      <m:oMath>
        <m:sSub>
          <m:sSubPr>
            <m:ctrlPr>
              <w:rPr>
                <w:rFonts w:ascii="Cambria Math" w:eastAsia="Arial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y</m:t>
            </m:r>
          </m:e>
          <m:sub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i</m:t>
            </m:r>
          </m:sub>
        </m:sSub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  is the outcome which equals 1 if respondent </w:t>
      </w:r>
      <m:oMath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i </m:t>
        </m:r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gives birth to her first child after 10 months of marriage and 0 if within 10 months; </w:t>
      </w:r>
      <m:oMath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X </m:t>
        </m:r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is a design matrix for the predictors; </w:t>
      </w:r>
      <m:oMath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>β</m:t>
        </m:r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 </m:t>
        </m:r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is a vector of the parameter estimates. Also, </w:t>
      </w:r>
      <m:oMath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>p</m:t>
        </m:r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 is probability that a respondent gives birth after 10 months of ma</w:t>
      </w:r>
      <w:proofErr w:type="spellStart"/>
      <w:r w:rsidRPr="00B059E3">
        <w:rPr>
          <w:rFonts w:ascii="Times New Roman" w:eastAsia="Arial" w:hAnsi="Times New Roman" w:cs="Times New Roman"/>
          <w:sz w:val="24"/>
          <w:szCs w:val="24"/>
        </w:rPr>
        <w:t>rriage</w:t>
      </w:r>
      <w:proofErr w:type="spellEnd"/>
      <w:r w:rsidRPr="00B059E3">
        <w:rPr>
          <w:rFonts w:ascii="Times New Roman" w:eastAsia="Arial" w:hAnsi="Times New Roman" w:cs="Times New Roman"/>
          <w:sz w:val="24"/>
          <w:szCs w:val="24"/>
        </w:rPr>
        <w:t xml:space="preserve"> </w:t>
      </w:r>
      <w:proofErr w:type="spellStart"/>
      <w:r w:rsidRPr="00B059E3">
        <w:rPr>
          <w:rFonts w:ascii="Times New Roman" w:eastAsia="Arial" w:hAnsi="Times New Roman" w:cs="Times New Roman"/>
          <w:sz w:val="24"/>
          <w:szCs w:val="24"/>
        </w:rPr>
        <w:t>andp</w:t>
      </w:r>
      <w:proofErr w:type="spellEnd"/>
      <w:r w:rsidRPr="00B059E3">
        <w:rPr>
          <w:rFonts w:ascii="Times New Roman" w:eastAsia="Arial" w:hAnsi="Times New Roman" w:cs="Times New Roman"/>
          <w:sz w:val="24"/>
          <w:szCs w:val="24"/>
        </w:rPr>
        <w:t>/(1-p) is the odds of the outcome variable among those who exposed to the predictors relative to those who are not exposed to the same predictors. So, in effect, the</w:t>
      </w:r>
      <m:oMath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>β</m:t>
        </m:r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 </m:t>
        </m:r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 is the log odds ratio of the birth length status for those are exposed to the predictors relative to those who are not exposed. </w:t>
      </w:r>
    </w:p>
    <w:p w14:paraId="76781163" w14:textId="20A9EA28" w:rsidR="00386883" w:rsidRDefault="00CF3E53"/>
    <w:p w14:paraId="3188C5C4" w14:textId="6717C3BF" w:rsidR="00CF3E53" w:rsidRDefault="00CF3E53"/>
    <w:p w14:paraId="1DC68FB2" w14:textId="77777777" w:rsidR="00CF3E53" w:rsidRPr="00B059E3" w:rsidRDefault="00CF3E53" w:rsidP="00CF3E53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  <m:oMathPara>
        <m:oMath>
          <m:acc>
            <m:accPr>
              <m:ctrlPr>
                <w:rPr>
                  <w:rFonts w:ascii="Cambria Math" w:hAnsi="Times New Roman" w:cs="Times New Roman"/>
                  <w:bCs/>
                  <w:sz w:val="24"/>
                  <w:szCs w:val="24"/>
                </w:rPr>
              </m:ctrlPr>
            </m:accPr>
            <m:e>
              <m:r>
                <m:rPr>
                  <m:sty m:val="p"/>
                </m:rPr>
                <w:rPr>
                  <w:rFonts w:ascii="Cambria Math" w:hAnsi="Times New Roman" w:cs="Times New Roman"/>
                  <w:sz w:val="24"/>
                  <w:szCs w:val="24"/>
                </w:rPr>
                <m:t>p</m:t>
              </m:r>
            </m:e>
          </m:acc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Times New Roman" w:cs="Times New Roman"/>
                  <w:sz w:val="24"/>
                  <w:szCs w:val="24"/>
                </w:rPr>
              </m:ctrlPr>
            </m:fPr>
            <m:num>
              <m:d>
                <m:dPr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β</m:t>
                          </m:r>
                        </m:e>
                      </m:acc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 xml:space="preserve">0 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β</m:t>
                          </m:r>
                        </m:e>
                      </m:acc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 xml:space="preserve">1 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+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⋯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β</m:t>
                          </m:r>
                        </m:e>
                      </m:acc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p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p</m:t>
                      </m:r>
                    </m:sub>
                  </m:sSub>
                </m:e>
              </m:d>
            </m:num>
            <m:den>
              <m:d>
                <m:dPr>
                  <m:ctrlPr>
                    <w:rPr>
                      <w:rFonts w:ascii="Cambria Math" w:hAnsi="Times New Roman" w:cs="Times New Roman"/>
                      <w:sz w:val="24"/>
                      <w:szCs w:val="24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1+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β</m:t>
                          </m:r>
                        </m:e>
                      </m:acc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 xml:space="preserve">0 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β</m:t>
                          </m:r>
                        </m:e>
                      </m:acc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 xml:space="preserve">1 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+ </m:t>
                  </m:r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⋯</m:t>
                  </m:r>
                  <m:r>
                    <m:rPr>
                      <m:sty m:val="p"/>
                    </m:rPr>
                    <w:rPr>
                      <w:rFonts w:ascii="Cambria Math" w:hAnsi="Times New Roman" w:cs="Times New Roman"/>
                      <w:sz w:val="24"/>
                      <w:szCs w:val="24"/>
                    </w:rPr>
                    <m:t xml:space="preserve">+ </m:t>
                  </m:r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acc>
                        <m:accPr>
                          <m:ctrl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</m:ctrlPr>
                        </m:acc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Times New Roman" w:cs="Times New Roman"/>
                              <w:sz w:val="24"/>
                              <w:szCs w:val="24"/>
                            </w:rPr>
                            <m:t>β</m:t>
                          </m:r>
                        </m:e>
                      </m:acc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p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X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Times New Roman" w:cs="Times New Roman"/>
                          <w:sz w:val="24"/>
                          <w:szCs w:val="24"/>
                        </w:rPr>
                        <m:t>p</m:t>
                      </m:r>
                    </m:sub>
                  </m:sSub>
                </m:e>
              </m:d>
            </m:den>
          </m:f>
          <m:r>
            <m:rPr>
              <m:sty m:val="p"/>
            </m:rPr>
            <w:rPr>
              <w:rFonts w:ascii="Cambria Math" w:hAnsi="Times New Roman" w:cs="Times New Roman"/>
              <w:sz w:val="24"/>
              <w:szCs w:val="24"/>
            </w:rPr>
            <m:t xml:space="preserve">, </m:t>
          </m:r>
        </m:oMath>
      </m:oMathPara>
    </w:p>
    <w:p w14:paraId="658374C8" w14:textId="77777777" w:rsidR="00CF3E53" w:rsidRPr="00B059E3" w:rsidRDefault="00CF3E53" w:rsidP="00CF3E53">
      <w:pPr>
        <w:spacing w:line="480" w:lineRule="auto"/>
        <w:rPr>
          <w:rFonts w:ascii="Times New Roman" w:eastAsia="Arial" w:hAnsi="Times New Roman" w:cs="Times New Roman"/>
          <w:sz w:val="24"/>
          <w:szCs w:val="24"/>
        </w:rPr>
      </w:pPr>
      <w:r w:rsidRPr="00B059E3">
        <w:rPr>
          <w:rFonts w:ascii="Times New Roman" w:eastAsia="Arial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1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,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⋯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</w:rPr>
          <m:t xml:space="preserve">,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Times New Roman" w:cs="Times New Roman"/>
                    <w:sz w:val="24"/>
                    <w:szCs w:val="24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hAnsi="Times New Roman" w:cs="Times New Roman"/>
                    <w:sz w:val="24"/>
                    <w:szCs w:val="24"/>
                  </w:rPr>
                  <m:t>β</m:t>
                </m:r>
              </m:e>
            </m:acc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p</m:t>
            </m:r>
          </m:sub>
        </m:sSub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are estimators of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lang w:val="en-US" w:eastAsia="en-US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lang w:val="en-US" w:eastAsia="en-US"/>
              </w:rPr>
              <m:t>1</m:t>
            </m:r>
          </m:sub>
        </m:sSub>
        <m:r>
          <m:rPr>
            <m:sty m:val="p"/>
          </m:rPr>
          <w:rPr>
            <w:rFonts w:ascii="Cambria Math" w:hAnsi="Times New Roman" w:cs="Times New Roman"/>
            <w:sz w:val="24"/>
            <w:szCs w:val="24"/>
            <w:lang w:val="en-US" w:eastAsia="en-US"/>
          </w:rPr>
          <m:t xml:space="preserve">,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  <w:lang w:val="en-US" w:eastAsia="en-US"/>
          </w:rPr>
          <m:t>⋯</m:t>
        </m:r>
        <m:r>
          <m:rPr>
            <m:sty m:val="p"/>
          </m:rPr>
          <w:rPr>
            <w:rFonts w:ascii="Cambria Math" w:hAnsi="Times New Roman" w:cs="Times New Roman"/>
            <w:sz w:val="24"/>
            <w:szCs w:val="24"/>
            <w:lang w:val="en-US" w:eastAsia="en-US"/>
          </w:rPr>
          <m:t xml:space="preserve">, </m:t>
        </m:r>
        <m:sSub>
          <m:sSubPr>
            <m:ctrlPr>
              <w:rPr>
                <w:rFonts w:ascii="Cambria Math" w:hAnsi="Times New Roman" w:cs="Times New Roman"/>
                <w:sz w:val="24"/>
                <w:szCs w:val="24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lang w:val="en-US" w:eastAsia="en-US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  <w:lang w:val="en-US" w:eastAsia="en-US"/>
              </w:rPr>
              <m:t>p</m:t>
            </m:r>
          </m:sub>
        </m:sSub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 respectively. These predicted probabilities are used to classify indiv</w:t>
      </w:r>
      <w:proofErr w:type="spellStart"/>
      <w:r w:rsidRPr="00B059E3">
        <w:rPr>
          <w:rFonts w:ascii="Times New Roman" w:eastAsia="Arial" w:hAnsi="Times New Roman" w:cs="Times New Roman"/>
          <w:sz w:val="24"/>
          <w:szCs w:val="24"/>
        </w:rPr>
        <w:t>iduals</w:t>
      </w:r>
      <w:proofErr w:type="spellEnd"/>
      <w:r w:rsidRPr="00B059E3">
        <w:rPr>
          <w:rFonts w:ascii="Times New Roman" w:eastAsia="Arial" w:hAnsi="Times New Roman" w:cs="Times New Roman"/>
          <w:sz w:val="24"/>
          <w:szCs w:val="24"/>
        </w:rPr>
        <w:t xml:space="preserve"> into either those who actually give birth to their first child within 10 months after marriage or after 10 months of marriage. This approach is known as classification </w:t>
      </w:r>
      <w:r w:rsidRPr="00B059E3">
        <w:rPr>
          <w:rFonts w:ascii="Times New Roman" w:eastAsia="Arial" w:hAnsi="Times New Roman" w:cs="Times New Roman"/>
          <w:sz w:val="24"/>
          <w:szCs w:val="24"/>
        </w:rPr>
        <w:fldChar w:fldCharType="begin" w:fldLock="1"/>
      </w:r>
      <w:r>
        <w:rPr>
          <w:rFonts w:ascii="Times New Roman" w:eastAsia="Arial" w:hAnsi="Times New Roman" w:cs="Times New Roman"/>
          <w:sz w:val="24"/>
          <w:szCs w:val="24"/>
        </w:rPr>
        <w:instrText>ADDIN CSL_CITATION {"citationItems":[{"id":"ITEM-1","itemData":{"author":[{"dropping-particle":"","family":"Collett","given":"David","non-dropping-particle":"","parse-names":false,"suffix":""}],"container-title":"Modelling Survival Data in Medical Research","id":"ITEM-1","issued":{"date-parts":[["1994"]]},"page":"53-106","publisher":"Springer","title":"Modelling survival data","type":"chapter"},"uris":["http://www.mendeley.com/documents/?uuid=b04011cb-ba08-48c1-b4b7-dc5c9214ae88"]},{"id":"ITEM-2","itemData":{"author":[{"dropping-particle":"","family":"Belle","given":"GERALD","non-dropping-particle":"van","parse-names":false,"suffix":""},{"dropping-particle":"","family":"Fisher","given":"LLOYD D","non-dropping-particle":"","parse-names":false,"suffix":""},{"dropping-particle":"","family":"Heagerty","given":"PATRICK J","non-dropping-particle":"","parse-names":false,"suffix":""},{"dropping-particle":"","family":"Lumley","given":"THOMAS","non-dropping-particle":"","parse-names":false,"suffix":""}],"id":"ITEM-2","issued":{"date-parts":[["2004"]]},"publisher":"John Wiley &amp; Son, Inc","title":"A Methodology for the Health Sciences","type":"article"},"uris":["http://www.mendeley.com/documents/?uuid=1dc26794-ad37-4dfb-9a4e-a665fe36f664"]}],"mendeley":{"formattedCitation":"(Collett, 1994; van Belle &lt;i&gt;et al.&lt;/i&gt;, 2004)","plainTextFormattedCitation":"(Collett, 1994; van Belle et al., 2004)","previouslyFormattedCitation":"(Collett, 1994; van Belle &lt;i&gt;et al.&lt;/i&gt;, 2004)"},"properties":{"noteIndex":0},"schema":"https://github.com/citation-style-language/schema/raw/master/csl-citation.json"}</w:instrText>
      </w:r>
      <w:r w:rsidRPr="00B059E3">
        <w:rPr>
          <w:rFonts w:ascii="Times New Roman" w:eastAsia="Arial" w:hAnsi="Times New Roman" w:cs="Times New Roman"/>
          <w:sz w:val="24"/>
          <w:szCs w:val="24"/>
        </w:rPr>
        <w:fldChar w:fldCharType="separate"/>
      </w:r>
      <w:r w:rsidRPr="00B059E3">
        <w:rPr>
          <w:rFonts w:ascii="Times New Roman" w:eastAsia="Arial" w:hAnsi="Times New Roman" w:cs="Times New Roman"/>
          <w:noProof/>
          <w:sz w:val="24"/>
          <w:szCs w:val="24"/>
        </w:rPr>
        <w:t xml:space="preserve">(Collett, 1994; van Belle </w:t>
      </w:r>
      <w:r w:rsidRPr="00B059E3">
        <w:rPr>
          <w:rFonts w:ascii="Times New Roman" w:eastAsia="Arial" w:hAnsi="Times New Roman" w:cs="Times New Roman"/>
          <w:i/>
          <w:noProof/>
          <w:sz w:val="24"/>
          <w:szCs w:val="24"/>
        </w:rPr>
        <w:t>et al.</w:t>
      </w:r>
      <w:r w:rsidRPr="00B059E3">
        <w:rPr>
          <w:rFonts w:ascii="Times New Roman" w:eastAsia="Arial" w:hAnsi="Times New Roman" w:cs="Times New Roman"/>
          <w:noProof/>
          <w:sz w:val="24"/>
          <w:szCs w:val="24"/>
        </w:rPr>
        <w:t>, 2004)</w:t>
      </w:r>
      <w:r w:rsidRPr="00B059E3">
        <w:rPr>
          <w:rFonts w:ascii="Times New Roman" w:eastAsia="Arial" w:hAnsi="Times New Roman" w:cs="Times New Roman"/>
          <w:sz w:val="24"/>
          <w:szCs w:val="24"/>
        </w:rPr>
        <w:fldChar w:fldCharType="end"/>
      </w:r>
      <w:r w:rsidRPr="00B059E3">
        <w:rPr>
          <w:rFonts w:ascii="Times New Roman" w:eastAsia="Arial" w:hAnsi="Times New Roman" w:cs="Times New Roman"/>
          <w:sz w:val="24"/>
          <w:szCs w:val="24"/>
        </w:rPr>
        <w:t xml:space="preserve">.  Thus, to assign an individual to one of two groups on the basis of the predicted response probabilities, we need to identify a ``threshold" value, </w:t>
      </w:r>
      <m:oMath>
        <m:sSub>
          <m:sSubPr>
            <m:ctrlPr>
              <w:rPr>
                <w:rFonts w:ascii="Cambria Math" w:eastAsia="Arial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π</m:t>
            </m:r>
          </m:e>
          <m:sub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0</m:t>
            </m:r>
          </m:sub>
        </m:sSub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in such as way that if </w:t>
      </w:r>
      <m:oMath>
        <m:acc>
          <m:accPr>
            <m:ctrlPr>
              <w:rPr>
                <w:rFonts w:ascii="Cambria Math" w:eastAsia="Arial" w:hAnsi="Times New Roman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p</m:t>
            </m:r>
          </m:e>
        </m:acc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>≥</m:t>
        </m:r>
        <m:sSub>
          <m:sSubPr>
            <m:ctrlPr>
              <w:rPr>
                <w:rFonts w:ascii="Cambria Math" w:eastAsia="Arial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π</m:t>
            </m:r>
          </m:e>
          <m:sub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, </m:t>
        </m:r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then an individual should be classified into group 1 and if </w:t>
      </w:r>
      <m:oMath>
        <m:acc>
          <m:accPr>
            <m:ctrlPr>
              <w:rPr>
                <w:rFonts w:ascii="Cambria Math" w:eastAsia="Arial" w:hAnsi="Times New Roman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p</m:t>
            </m:r>
          </m:e>
        </m:acc>
      </m:oMath>
      <w:r w:rsidRPr="00B059E3">
        <w:rPr>
          <w:rFonts w:ascii="Times New Roman" w:eastAsia="Arial" w:hAnsi="Times New Roman" w:cs="Times New Roman"/>
          <w:sz w:val="24"/>
          <w:szCs w:val="24"/>
        </w:rPr>
        <w:t>&lt;</w:t>
      </w:r>
      <m:oMath>
        <m:sSub>
          <m:sSubPr>
            <m:ctrlPr>
              <w:rPr>
                <w:rFonts w:ascii="Cambria Math" w:eastAsia="Arial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π</m:t>
            </m:r>
          </m:e>
          <m:sub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eastAsia="Arial" w:hAnsi="Times New Roman" w:cs="Times New Roman"/>
            <w:sz w:val="24"/>
            <w:szCs w:val="24"/>
          </w:rPr>
          <m:t xml:space="preserve">, </m:t>
        </m:r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then an individual should be classified into group 2. This means that </w:t>
      </w:r>
      <m:oMath>
        <m:sSub>
          <m:sSubPr>
            <m:ctrlPr>
              <w:rPr>
                <w:rFonts w:ascii="Cambria Math" w:eastAsia="Arial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π</m:t>
            </m:r>
          </m:e>
          <m:sub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0</m:t>
            </m:r>
          </m:sub>
        </m:sSub>
      </m:oMath>
      <w:r>
        <w:rPr>
          <w:rFonts w:ascii="Times New Roman" w:eastAsia="Arial" w:hAnsi="Times New Roman" w:cs="Times New Roman"/>
          <w:sz w:val="24"/>
          <w:szCs w:val="24"/>
        </w:rPr>
        <w:t>= 0.5</w:t>
      </w:r>
      <w:r w:rsidRPr="00B059E3">
        <w:rPr>
          <w:rFonts w:ascii="Times New Roman" w:eastAsia="Arial" w:hAnsi="Times New Roman" w:cs="Times New Roman"/>
          <w:sz w:val="24"/>
          <w:szCs w:val="24"/>
        </w:rPr>
        <w:t xml:space="preserve"> if the two groups are symmetrical. Also, </w:t>
      </w:r>
      <m:oMath>
        <m:sSub>
          <m:sSubPr>
            <m:ctrlPr>
              <w:rPr>
                <w:rFonts w:ascii="Cambria Math" w:eastAsia="Arial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π</m:t>
            </m:r>
          </m:e>
          <m:sub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0</m:t>
            </m:r>
          </m:sub>
        </m:sSub>
      </m:oMath>
      <w:r w:rsidRPr="00B059E3">
        <w:rPr>
          <w:rFonts w:ascii="Times New Roman" w:eastAsia="Arial" w:hAnsi="Times New Roman" w:cs="Times New Roman"/>
          <w:sz w:val="24"/>
          <w:szCs w:val="24"/>
        </w:rPr>
        <w:t xml:space="preserve">can be determined from the observed data, where </w:t>
      </w:r>
      <m:oMath>
        <m:sSub>
          <m:sSubPr>
            <m:ctrlPr>
              <w:rPr>
                <w:rFonts w:ascii="Cambria Math" w:eastAsia="Arial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π</m:t>
            </m:r>
          </m:e>
          <m:sub>
            <m:r>
              <m:rPr>
                <m:sty m:val="p"/>
              </m:rPr>
              <w:rPr>
                <w:rFonts w:ascii="Cambria Math" w:eastAsia="Arial" w:hAnsi="Times New Roman" w:cs="Times New Roman"/>
                <w:sz w:val="24"/>
                <w:szCs w:val="24"/>
              </w:rPr>
              <m:t>0</m:t>
            </m:r>
          </m:sub>
        </m:sSub>
      </m:oMath>
      <w:r w:rsidRPr="00B059E3">
        <w:rPr>
          <w:rFonts w:ascii="Times New Roman" w:eastAsia="Arial" w:hAnsi="Times New Roman" w:cs="Times New Roman"/>
          <w:sz w:val="24"/>
          <w:szCs w:val="24"/>
        </w:rPr>
        <w:t>is chosen so as to either minimize the overall proportion of misclassification or to compromise between the minimization of the 2 misclassification probabilities (that is the probability of allocating an individual to group 1 when he/she should be in group 2 and vice versa).</w:t>
      </w:r>
    </w:p>
    <w:p w14:paraId="15BD6489" w14:textId="77777777" w:rsidR="00CF3E53" w:rsidRDefault="00CF3E53"/>
    <w:sectPr w:rsidR="00CF3E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94B"/>
    <w:rsid w:val="0030494B"/>
    <w:rsid w:val="003107CE"/>
    <w:rsid w:val="00316534"/>
    <w:rsid w:val="00373D83"/>
    <w:rsid w:val="00622525"/>
    <w:rsid w:val="006B2C4D"/>
    <w:rsid w:val="007A60A6"/>
    <w:rsid w:val="00A0389B"/>
    <w:rsid w:val="00B1250C"/>
    <w:rsid w:val="00CF3E53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FDDDB"/>
  <w15:chartTrackingRefBased/>
  <w15:docId w15:val="{EBFB9D6C-0DC7-4AB8-9AE7-D0FD29EC8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94B"/>
    <w:pPr>
      <w:spacing w:line="252" w:lineRule="auto"/>
      <w:jc w:val="both"/>
    </w:pPr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553</Words>
  <Characters>3156</Characters>
  <Application>Microsoft Office Word</Application>
  <DocSecurity>0</DocSecurity>
  <Lines>26</Lines>
  <Paragraphs>7</Paragraphs>
  <ScaleCrop>false</ScaleCrop>
  <Company/>
  <LinksUpToDate>false</LinksUpToDate>
  <CharactersWithSpaces>3702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2021-08-12T14:18:00Z</dcterms:created>
  <dcterms:modified xsi:type="dcterms:W3CDTF">2021-08-12T14:19:00Z</dcterms:modified>
</cp:coreProperties>
</file>