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2C7CB3" w14:textId="77777777" w:rsidR="00CB671B" w:rsidRPr="00F04943" w:rsidRDefault="008451CC" w:rsidP="00CB671B">
      <w:pPr>
        <w:pStyle w:val="Heading2"/>
        <w:rPr>
          <w:lang w:val="en-IE"/>
        </w:rPr>
      </w:pPr>
      <w:r>
        <w:rPr>
          <w:lang w:val="en-IE"/>
        </w:rPr>
        <w:t>SupP</w:t>
      </w:r>
      <w:r w:rsidR="00CB671B">
        <w:rPr>
          <w:lang w:val="en-IE"/>
        </w:rPr>
        <w:t>lementary material</w:t>
      </w:r>
    </w:p>
    <w:p w14:paraId="35B8B259" w14:textId="77777777" w:rsidR="00CB671B" w:rsidRDefault="00CB671B" w:rsidP="00CB671B">
      <w:pPr>
        <w:spacing w:after="0"/>
        <w:rPr>
          <w:szCs w:val="24"/>
        </w:rPr>
      </w:pPr>
      <w:r>
        <w:rPr>
          <w:noProof/>
          <w:szCs w:val="24"/>
          <w:lang w:val="en-IE" w:eastAsia="en-IE"/>
        </w:rPr>
        <w:drawing>
          <wp:inline distT="0" distB="0" distL="0" distR="0" wp14:anchorId="01F39EF0" wp14:editId="7A250D37">
            <wp:extent cx="5700788" cy="34766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igure 1 - experimental approach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2" r="6105"/>
                    <a:stretch/>
                  </pic:blipFill>
                  <pic:spPr bwMode="auto">
                    <a:xfrm>
                      <a:off x="0" y="0"/>
                      <a:ext cx="5703442" cy="34782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9ED993" w14:textId="77777777" w:rsidR="00CB671B" w:rsidRDefault="00CB671B" w:rsidP="00CB671B">
      <w:pPr>
        <w:spacing w:after="0"/>
        <w:rPr>
          <w:szCs w:val="24"/>
        </w:rPr>
      </w:pPr>
    </w:p>
    <w:p w14:paraId="2E0D9CB1" w14:textId="77777777" w:rsidR="00CB671B" w:rsidRPr="005D6592" w:rsidRDefault="00CB671B" w:rsidP="00CB671B">
      <w:pPr>
        <w:spacing w:after="0"/>
        <w:rPr>
          <w:b/>
          <w:szCs w:val="24"/>
        </w:rPr>
      </w:pPr>
      <w:r w:rsidRPr="005D6592">
        <w:rPr>
          <w:b/>
          <w:szCs w:val="24"/>
        </w:rPr>
        <w:t xml:space="preserve">Supplementary Figure </w:t>
      </w:r>
      <w:r>
        <w:rPr>
          <w:b/>
          <w:szCs w:val="24"/>
        </w:rPr>
        <w:t>1</w:t>
      </w:r>
      <w:r w:rsidRPr="005D6592">
        <w:rPr>
          <w:b/>
          <w:szCs w:val="24"/>
        </w:rPr>
        <w:t>. O</w:t>
      </w:r>
      <w:r>
        <w:rPr>
          <w:b/>
          <w:szCs w:val="24"/>
        </w:rPr>
        <w:t>utline of the experimental workflow</w:t>
      </w:r>
      <w:r w:rsidRPr="005D6592">
        <w:rPr>
          <w:b/>
          <w:szCs w:val="24"/>
        </w:rPr>
        <w:t xml:space="preserve">. </w:t>
      </w:r>
    </w:p>
    <w:p w14:paraId="5B41064B" w14:textId="77777777" w:rsidR="00CB671B" w:rsidRPr="005D6592" w:rsidRDefault="00CB671B" w:rsidP="00C87D11">
      <w:pPr>
        <w:pStyle w:val="ListParagraph"/>
        <w:ind w:left="0"/>
        <w:rPr>
          <w:szCs w:val="24"/>
        </w:rPr>
      </w:pPr>
      <w:r w:rsidRPr="005D6592">
        <w:rPr>
          <w:b/>
          <w:i/>
          <w:szCs w:val="24"/>
        </w:rPr>
        <w:t>(a)</w:t>
      </w:r>
      <w:r w:rsidRPr="005D6592">
        <w:rPr>
          <w:i/>
          <w:szCs w:val="24"/>
        </w:rPr>
        <w:t xml:space="preserve"> </w:t>
      </w:r>
      <w:r>
        <w:rPr>
          <w:b/>
          <w:i/>
          <w:szCs w:val="24"/>
        </w:rPr>
        <w:t>Permeabilisation assay</w:t>
      </w:r>
      <w:r w:rsidRPr="005D6592">
        <w:rPr>
          <w:b/>
          <w:i/>
          <w:szCs w:val="24"/>
        </w:rPr>
        <w:t xml:space="preserve">. </w:t>
      </w:r>
      <w:r>
        <w:rPr>
          <w:i/>
          <w:szCs w:val="24"/>
        </w:rPr>
        <w:t>Cells were fixed in formalin for 24h, after which they were exposed to a permeabilisation agent</w:t>
      </w:r>
      <w:r w:rsidRPr="005D6592">
        <w:rPr>
          <w:i/>
          <w:szCs w:val="24"/>
        </w:rPr>
        <w:t xml:space="preserve"> </w:t>
      </w:r>
      <w:r>
        <w:rPr>
          <w:i/>
          <w:szCs w:val="24"/>
        </w:rPr>
        <w:t>for 25 min. Reactive formalin groups were blocked with BSA for 30 min. After this the cells were labelled with the SAv conjugate for</w:t>
      </w:r>
      <w:r w:rsidR="00C87D11">
        <w:rPr>
          <w:i/>
          <w:szCs w:val="24"/>
        </w:rPr>
        <w:t xml:space="preserve"> 30 min. Excess SAv conjugate was</w:t>
      </w:r>
      <w:r>
        <w:rPr>
          <w:i/>
          <w:szCs w:val="24"/>
        </w:rPr>
        <w:t xml:space="preserve"> washed away and cells analysed by flow cytometry.</w:t>
      </w:r>
      <w:r w:rsidRPr="005D6592">
        <w:rPr>
          <w:i/>
          <w:szCs w:val="24"/>
        </w:rPr>
        <w:t xml:space="preserve"> </w:t>
      </w:r>
      <w:r w:rsidRPr="005D6592">
        <w:rPr>
          <w:b/>
          <w:i/>
          <w:szCs w:val="24"/>
        </w:rPr>
        <w:t>(b)</w:t>
      </w:r>
      <w:r w:rsidRPr="005D6592">
        <w:rPr>
          <w:i/>
          <w:szCs w:val="24"/>
        </w:rPr>
        <w:t xml:space="preserve"> </w:t>
      </w:r>
      <w:r>
        <w:rPr>
          <w:b/>
          <w:i/>
          <w:szCs w:val="24"/>
        </w:rPr>
        <w:t xml:space="preserve">Nuclease assay. </w:t>
      </w:r>
      <w:r w:rsidRPr="00F04943">
        <w:rPr>
          <w:i/>
          <w:szCs w:val="24"/>
        </w:rPr>
        <w:t>Fixed cells were</w:t>
      </w:r>
      <w:r>
        <w:rPr>
          <w:i/>
          <w:szCs w:val="24"/>
        </w:rPr>
        <w:t xml:space="preserve"> permeabilised for 25 min, after which they were treated with Benzonase nuclease for 30 min. Cells were labelled with CytoPhase violet for 1 h and analysed by flow cytometry</w:t>
      </w:r>
      <w:r w:rsidRPr="005D6592">
        <w:rPr>
          <w:b/>
          <w:i/>
          <w:szCs w:val="24"/>
        </w:rPr>
        <w:t>.</w:t>
      </w:r>
    </w:p>
    <w:p w14:paraId="689B5CD6" w14:textId="77777777" w:rsidR="00CB671B" w:rsidRPr="005D6592" w:rsidRDefault="00CB671B" w:rsidP="00CB671B">
      <w:pPr>
        <w:pStyle w:val="ListParagraph"/>
        <w:jc w:val="center"/>
        <w:rPr>
          <w:szCs w:val="24"/>
        </w:rPr>
      </w:pPr>
    </w:p>
    <w:p w14:paraId="2B4565AB" w14:textId="5B8542AE" w:rsidR="00CB671B" w:rsidRPr="00896F9D" w:rsidRDefault="00896F9D" w:rsidP="00C87D11">
      <w:pPr>
        <w:pStyle w:val="ListParagraph"/>
        <w:ind w:left="0"/>
        <w:jc w:val="center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 wp14:anchorId="225C0074" wp14:editId="3990D498">
            <wp:extent cx="4366260" cy="6103634"/>
            <wp:effectExtent l="0" t="0" r="0" b="0"/>
            <wp:docPr id="3" name="Picture 3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graphical user interfac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7604" cy="6105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A287D" w14:textId="5E8452AA" w:rsidR="00CB671B" w:rsidRPr="005D6592" w:rsidRDefault="00CB671B" w:rsidP="00CB671B">
      <w:pPr>
        <w:spacing w:after="0"/>
        <w:rPr>
          <w:b/>
          <w:szCs w:val="24"/>
        </w:rPr>
      </w:pPr>
      <w:r w:rsidRPr="005D6592">
        <w:rPr>
          <w:b/>
          <w:szCs w:val="24"/>
        </w:rPr>
        <w:t xml:space="preserve">Supplementary Figure </w:t>
      </w:r>
      <w:r>
        <w:rPr>
          <w:b/>
          <w:szCs w:val="24"/>
        </w:rPr>
        <w:t>2</w:t>
      </w:r>
      <w:r w:rsidRPr="005D6592">
        <w:rPr>
          <w:b/>
          <w:szCs w:val="24"/>
        </w:rPr>
        <w:t xml:space="preserve">. Optimising host </w:t>
      </w:r>
      <w:r w:rsidR="00C01DC5">
        <w:rPr>
          <w:b/>
          <w:szCs w:val="24"/>
        </w:rPr>
        <w:t xml:space="preserve">DNA </w:t>
      </w:r>
      <w:r w:rsidRPr="005D6592">
        <w:rPr>
          <w:b/>
          <w:szCs w:val="24"/>
        </w:rPr>
        <w:t xml:space="preserve">depletion. </w:t>
      </w:r>
    </w:p>
    <w:p w14:paraId="3DD0154F" w14:textId="1E27ED5F" w:rsidR="00CB671B" w:rsidRPr="005D6592" w:rsidRDefault="00CB671B" w:rsidP="00CB671B">
      <w:pPr>
        <w:rPr>
          <w:rFonts w:cs="Times New Roman"/>
          <w:i/>
          <w:szCs w:val="24"/>
        </w:rPr>
      </w:pPr>
      <w:r w:rsidRPr="005D6592">
        <w:rPr>
          <w:b/>
          <w:i/>
          <w:szCs w:val="24"/>
        </w:rPr>
        <w:t>(a)</w:t>
      </w:r>
      <w:r w:rsidRPr="005D6592">
        <w:rPr>
          <w:i/>
          <w:szCs w:val="24"/>
        </w:rPr>
        <w:t xml:space="preserve"> </w:t>
      </w:r>
      <w:r w:rsidRPr="005D6592">
        <w:rPr>
          <w:b/>
          <w:i/>
          <w:szCs w:val="24"/>
        </w:rPr>
        <w:t xml:space="preserve">Saponin titration. </w:t>
      </w:r>
      <w:r w:rsidRPr="005D6592">
        <w:rPr>
          <w:i/>
          <w:szCs w:val="24"/>
        </w:rPr>
        <w:t>Histogram for Cy5</w:t>
      </w:r>
      <w:r>
        <w:rPr>
          <w:i/>
          <w:szCs w:val="24"/>
        </w:rPr>
        <w:t xml:space="preserve"> </w:t>
      </w:r>
      <w:r w:rsidRPr="005D6592">
        <w:rPr>
          <w:i/>
          <w:szCs w:val="24"/>
        </w:rPr>
        <w:t xml:space="preserve">fluorescence intensity. E. coli cells were permeabilised with increasing concentrations of Saponin. Saponin treated cells showed no increase in fluorescence intensity even with 10X higher concentrations.  </w:t>
      </w:r>
      <w:r w:rsidRPr="005D6592">
        <w:rPr>
          <w:b/>
          <w:i/>
          <w:szCs w:val="24"/>
        </w:rPr>
        <w:t>(b)</w:t>
      </w:r>
      <w:r w:rsidRPr="005D6592">
        <w:rPr>
          <w:i/>
          <w:szCs w:val="24"/>
        </w:rPr>
        <w:t xml:space="preserve"> </w:t>
      </w:r>
      <w:r w:rsidRPr="005D6592">
        <w:rPr>
          <w:b/>
          <w:i/>
          <w:szCs w:val="24"/>
        </w:rPr>
        <w:t xml:space="preserve">DNAse screen. </w:t>
      </w:r>
      <w:r w:rsidRPr="005D6592">
        <w:rPr>
          <w:i/>
          <w:szCs w:val="24"/>
        </w:rPr>
        <w:t xml:space="preserve">5 commercially available DNAses were tested for their capacity </w:t>
      </w:r>
      <w:r w:rsidR="00AA0BDB" w:rsidRPr="00AA0BDB">
        <w:rPr>
          <w:i/>
          <w:color w:val="FF0000"/>
          <w:szCs w:val="24"/>
        </w:rPr>
        <w:t xml:space="preserve">to </w:t>
      </w:r>
      <w:r w:rsidRPr="00AA0BDB">
        <w:rPr>
          <w:i/>
          <w:color w:val="FF0000"/>
          <w:szCs w:val="24"/>
        </w:rPr>
        <w:t>deplet</w:t>
      </w:r>
      <w:r w:rsidR="00AA0BDB" w:rsidRPr="00AA0BDB">
        <w:rPr>
          <w:i/>
          <w:color w:val="FF0000"/>
          <w:szCs w:val="24"/>
        </w:rPr>
        <w:t>e</w:t>
      </w:r>
      <w:r w:rsidRPr="00AA0BDB">
        <w:rPr>
          <w:i/>
          <w:color w:val="FF0000"/>
          <w:szCs w:val="24"/>
        </w:rPr>
        <w:t xml:space="preserve"> </w:t>
      </w:r>
      <w:r w:rsidRPr="005D6592">
        <w:rPr>
          <w:i/>
          <w:szCs w:val="24"/>
        </w:rPr>
        <w:t>DNA from 5 x 10</w:t>
      </w:r>
      <w:r w:rsidRPr="005D6592">
        <w:rPr>
          <w:i/>
          <w:szCs w:val="24"/>
          <w:vertAlign w:val="superscript"/>
        </w:rPr>
        <w:t>6</w:t>
      </w:r>
      <w:r w:rsidRPr="005D6592">
        <w:rPr>
          <w:i/>
          <w:szCs w:val="24"/>
        </w:rPr>
        <w:t xml:space="preserve"> FF 4T1 cells. Bar plot shows DNA </w:t>
      </w:r>
      <w:r w:rsidRPr="00AA0BDB">
        <w:rPr>
          <w:i/>
          <w:color w:val="FF0000"/>
          <w:szCs w:val="24"/>
        </w:rPr>
        <w:t>yield</w:t>
      </w:r>
      <w:r w:rsidRPr="005D6592">
        <w:rPr>
          <w:i/>
          <w:szCs w:val="24"/>
        </w:rPr>
        <w:t xml:space="preserve"> after DNA purification. Benzonase was the most cost-effective strategy. </w:t>
      </w:r>
    </w:p>
    <w:p w14:paraId="72CE3FA1" w14:textId="77777777" w:rsidR="00CB671B" w:rsidRPr="005D6592" w:rsidRDefault="00CB671B" w:rsidP="00CB671B"/>
    <w:p w14:paraId="6D6BEBB6" w14:textId="77777777" w:rsidR="00CB671B" w:rsidRPr="005D6592" w:rsidRDefault="00CB671B" w:rsidP="00CB671B">
      <w:pPr>
        <w:jc w:val="center"/>
      </w:pPr>
      <w:r w:rsidRPr="005D6592">
        <w:rPr>
          <w:noProof/>
          <w:lang w:val="en-IE" w:eastAsia="en-IE"/>
        </w:rPr>
        <w:drawing>
          <wp:inline distT="0" distB="0" distL="0" distR="0" wp14:anchorId="4DC84DD6" wp14:editId="185EE2B6">
            <wp:extent cx="4999153" cy="545639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v-PE results for sFigure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9153" cy="5456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AA2C7" w14:textId="043898EC" w:rsidR="003B64F7" w:rsidRDefault="00CB671B">
      <w:r w:rsidRPr="005D6592">
        <w:rPr>
          <w:b/>
          <w:i/>
        </w:rPr>
        <w:t xml:space="preserve">Supplementary Figure </w:t>
      </w:r>
      <w:r>
        <w:rPr>
          <w:b/>
          <w:i/>
        </w:rPr>
        <w:t>3</w:t>
      </w:r>
      <w:r w:rsidRPr="005D6592">
        <w:rPr>
          <w:b/>
          <w:i/>
        </w:rPr>
        <w:t xml:space="preserve">.  Internalisation of a 360KDa molecule. </w:t>
      </w:r>
      <w:r w:rsidRPr="005D6592">
        <w:rPr>
          <w:i/>
        </w:rPr>
        <w:t xml:space="preserve">4T1 cells were permeabilised and labelled with SAv-PE (360 KDa). An overnight incubation with Triton X served as positive control (top right). </w:t>
      </w:r>
      <w:r w:rsidRPr="00AA0BDB">
        <w:rPr>
          <w:i/>
          <w:color w:val="FF0000"/>
        </w:rPr>
        <w:t>W</w:t>
      </w:r>
      <w:r w:rsidR="00AA0BDB" w:rsidRPr="00AA0BDB">
        <w:rPr>
          <w:i/>
          <w:color w:val="FF0000"/>
        </w:rPr>
        <w:t>ith</w:t>
      </w:r>
      <w:r w:rsidRPr="005D6592">
        <w:rPr>
          <w:i/>
        </w:rPr>
        <w:t xml:space="preserve"> all permeabilisation agents tested for SAv-Cy5 (60 KDa) the overall increase in signal for SAv-PE was much lower than that observed for SAv-Cy5. Under the studied conditions (30 min permeabilisation) larger pores are induced by Saponin (25%) and Digitonin (10.8%), while the signal from cells treated with Tween 20 (6%) and Triton X (2%) resembled </w:t>
      </w:r>
      <w:r w:rsidRPr="00AA0BDB">
        <w:rPr>
          <w:i/>
          <w:color w:val="FF0000"/>
        </w:rPr>
        <w:t>tha</w:t>
      </w:r>
      <w:r w:rsidR="00AA0BDB" w:rsidRPr="00AA0BDB">
        <w:rPr>
          <w:i/>
          <w:color w:val="FF0000"/>
        </w:rPr>
        <w:t>t</w:t>
      </w:r>
      <w:r w:rsidRPr="005D6592">
        <w:rPr>
          <w:i/>
        </w:rPr>
        <w:t xml:space="preserve"> of untreated cells (3.4% SAv-PE+). </w:t>
      </w:r>
    </w:p>
    <w:sectPr w:rsidR="003B64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71B"/>
    <w:rsid w:val="0014445A"/>
    <w:rsid w:val="001B2B2C"/>
    <w:rsid w:val="0032132E"/>
    <w:rsid w:val="003B64F7"/>
    <w:rsid w:val="00550560"/>
    <w:rsid w:val="008451CC"/>
    <w:rsid w:val="008605E4"/>
    <w:rsid w:val="00896F9D"/>
    <w:rsid w:val="00AA0BDB"/>
    <w:rsid w:val="00C01DC5"/>
    <w:rsid w:val="00C87D11"/>
    <w:rsid w:val="00CB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2AF99"/>
  <w15:chartTrackingRefBased/>
  <w15:docId w15:val="{EE0B5503-388A-4535-9550-077AF8657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71B"/>
    <w:pPr>
      <w:spacing w:before="240" w:after="240" w:line="480" w:lineRule="auto"/>
      <w:jc w:val="both"/>
    </w:pPr>
    <w:rPr>
      <w:rFonts w:ascii="Times New Roman" w:eastAsia="Calibri" w:hAnsi="Times New Roman"/>
      <w:sz w:val="24"/>
      <w:lang w:val="en-GB"/>
    </w:rPr>
  </w:style>
  <w:style w:type="paragraph" w:styleId="Heading2">
    <w:name w:val="heading 2"/>
    <w:basedOn w:val="Subtitle"/>
    <w:next w:val="Normal"/>
    <w:link w:val="Heading2Char"/>
    <w:uiPriority w:val="9"/>
    <w:unhideWhenUsed/>
    <w:qFormat/>
    <w:rsid w:val="00CB671B"/>
    <w:pPr>
      <w:numPr>
        <w:ilvl w:val="0"/>
      </w:numPr>
      <w:spacing w:before="360" w:after="240"/>
      <w:jc w:val="left"/>
      <w:outlineLvl w:val="1"/>
    </w:pPr>
    <w:rPr>
      <w:rFonts w:ascii="Times New Roman" w:eastAsia="Calibri" w:hAnsi="Times New Roman" w:cstheme="majorBidi"/>
      <w:b/>
      <w:caps/>
      <w:color w:val="auto"/>
      <w:spacing w:val="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B671B"/>
    <w:rPr>
      <w:rFonts w:ascii="Times New Roman" w:eastAsia="Calibri" w:hAnsi="Times New Roman" w:cstheme="majorBidi"/>
      <w:b/>
      <w:caps/>
      <w:sz w:val="28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00CB671B"/>
    <w:pPr>
      <w:ind w:left="720"/>
      <w:contextualSpacing/>
    </w:pPr>
    <w:rPr>
      <w:rFonts w:cs="Times New Roman"/>
    </w:rPr>
  </w:style>
  <w:style w:type="character" w:customStyle="1" w:styleId="ListParagraphChar">
    <w:name w:val="List Paragraph Char"/>
    <w:link w:val="ListParagraph"/>
    <w:uiPriority w:val="34"/>
    <w:qFormat/>
    <w:rsid w:val="00CB671B"/>
    <w:rPr>
      <w:rFonts w:ascii="Times New Roman" w:eastAsia="Calibri" w:hAnsi="Times New Roman" w:cs="Times New Roman"/>
      <w:sz w:val="24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671B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B671B"/>
    <w:rPr>
      <w:rFonts w:eastAsiaTheme="minorEastAsia"/>
      <w:color w:val="5A5A5A" w:themeColor="text1" w:themeTint="A5"/>
      <w:spacing w:val="15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6F9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6F9D"/>
    <w:rPr>
      <w:rFonts w:ascii="Segoe UI" w:eastAsia="Calibr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284</Words>
  <Characters>1485</Characters>
  <Application>Microsoft Office Word</Application>
  <DocSecurity>0</DocSecurity>
  <Lines>78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Cork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Yensi</dc:creator>
  <cp:keywords/>
  <dc:description/>
  <cp:lastModifiedBy>Yensi Flores</cp:lastModifiedBy>
  <cp:revision>2</cp:revision>
  <cp:lastPrinted>2020-08-06T11:09:00Z</cp:lastPrinted>
  <dcterms:created xsi:type="dcterms:W3CDTF">2020-10-02T11:53:00Z</dcterms:created>
  <dcterms:modified xsi:type="dcterms:W3CDTF">2020-10-02T11:53:00Z</dcterms:modified>
</cp:coreProperties>
</file>