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ED4B2" w14:textId="39FD05DF" w:rsidR="00BE306B" w:rsidRPr="00BE306B" w:rsidRDefault="00BE306B" w:rsidP="0057288D">
      <w:pPr>
        <w:spacing w:line="240" w:lineRule="auto"/>
        <w:jc w:val="center"/>
        <w:rPr>
          <w:rFonts w:cs="Times New Roman"/>
          <w:b/>
          <w:bCs/>
          <w:sz w:val="40"/>
          <w:szCs w:val="40"/>
          <w:lang w:val="en-GB"/>
        </w:rPr>
      </w:pPr>
      <w:r w:rsidRPr="00BE306B">
        <w:rPr>
          <w:rFonts w:cs="Times New Roman"/>
          <w:b/>
          <w:bCs/>
          <w:sz w:val="40"/>
          <w:szCs w:val="40"/>
          <w:lang w:val="en-GB"/>
        </w:rPr>
        <w:t xml:space="preserve">Supplementary </w:t>
      </w:r>
      <w:r>
        <w:rPr>
          <w:rFonts w:cs="Times New Roman"/>
          <w:b/>
          <w:bCs/>
          <w:sz w:val="40"/>
          <w:szCs w:val="40"/>
          <w:lang w:val="en-GB"/>
        </w:rPr>
        <w:t>I</w:t>
      </w:r>
      <w:r w:rsidRPr="00BE306B">
        <w:rPr>
          <w:rFonts w:cs="Times New Roman"/>
          <w:b/>
          <w:bCs/>
          <w:sz w:val="40"/>
          <w:szCs w:val="40"/>
          <w:lang w:val="en-GB"/>
        </w:rPr>
        <w:t>nformation</w:t>
      </w:r>
      <w:r w:rsidR="0057288D">
        <w:rPr>
          <w:rFonts w:cs="Times New Roman"/>
          <w:b/>
          <w:bCs/>
          <w:sz w:val="40"/>
          <w:szCs w:val="40"/>
          <w:lang w:val="en-GB"/>
        </w:rPr>
        <w:br/>
      </w:r>
    </w:p>
    <w:p w14:paraId="423D3098" w14:textId="77777777" w:rsidR="002C4FA2" w:rsidRDefault="002C4FA2" w:rsidP="002C4FA2">
      <w:pPr>
        <w:jc w:val="center"/>
        <w:rPr>
          <w:rFonts w:cs="Times New Roman"/>
          <w:sz w:val="36"/>
          <w:szCs w:val="36"/>
          <w:lang w:val="en-GB"/>
        </w:rPr>
      </w:pPr>
      <w:r>
        <w:rPr>
          <w:rFonts w:cs="Times New Roman"/>
          <w:sz w:val="36"/>
          <w:szCs w:val="36"/>
          <w:lang w:val="en-GB"/>
        </w:rPr>
        <w:t>Nanoscale chemical h</w:t>
      </w:r>
      <w:r w:rsidRPr="0088429E">
        <w:rPr>
          <w:rFonts w:cs="Times New Roman"/>
          <w:sz w:val="36"/>
          <w:szCs w:val="36"/>
          <w:lang w:val="en-GB"/>
        </w:rPr>
        <w:t xml:space="preserve">eterogeneities </w:t>
      </w:r>
      <w:r>
        <w:rPr>
          <w:rFonts w:cs="Times New Roman"/>
          <w:sz w:val="36"/>
          <w:szCs w:val="36"/>
          <w:lang w:val="en-GB"/>
        </w:rPr>
        <w:t>control magma viscosity and failure</w:t>
      </w:r>
    </w:p>
    <w:p w14:paraId="7556C964" w14:textId="77777777" w:rsidR="00CA63F1" w:rsidRPr="00C97BA2" w:rsidRDefault="00CA63F1" w:rsidP="00C97BA2">
      <w:pPr>
        <w:rPr>
          <w:rFonts w:cs="Times New Roman"/>
          <w:sz w:val="22"/>
          <w:lang w:val="en-GB"/>
        </w:rPr>
      </w:pPr>
    </w:p>
    <w:p w14:paraId="4CDEF648" w14:textId="613699CE" w:rsidR="00C97BA2" w:rsidRPr="00C53ACC" w:rsidRDefault="00C97BA2" w:rsidP="00C97BA2">
      <w:pPr>
        <w:pStyle w:val="Heading2"/>
        <w:spacing w:line="480" w:lineRule="auto"/>
        <w:rPr>
          <w:rFonts w:eastAsiaTheme="minorEastAsia" w:cs="Times New Roman"/>
          <w:lang w:val="en-GB"/>
        </w:rPr>
      </w:pPr>
      <w:r w:rsidRPr="00C53ACC">
        <w:rPr>
          <w:rFonts w:eastAsiaTheme="minorEastAsia" w:cs="Times New Roman"/>
          <w:lang w:val="en-GB"/>
        </w:rPr>
        <w:t>S</w:t>
      </w:r>
      <w:r w:rsidR="00573BC9">
        <w:rPr>
          <w:rFonts w:eastAsiaTheme="minorEastAsia" w:cs="Times New Roman"/>
          <w:lang w:val="en-GB"/>
        </w:rPr>
        <w:t>.</w:t>
      </w:r>
      <w:r w:rsidR="006E4755">
        <w:rPr>
          <w:rFonts w:eastAsiaTheme="minorEastAsia" w:cs="Times New Roman"/>
          <w:lang w:val="en-GB"/>
        </w:rPr>
        <w:t>1</w:t>
      </w:r>
      <w:r w:rsidRPr="00C53ACC">
        <w:rPr>
          <w:rFonts w:eastAsiaTheme="minorEastAsia" w:cs="Times New Roman"/>
          <w:lang w:val="en-GB"/>
        </w:rPr>
        <w:t xml:space="preserve"> Preliminary characterization of the glasses</w:t>
      </w:r>
    </w:p>
    <w:p w14:paraId="209B0ECF" w14:textId="3B8DE322" w:rsidR="00C97BA2" w:rsidRPr="00C53ACC" w:rsidRDefault="00C97BA2" w:rsidP="00C97BA2">
      <w:pPr>
        <w:spacing w:line="480" w:lineRule="auto"/>
        <w:ind w:firstLine="720"/>
        <w:rPr>
          <w:rFonts w:cs="Times New Roman"/>
          <w:lang w:val="en-GB"/>
        </w:rPr>
      </w:pPr>
      <w:r w:rsidRPr="00C53ACC">
        <w:rPr>
          <w:rFonts w:cs="Times New Roman"/>
          <w:lang w:val="en-GB"/>
        </w:rPr>
        <w:t xml:space="preserve">In Table </w:t>
      </w:r>
      <w:r w:rsidR="0057288D">
        <w:rPr>
          <w:rFonts w:cs="Times New Roman"/>
          <w:lang w:val="en-GB"/>
        </w:rPr>
        <w:t>S</w:t>
      </w:r>
      <w:r w:rsidRPr="00C53ACC">
        <w:rPr>
          <w:rFonts w:cs="Times New Roman"/>
          <w:lang w:val="en-GB"/>
        </w:rPr>
        <w:t xml:space="preserve">1, we present </w:t>
      </w:r>
      <w:r w:rsidR="005270C9">
        <w:rPr>
          <w:rFonts w:cs="Times New Roman"/>
          <w:lang w:val="en-GB"/>
        </w:rPr>
        <w:t>microprobe</w:t>
      </w:r>
      <w:r w:rsidR="005270C9" w:rsidRPr="00C53ACC">
        <w:rPr>
          <w:rFonts w:cs="Times New Roman"/>
          <w:lang w:val="en-GB"/>
        </w:rPr>
        <w:t xml:space="preserve"> </w:t>
      </w:r>
      <w:r w:rsidRPr="00C53ACC">
        <w:rPr>
          <w:rFonts w:cs="Times New Roman"/>
          <w:lang w:val="en-GB"/>
        </w:rPr>
        <w:t xml:space="preserve">chemical analysis results of our samples, alongside chemistry data from relevant literature </w:t>
      </w:r>
      <w:r w:rsidRPr="00C53ACC">
        <w:rPr>
          <w:rFonts w:cs="Times New Roman"/>
          <w:lang w:val="en-GB"/>
        </w:rPr>
        <w:fldChar w:fldCharType="begin" w:fldLock="1"/>
      </w:r>
      <w:r w:rsidR="0002472C">
        <w:rPr>
          <w:rFonts w:cs="Times New Roman"/>
          <w:lang w:val="en-GB"/>
        </w:rPr>
        <w:instrText xml:space="preserve">ADDIN CSL_CITATION {"citationItems":[{"id":"ITEM-1","itemData":{"DOI":"10.1038/s43247-022-00573-9","ISSN":"2662-4435","abstract":"Recent petrological and experimental studies have proposed that explosive volcanism may originate from the formation of nanoscale crystals in magma and the resultant ductile–brittle transition. However, the rheology of magma with quantified volume fractions of nanoscale crystals has not been investigated before, and thus, the formation of nanoscale crystals causing magma fragmentation that explains the origin of explosive eruptions is not conclusive. Here, we investigate the rheology of andesite magma with nanoscale crystals (magnetite). For this, a glass fibre elongation experimental apparatus with a heating furnace was developed at the synchrotron radiation X-ray system (SPring-8). During melt elongation, we observed the formation of crystals using small-angle X-ray scattering and wide-angle X-ray diffraction. Our experimental data demonstrate that magma viscosity increases with the formation of nanoscale crystals, but the degree of the increase is much lower than that predicted from analogue materials. Finally, we conclude that nanocrystal formation in intermediate composition magmas cannot explain rheological transition and other mechanisms such as nanocrystal agglomeration (not observed in our experiments) and/or heterogeneous nucleation of gas bubbles on nanocrystals are required to induce mafic to intermediate explosive volcanisms.","author":[{"dropping-particle":"","family":"Okumura","given":"Satoshi","non-dropping-particle":"","parse-names":false,"suffix":""},{"dropping-particle":"","family":"Uesugi","given":"Kentaro","non-dropping-particle":"","parse-names":false,"suffix":""},{"dropping-particle":"","family":"Goto","given":"Akio","non-dropping-particle":"","parse-names":false,"suffix":""},{"dropping-particle":"","family":"Sakamaki","given":"Tatsuya","non-dropping-particle":"","parse-names":false,"suffix":""},{"dropping-particle":"","family":"Matsumoto","given":"Kazuhisa","non-dropping-particle":"","parse-names":false,"suffix":""},{"dropping-particle":"","family":"Takeuchi","given":"Akihisa","non-dropping-particle":"","parse-names":false,"suffix":""},{"dropping-particle":"","family":"Miyake","given":"Akira","non-dropping-particle":"","parse-names":false,"suffix":""}],"container-title":"Communications Earth &amp; Environment","id":"ITEM-1","issue":"1","issued":{"date-parts":[["2022","10","17"]]},"page":"241","publisher":"Springer US","title":"Rheology of nanocrystal-bearing andesite magma and its roles in explosive volcanism","type":"article-journal","volume":"3"},"uris":["http://www.mendeley.com/documents/?uuid=ba632f4f-b735-454e-9abd-f2cfca7a41b8"]},{"id":"ITEM-2","itemData":{"DOI":"10.1016/j.chemgeo.2006.01.007","ISSN":"00092541","abstract":"We present new viscosity measurements for melts spanning a wide range of anhydrous compositions including: rhyolite, trachyte, moldavite, andesite, latite, pantellerite, basalt and basanite. Micropenetration and concentric cylinder viscometry measurements cover a viscosity range of 10- 1 to 1012 Pas and a temperature range from 700 to 1650 °C. These new measurements, combined with other published data, provide a high-quality database comprising </w:instrText>
      </w:r>
      <w:r w:rsidR="0002472C">
        <w:rPr>
          <w:rFonts w:ascii="Cambria Math" w:hAnsi="Cambria Math" w:cs="Cambria Math"/>
          <w:lang w:val="en-GB"/>
        </w:rPr>
        <w:instrText>∼</w:instrText>
      </w:r>
      <w:r w:rsidR="0002472C">
        <w:rPr>
          <w:rFonts w:cs="Times New Roman"/>
          <w:lang w:val="en-GB"/>
        </w:rPr>
        <w:instrText xml:space="preserve"> 800 experimental data on 44 well-characterized melt compositions. This database is used to recalibrate the model proposed by Giordano and Dingwell [Giordano, D., Dingwell, D.B., 2003a. Non-Arrhenian multicomponent melt viscosity: a model. Earth Planet. Sci. Lett. 208, 337-349] for predicting the viscosity of natural silicate melts. The present contribution clearly shows that: (1) the viscosity (η)-temperature relationship of natural silicate liquids is very well represented by the VFT equation [log η = A + B / (T - C)] over the full range of viscosity considered here, (2) the use of a constant high-T limiting value of melt viscosity (e.g., A) is fully consistent with the experimental data, (3) there are 3 different compositional suites (peralkaline, metaluminous and peraluminous) that exhibit different patterns in viscosity, (4) the viscosity of metaluminous liquids is well described by a simple mathematical expression involving the compositional parameter (SM) but the compositional dependence of viscosity for peralkaline and peraluminous melts is not fully controlled by SM. For these extreme compositions we refitted the model using a temperature-dependent parameter based on the excess of alkalies relative to alumina (e.g., AE/SM). The recalibrated model reproduces the entire database to within 5% relative error (e.g., RMSE of 0.45 logunits). © 2006 Elsevier B.V. All rights reserved.","author":[{"dropping-particle":"","family":"Giordano","given":"D.","non-dropping-particle":"","parse-names":false,"suffix":""},{"dropping-particle":"","family":"Mangiacapra","given":"A.","non-dropping-particle":"","parse-names":false,"suffix":""},{"dropping-particle":"","family":"Potuzak","given":"M.","non-dropping-particle":"","parse-names":false,"suffix":""},{"dropping-particle":"","family":"Russell","given":"J. K.","non-dropping-particle":"","parse-names":false,"suffix":""},{"dropping-particle":"","family":"Romano","given":"C.","non-dropping-particle":"","parse-names":false,"suffix":""},{"dropping-particle":"","family":"Dingwell","given":"D. B.","non-dropping-particle":"","parse-names":false,"suffix":""},{"dropping-particle":"","family":"Muro","given":"A.","non-dropping-particle":"Di","parse-names":false,"suffix":""}],"container-title":"Chemical Geology","id":"ITEM-2","issue":"1-3","issued":{"date-parts":[["2006"]]},"page":"42-56","title":"An expanded non-Arrhenian model for silicate melt viscosity: A treatment for metaluminous, peraluminous and peralkaline liquids","type":"article-journal","volume":"229"},"uris":["http://www.mendeley.com/documents/?uuid=91ceee87-71f2-4dc6-85c1-1f39e7a33ffb"]},{"id":"ITEM-3","itemData":{"DOI":"10.1016/S0016-7037(02)01139-0","ISBN":"0016-7037","ISSN":"00167037","abstract":"The effect of pressure and composition on the viscosity of both anhydrous and hydrous andesitic melts was studied in the viscosity range of 108 to 1011.5 Pa · s using parallel plate viscometry. The pressure dependence of the viscosity of three synthetic, iron-free liquids (andesite analogs) containing 0.0, 1.06, and 1.96 wt.% H2O, respectively, was measured from 100 to 300 MPa using a high-P-T viscometer. These results, combined with those from Richet et al. (1996), indicate that viscosities of anhydrous andesitic melts are independent of pressure, whereas viscosities of hydrous melts slightly increase with increasing pressure. This trend is consistent with an increased degree of depolymerization in the hydrous melts. Compositional effects on the viscosity were studied by comparing iron-free and iron-bearing compositions with similar degrees of depolymerization. During experiments at atmospheric and at elevated pressures (100 to 300 MPa), the viscosity of iron-bearing anhydrous melts preequilibrated in air continuously increased, and the samples became paramagnetic. Analysis of these samples by transmission electron microscopy showed a homogeneous distribution of crystals (probably magnetite) with sizes in the range of 10 to 50 nm. No significant difference in the volume fractions of crystals was found in samples after annealing for 170 to 830 min at temperatures ranging from 970 to 1122 K. An iron-bearing andesite containing 1.88 wt.% H2O, which was synthesized at intrinsic fO2 conditions in an internally heated pressure vessel, showed a similar viscosity behavior as the anhydrous melts. The continuous increase in viscosity at a constant temperature is attributed to changes of the melt structure due to exsolution of iron-rich phases. By extrapolating the time evolution of viscosity down to the time at which the run temperature was reached, for both the anhydrous (at 1055 K) and the hydrous (at 860 K) iron-bearing andesite, the viscosity is 0.7 log units lower than predicted by the model of Richet et al. (1996). This may be explained by differences in structural properties of Fe2+ and Fe3+ and their substitutes Mg2+, Ca2+, Al3+, which were used in the analogue composition. The effect of iron redox state on the viscosity of anhydrous, synthetic andesite melts was studied at ambient pressure using a dilatometer. Reduced iron-bearing samples were produced by annealing melts in graphite crucibles in an Ar/CO atmosphere for different run times. In contrast t…","author":[{"dropping-particle":"","family":"Liebske","given":"Christian","non-dropping-particle":"","parse-names":false,"suffix":""},{"dropping-particle":"","family":"Behrens","given":"H.","non-dropping-particle":"","parse-names":false,"suffix":""},{"dropping-particle":"","family":"Holtz","given":"François","non-dropping-particle":"","parse-names":false,"suffix":""},{"dropping-particle":"","family":"Lange","given":"Rebecca A.","non-dropping-particle":"","parse-names":false,"suffix":""}],"container-title":"Geochimica et Cosmochimica Acta","id":"ITEM-3","issue":"3","issued":{"date-parts":[["2003","2"]]},"page":"473-485","title":"The influence of pressure and composition on the viscosity of andesitic melts","type":"article-journal","volume":"67"},"uris":["http://www.mendeley.com/documents/?uuid=a402662d-aa6e-4f17-9595-499e543c8289"]},{"id":"ITEM-4","itemData":{"DOI":"10.1016/0009-2541(95)00172-7","ISSN":"00092541","abstract":"The viscosity of a synthetic andesite-like melt has been measured between 1010 and 1014 P for water contents in the range 0-3.5 wt%. The very slow kinetics of water exsolution over this viscosity range allowed the measurements to be made at 1 bar with a high precision. After a steep viscosity decrease of &gt; 5 orders of magnitude for 1 wt% H2O, an additional 2.5 wt% H2O causes a further viscosity decrease of only 2 orders of magnitude. These viscosity decreases are qualitatively similar to those observed previously for more silica-rich compositions. The new data join smoothly with available high-temperature measurements made at high pressures on water-bearing andesite melts. Because the intrinsic effects of pressure are as small for water-bearing as for water-free samples, the depressing effect of water on the viscosity of natural andesite melts can be estimated. Changes in water speciation as a function of either temperature or pressure do not seem to have marked effects on the viscosity. Although quantitative applications are not yet possible, the configurational entropy theory accounts qualitatively for these features.","author":[{"dropping-particle":"","family":"Richet","given":"P.","non-dropping-particle":"","parse-names":false,"suffix":""},{"dropping-particle":"","family":"Lejeune","given":"Anne Marie Marie","non-dropping-particle":"","parse-names":false,"suffix":""},{"dropping-particle":"","family":"Holtz","given":"François","non-dropping-particle":"","parse-names":false,"suffix":""},{"dropping-particle":"","family":"Roux","given":"Jacques","non-dropping-particle":"","parse-names":false,"suffix":""}],"container-title":"Chemical Geology","id":"ITEM-4","issue":"1-4","issued":{"date-parts":[["1996"]]},"page":"185-197","title":"Water and the viscosity of andesite melts","type":"article-journal","volume":"128"},"uris":["http://www.mendeley.com/documents/?uuid=de9bbea4-ffc5-4180-9a78-571201eca83a"]},{"id":"ITEM-5","itemData":{"DOI":"10.1007/BF00698324","ISSN":"00107999","abstract":"The heat capacities of a rhyolite and an andesite glass and liquid have been investigated from relative-enthalpy measurements made between 400 and 1800 K. For the glass phases, the experimental data agree with empirical models of calculation of the heat capacity. For the liquid phases, the agreement is less good owing to strong interactions between alkali metals and aluminum, which are not currently accounted for by empirical heat capacity models. The viscosity of both liquids has been measured from the glass transition to 1800 K. The temperature dependence of the viscosity is quantitatively related to the configurational heat capacity (determined calorimetrically) through the configurational entropy theory of relaxation processes. For both rhyolite and andesite melts, the heat capacity and viscosity do not differ markedly from those obtained by additive modeling from components with mineral compositions. © 1993 Springer-Verlag.","author":[{"dropping-particle":"","family":"Neuville","given":"D. R.","non-dropping-particle":"","parse-names":false,"suffix":""},{"dropping-particle":"","family":"Courtial","given":"Philippe","non-dropping-particle":"","parse-names":false,"suffix":""},{"dropping-particle":"","family":"Dingwell","given":"D. B.","non-dropping-particle":"","parse-names":false,"suffix":""},{"dropping-particle":"","family":"Richet","given":"P.","non-dropping-particle":"","parse-names":false,"suffix":""}],"container-title":"Contributions to Mineralogy and Petrology","id":"ITEM-5","issue":"4","issued":{"date-parts":[["1993"]]},"page":"572-581","title":"Thermodynamic and rheological properties of rhyolite and andesite melts","type":"article-journal","volume":"113"},"uris":["http://www.mendeley.com/documents/?uuid=ceb0f91d-ec14-4a5e-8778-84c66734f944"]}],"mendeley":{"formattedCitation":"&lt;sup&gt;1–5&lt;/sup&gt;","plainTextFormattedCitation":"1–5","previouslyFormattedCitation":"&lt;sup&gt;1–5&lt;/sup&gt;"},"properties":{"noteIndex":0},"schema":"https://github.com/citation-style-language/schema/raw/master/csl-citation.json"}</w:instrText>
      </w:r>
      <w:r w:rsidRPr="00C53ACC">
        <w:rPr>
          <w:rFonts w:cs="Times New Roman"/>
          <w:lang w:val="en-GB"/>
        </w:rPr>
        <w:fldChar w:fldCharType="separate"/>
      </w:r>
      <w:r w:rsidR="0002472C" w:rsidRPr="0002472C">
        <w:rPr>
          <w:rFonts w:cs="Times New Roman"/>
          <w:noProof/>
          <w:vertAlign w:val="superscript"/>
          <w:lang w:val="en-GB"/>
        </w:rPr>
        <w:t>1–5</w:t>
      </w:r>
      <w:r w:rsidRPr="00C53ACC">
        <w:rPr>
          <w:rFonts w:cs="Times New Roman"/>
          <w:lang w:val="en-GB"/>
        </w:rPr>
        <w:fldChar w:fldCharType="end"/>
      </w:r>
      <w:r w:rsidRPr="00C53ACC">
        <w:rPr>
          <w:rFonts w:cs="Times New Roman"/>
          <w:lang w:val="en-GB"/>
        </w:rPr>
        <w:t xml:space="preserve">, calculated NBO/T for each sample after </w:t>
      </w:r>
      <w:r w:rsidRPr="00C53ACC">
        <w:rPr>
          <w:rFonts w:cs="Times New Roman"/>
          <w:lang w:val="en-GB"/>
        </w:rPr>
        <w:fldChar w:fldCharType="begin" w:fldLock="1"/>
      </w:r>
      <w:r w:rsidR="0002472C">
        <w:rPr>
          <w:rFonts w:cs="Times New Roman"/>
          <w:lang w:val="en-GB"/>
        </w:rPr>
        <w:instrText>ADDIN CSL_CITATION {"citationItems":[{"id":"ITEM-1","itemData":{"DOI":"10.1029/2018JD028679","ISSN":"21698996","abstract":"Radiative transfer models used in remote sensing and hazard assessment of volcanic ash require knowledge of ash optical parameters. Here we characterize the bulk and glass compositions of a representative suite of volcanic ash samples with known complex refractive indices (n + ik, where n is the real part and k is the imaginary part). Using a linear regression model, we develop a new parameterization allowing the complex refractive index of volcanic ash to be estimated from ash SiO 2 content or ratio of nonbridging oxygens to tetrahedrally coordinated cations (NBO/T). At visible wavelengths, n correlates better with bulk than with glass composition (both SiO 2 and NBO/T), and k correlates better with SiO 2 content than with NBO/T. Over a broader spectral range (0.4–19 μm), bulk correlates better than glass composition, and NBO/T generally correlates better than SiO 2 content for both parts of the refractive index. In order to understand the impacts of our new parameterization on satellite retrievals, we compared Infrared Atmospheric Sounding Interferometer satellite (wavelengths 3.62–15.5 μm) mass loading retrievals using our new approach with retrievals that assumed a generic (Eyjafjallajökull) ash refractive index. There are significant differences in mass loading using our calculated indices specific to ash type rather than a generic index. Where mass loadings increase, there is often improvement in retrieval quality (corresponding to cost function decrease). This new parameterization of refractive index variation with ash composition will help to improve remote-sensing retrievals for the rapid identification of ash and quantitative analysis of mass loadings from satellite data on operational timescales.","author":[{"dropping-particle":"","family":"Prata","given":"G. S.","non-dropping-particle":"","parse-names":false,"suffix":""},{"dropping-particle":"","family":"Ventress","given":"L. J.","non-dropping-particle":"","parse-names":false,"suffix":""},{"dropping-particle":"","family":"Carboni","given":"E.","non-dropping-particle":"","parse-names":false,"suffix":""},{"dropping-particle":"","family":"Mather","given":"T. A.","non-dropping-particle":"","parse-names":false,"suffix":""},{"dropping-particle":"","family":"Grainger","given":"R. G.","non-dropping-particle":"","parse-names":false,"suffix":""},{"dropping-particle":"","family":"Pyle","given":"D. M.","non-dropping-particle":"","parse-names":false,"suffix":""}],"container-title":"Journal of Geophysical Research: Atmospheres","id":"ITEM-1","issue":"3","issued":{"date-parts":[["2019"]]},"page":"1779-1797","title":"A New Parameterization of Volcanic Ash Complex Refractive Index Based on NBO/T and SiO 2 Content","type":"article-journal","volume":"124"},"uris":["http://www.mendeley.com/documents/?uuid=6c226810-0537-418f-82bf-b4dd24107a53"]}],"mendeley":{"formattedCitation":"&lt;sup&gt;6&lt;/sup&gt;","manualFormatting":"Prata et al. (2019)","plainTextFormattedCitation":"6","previouslyFormattedCitation":"&lt;sup&gt;6&lt;/sup&gt;"},"properties":{"noteIndex":0},"schema":"https://github.com/citation-style-language/schema/raw/master/csl-citation.json"}</w:instrText>
      </w:r>
      <w:r w:rsidRPr="00C53ACC">
        <w:rPr>
          <w:rFonts w:cs="Times New Roman"/>
          <w:lang w:val="en-GB"/>
        </w:rPr>
        <w:fldChar w:fldCharType="separate"/>
      </w:r>
      <w:r w:rsidRPr="00C53ACC">
        <w:rPr>
          <w:rFonts w:cs="Times New Roman"/>
          <w:noProof/>
          <w:lang w:val="en-GB"/>
        </w:rPr>
        <w:t>Prata et al. (2019)</w:t>
      </w:r>
      <w:r w:rsidRPr="00C53ACC">
        <w:rPr>
          <w:rFonts w:cs="Times New Roman"/>
          <w:lang w:val="en-GB"/>
        </w:rPr>
        <w:fldChar w:fldCharType="end"/>
      </w:r>
      <w:r w:rsidRPr="00C53ACC">
        <w:rPr>
          <w:rFonts w:cs="Times New Roman"/>
          <w:lang w:val="en-GB"/>
        </w:rPr>
        <w:t>, Brillouin and Mössbauer spectroscopy results. Our chemical analysis results affirm that the composition of AND100 (SiO</w:t>
      </w:r>
      <w:r w:rsidRPr="00C53ACC">
        <w:rPr>
          <w:rFonts w:cs="Times New Roman"/>
          <w:vertAlign w:val="subscript"/>
          <w:lang w:val="en-GB"/>
        </w:rPr>
        <w:t xml:space="preserve">2 </w:t>
      </w:r>
      <w:r w:rsidRPr="00C53ACC">
        <w:rPr>
          <w:rFonts w:cs="Times New Roman"/>
          <w:lang w:val="en-GB"/>
        </w:rPr>
        <w:t xml:space="preserve">= 60.38 wt%; NBO/T=0.34) closely aligns, considering experimental uncertainties, with previous andesites reported in the literature </w:t>
      </w:r>
      <w:r w:rsidRPr="00C53ACC">
        <w:rPr>
          <w:rFonts w:cs="Times New Roman"/>
          <w:lang w:val="en-GB"/>
        </w:rPr>
        <w:fldChar w:fldCharType="begin" w:fldLock="1"/>
      </w:r>
      <w:r w:rsidR="0002472C">
        <w:rPr>
          <w:rFonts w:cs="Times New Roman"/>
          <w:lang w:val="en-GB"/>
        </w:rPr>
        <w:instrText xml:space="preserve">ADDIN CSL_CITATION {"citationItems":[{"id":"ITEM-1","itemData":{"DOI":"10.1038/s43247-022-00573-9","ISSN":"2662-4435","abstract":"Recent petrological and experimental studies have proposed that explosive volcanism may originate from the formation of nanoscale crystals in magma and the resultant ductile–brittle transition. However, the rheology of magma with quantified volume fractions of nanoscale crystals has not been investigated before, and thus, the formation of nanoscale crystals causing magma fragmentation that explains the origin of explosive eruptions is not conclusive. Here, we investigate the rheology of andesite magma with nanoscale crystals (magnetite). For this, a glass fibre elongation experimental apparatus with a heating furnace was developed at the synchrotron radiation X-ray system (SPring-8). During melt elongation, we observed the formation of crystals using small-angle X-ray scattering and wide-angle X-ray diffraction. Our experimental data demonstrate that magma viscosity increases with the formation of nanoscale crystals, but the degree of the increase is much lower than that predicted from analogue materials. Finally, we conclude that nanocrystal formation in intermediate composition magmas cannot explain rheological transition and other mechanisms such as nanocrystal agglomeration (not observed in our experiments) and/or heterogeneous nucleation of gas bubbles on nanocrystals are required to induce mafic to intermediate explosive volcanisms.","author":[{"dropping-particle":"","family":"Okumura","given":"Satoshi","non-dropping-particle":"","parse-names":false,"suffix":""},{"dropping-particle":"","family":"Uesugi","given":"Kentaro","non-dropping-particle":"","parse-names":false,"suffix":""},{"dropping-particle":"","family":"Goto","given":"Akio","non-dropping-particle":"","parse-names":false,"suffix":""},{"dropping-particle":"","family":"Sakamaki","given":"Tatsuya","non-dropping-particle":"","parse-names":false,"suffix":""},{"dropping-particle":"","family":"Matsumoto","given":"Kazuhisa","non-dropping-particle":"","parse-names":false,"suffix":""},{"dropping-particle":"","family":"Takeuchi","given":"Akihisa","non-dropping-particle":"","parse-names":false,"suffix":""},{"dropping-particle":"","family":"Miyake","given":"Akira","non-dropping-particle":"","parse-names":false,"suffix":""}],"container-title":"Communications Earth &amp; Environment","id":"ITEM-1","issue":"1","issued":{"date-parts":[["2022","10","17"]]},"page":"241","publisher":"Springer US","title":"Rheology of nanocrystal-bearing andesite magma and its roles in explosive volcanism","type":"article-journal","volume":"3"},"uris":["http://www.mendeley.com/documents/?uuid=ba632f4f-b735-454e-9abd-f2cfca7a41b8"]},{"id":"ITEM-2","itemData":{"DOI":"10.1016/j.chemgeo.2006.01.007","ISSN":"00092541","abstract":"We present new viscosity measurements for melts spanning a wide range of anhydrous compositions including: rhyolite, trachyte, moldavite, andesite, latite, pantellerite, basalt and basanite. Micropenetration and concentric cylinder viscometry measurements cover a viscosity range of 10- 1 to 1012 Pas and a temperature range from 700 to 1650 °C. These new measurements, combined with other published data, provide a high-quality database comprising </w:instrText>
      </w:r>
      <w:r w:rsidR="0002472C">
        <w:rPr>
          <w:rFonts w:ascii="Cambria Math" w:hAnsi="Cambria Math" w:cs="Cambria Math"/>
          <w:lang w:val="en-GB"/>
        </w:rPr>
        <w:instrText>∼</w:instrText>
      </w:r>
      <w:r w:rsidR="0002472C">
        <w:rPr>
          <w:rFonts w:cs="Times New Roman"/>
          <w:lang w:val="en-GB"/>
        </w:rPr>
        <w:instrText xml:space="preserve"> 800 experimental data on 44 well-characterized melt compositions. This database is used to recalibrate the model proposed by Giordano and Dingwell [Giordano, D., Dingwell, D.B., 2003a. Non-Arrhenian multicomponent melt viscosity: a model. Earth Planet. Sci. Lett. 208, 337-349] for predicting the viscosity of natural silicate melts. The present contribution clearly shows that: (1) the viscosity (η)-temperature relationship of natural silicate liquids is very well represented by the VFT equation [log η = A + B / (T - C)] over the full range of viscosity considered here, (2) the use of a constant high-T limiting value of melt viscosity (e.g., A) is fully consistent with the experimental data, (3) there are 3 different compositional suites (peralkaline, metaluminous and peraluminous) that exhibit different patterns in viscosity, (4) the viscosity of metaluminous liquids is well described by a simple mathematical expression involving the compositional parameter (SM) but the compositional dependence of viscosity for peralkaline and peraluminous melts is not fully controlled by SM. For these extreme compositions we refitted the model using a temperature-dependent parameter based on the excess of alkalies relative to alumina (e.g., AE/SM). The recalibrated model reproduces the entire database to within 5% relative error (e.g., RMSE of 0.45 logunits). © 2006 Elsevier B.V. All rights reserved.","author":[{"dropping-particle":"","family":"Giordano","given":"D.","non-dropping-particle":"","parse-names":false,"suffix":""},{"dropping-particle":"","family":"Mangiacapra","given":"A.","non-dropping-particle":"","parse-names":false,"suffix":""},{"dropping-particle":"","family":"Potuzak","given":"M.","non-dropping-particle":"","parse-names":false,"suffix":""},{"dropping-particle":"","family":"Russell","given":"J. K.","non-dropping-particle":"","parse-names":false,"suffix":""},{"dropping-particle":"","family":"Romano","given":"C.","non-dropping-particle":"","parse-names":false,"suffix":""},{"dropping-particle":"","family":"Dingwell","given":"D. B.","non-dropping-particle":"","parse-names":false,"suffix":""},{"dropping-particle":"","family":"Muro","given":"A.","non-dropping-particle":"Di","parse-names":false,"suffix":""}],"container-title":"Chemical Geology","id":"ITEM-2","issue":"1-3","issued":{"date-parts":[["2006"]]},"page":"42-56","title":"An expanded non-Arrhenian model for silicate melt viscosity: A treatment for metaluminous, peraluminous and peralkaline liquids","type":"article-journal","volume":"229"},"uris":["http://www.mendeley.com/documents/?uuid=91ceee87-71f2-4dc6-85c1-1f39e7a33ffb"]},{"id":"ITEM-3","itemData":{"DOI":"10.1007/BF00698324","ISSN":"00107999","abstract":"The heat capacities of a rhyolite and an andesite glass and liquid have been investigated from relative-enthalpy measurements made between 400 and 1800 K. For the glass phases, the experimental data agree with empirical models of calculation of the heat capacity. For the liquid phases, the agreement is less good owing to strong interactions between alkali metals and aluminum, which are not currently accounted for by empirical heat capacity models. The viscosity of both liquids has been measured from the glass transition to 1800 K. The temperature dependence of the viscosity is quantitatively related to the configurational heat capacity (determined calorimetrically) through the configurational entropy theory of relaxation processes. For both rhyolite and andesite melts, the heat capacity and viscosity do not differ markedly from those obtained by additive modeling from components with mineral compositions. © 1993 Springer-Verlag.","author":[{"dropping-particle":"","family":"Neuville","given":"D. R.","non-dropping-particle":"","parse-names":false,"suffix":""},{"dropping-particle":"","family":"Courtial","given":"Philippe","non-dropping-particle":"","parse-names":false,"suffix":""},{"dropping-particle":"","family":"Dingwell","given":"D. B.","non-dropping-particle":"","parse-names":false,"suffix":""},{"dropping-particle":"","family":"Richet","given":"P.","non-dropping-particle":"","parse-names":false,"suffix":""}],"container-title":"Contributions to Mineralogy and Petrology","id":"ITEM-3","issue":"4","issued":{"date-parts":[["1993"]]},"page":"572-581","title":"Thermodynamic and rheological properties of rhyolite and andesite melts","type":"article-journal","volume":"113"},"uris":["http://www.mendeley.com/documents/?uuid=ceb0f91d-ec14-4a5e-8778-84c66734f944"]}],"mendeley":{"formattedCitation":"&lt;sup&gt;1,2,5&lt;/sup&gt;","plainTextFormattedCitation":"1,2,5","previouslyFormattedCitation":"&lt;sup&gt;1,2,5&lt;/sup&gt;"},"properties":{"noteIndex":0},"schema":"https://github.com/citation-style-language/schema/raw/master/csl-citation.json"}</w:instrText>
      </w:r>
      <w:r w:rsidRPr="00C53ACC">
        <w:rPr>
          <w:rFonts w:cs="Times New Roman"/>
          <w:lang w:val="en-GB"/>
        </w:rPr>
        <w:fldChar w:fldCharType="separate"/>
      </w:r>
      <w:r w:rsidR="0002472C" w:rsidRPr="0002472C">
        <w:rPr>
          <w:rFonts w:cs="Times New Roman"/>
          <w:noProof/>
          <w:vertAlign w:val="superscript"/>
          <w:lang w:val="en-GB"/>
        </w:rPr>
        <w:t>1,2,5</w:t>
      </w:r>
      <w:r w:rsidRPr="00C53ACC">
        <w:rPr>
          <w:rFonts w:cs="Times New Roman"/>
          <w:lang w:val="en-GB"/>
        </w:rPr>
        <w:fldChar w:fldCharType="end"/>
      </w:r>
      <w:r w:rsidRPr="00C53ACC">
        <w:rPr>
          <w:rFonts w:cs="Times New Roman"/>
          <w:lang w:val="en-GB"/>
        </w:rPr>
        <w:t>. We also confirm that samples AND100ox</w:t>
      </w:r>
      <w:r w:rsidR="00740193">
        <w:rPr>
          <w:rFonts w:cs="Times New Roman"/>
          <w:lang w:val="en-GB"/>
        </w:rPr>
        <w:t xml:space="preserve"> (</w:t>
      </w:r>
      <w:r w:rsidRPr="00C53ACC">
        <w:rPr>
          <w:rFonts w:cs="Times New Roman"/>
          <w:lang w:val="en-GB"/>
        </w:rPr>
        <w:t>retrieved after concentric-cylinder viscometry</w:t>
      </w:r>
      <w:r w:rsidR="00740193">
        <w:rPr>
          <w:rFonts w:cs="Times New Roman"/>
          <w:lang w:val="en-GB"/>
        </w:rPr>
        <w:t>)</w:t>
      </w:r>
      <w:r w:rsidRPr="00C53ACC">
        <w:rPr>
          <w:rFonts w:cs="Times New Roman"/>
          <w:lang w:val="en-GB"/>
        </w:rPr>
        <w:t xml:space="preserve"> and AND100red (melted under reductive conditions) are virtually identical to that of AND100. Moreover, we achieved the synthesis of a transition-metal-free analog (AND0, SiO</w:t>
      </w:r>
      <w:r w:rsidRPr="00C53ACC">
        <w:rPr>
          <w:rFonts w:cs="Times New Roman"/>
          <w:vertAlign w:val="subscript"/>
          <w:lang w:val="en-GB"/>
        </w:rPr>
        <w:t xml:space="preserve">2 </w:t>
      </w:r>
      <w:r w:rsidRPr="00C53ACC">
        <w:rPr>
          <w:rFonts w:cs="Times New Roman"/>
          <w:lang w:val="en-GB"/>
        </w:rPr>
        <w:t>= 65.91 wt%; NBO/T=0.16), which is meant to represent the complete removal of iron (FeO</w:t>
      </w:r>
      <w:r w:rsidRPr="00C53ACC">
        <w:rPr>
          <w:rFonts w:cs="Times New Roman"/>
          <w:vertAlign w:val="subscript"/>
          <w:lang w:val="en-GB"/>
        </w:rPr>
        <w:t>tot</w:t>
      </w:r>
      <w:r w:rsidRPr="00C53ACC">
        <w:rPr>
          <w:rFonts w:cs="Times New Roman"/>
          <w:lang w:val="en-GB"/>
        </w:rPr>
        <w:t>), titanium (TiO</w:t>
      </w:r>
      <w:r w:rsidRPr="00C53ACC">
        <w:rPr>
          <w:rFonts w:cs="Times New Roman"/>
          <w:vertAlign w:val="subscript"/>
          <w:lang w:val="en-GB"/>
        </w:rPr>
        <w:t>2</w:t>
      </w:r>
      <w:r w:rsidRPr="00C53ACC">
        <w:rPr>
          <w:rFonts w:cs="Times New Roman"/>
          <w:lang w:val="en-GB"/>
        </w:rPr>
        <w:t>), and manganese (MnO) from sample AND100. Lastly, we successfully produced an intermediate glass AND65 (SiO</w:t>
      </w:r>
      <w:r w:rsidRPr="00C53ACC">
        <w:rPr>
          <w:rFonts w:cs="Times New Roman"/>
          <w:vertAlign w:val="subscript"/>
          <w:lang w:val="en-GB"/>
        </w:rPr>
        <w:t xml:space="preserve">2 </w:t>
      </w:r>
      <w:r w:rsidRPr="00C53ACC">
        <w:rPr>
          <w:rFonts w:cs="Times New Roman"/>
          <w:lang w:val="en-GB"/>
        </w:rPr>
        <w:t>= 62.65 wt%; NBO/T=0.27), designed to contain 65% of the total transition metal contained in AND100.</w:t>
      </w:r>
    </w:p>
    <w:p w14:paraId="7793EF31" w14:textId="5A8567B0" w:rsidR="0057288D" w:rsidRDefault="00C97BA2" w:rsidP="00C97BA2">
      <w:pPr>
        <w:spacing w:line="480" w:lineRule="auto"/>
        <w:ind w:firstLine="720"/>
        <w:rPr>
          <w:rFonts w:cs="Times New Roman"/>
          <w:lang w:val="en-GB"/>
        </w:rPr>
      </w:pPr>
      <w:r w:rsidRPr="00C53ACC">
        <w:rPr>
          <w:rFonts w:cs="Times New Roman"/>
          <w:lang w:val="en-GB"/>
        </w:rPr>
        <w:t>Mössbauer results reveal Fe</w:t>
      </w:r>
      <w:r w:rsidRPr="00C53ACC">
        <w:rPr>
          <w:rFonts w:cs="Times New Roman"/>
          <w:vertAlign w:val="superscript"/>
          <w:lang w:val="en-GB"/>
        </w:rPr>
        <w:t>3+</w:t>
      </w:r>
      <w:r w:rsidRPr="00C53ACC">
        <w:rPr>
          <w:rFonts w:cs="Times New Roman"/>
          <w:lang w:val="en-GB"/>
        </w:rPr>
        <w:t>/∑Fe</w:t>
      </w:r>
      <w:r w:rsidRPr="00C53ACC">
        <w:rPr>
          <w:rFonts w:cs="Times New Roman"/>
          <w:vertAlign w:val="subscript"/>
          <w:lang w:val="en-GB"/>
        </w:rPr>
        <w:t xml:space="preserve">tot </w:t>
      </w:r>
      <w:r w:rsidRPr="00C53ACC">
        <w:rPr>
          <w:rFonts w:cs="Times New Roman"/>
          <w:lang w:val="en-GB"/>
        </w:rPr>
        <w:t>ratios of 0.27, 0.64 and 0.7</w:t>
      </w:r>
      <w:r w:rsidR="007925CE">
        <w:rPr>
          <w:rFonts w:cs="Times New Roman"/>
          <w:lang w:val="en-GB"/>
        </w:rPr>
        <w:t>0</w:t>
      </w:r>
      <w:r w:rsidRPr="00C53ACC">
        <w:rPr>
          <w:rFonts w:cs="Times New Roman"/>
          <w:lang w:val="en-GB"/>
        </w:rPr>
        <w:t xml:space="preserve"> for as-synthesized AND100red, AND100 and AND65 glasses, respectively (Table </w:t>
      </w:r>
      <w:r w:rsidR="0057288D">
        <w:rPr>
          <w:rFonts w:cs="Times New Roman"/>
          <w:lang w:val="en-GB"/>
        </w:rPr>
        <w:t>S</w:t>
      </w:r>
      <w:r w:rsidRPr="00C53ACC">
        <w:rPr>
          <w:rFonts w:cs="Times New Roman"/>
          <w:lang w:val="en-GB"/>
        </w:rPr>
        <w:t>1). The Fe</w:t>
      </w:r>
      <w:r w:rsidRPr="00C53ACC">
        <w:rPr>
          <w:rFonts w:cs="Times New Roman"/>
          <w:vertAlign w:val="superscript"/>
          <w:lang w:val="en-GB"/>
        </w:rPr>
        <w:t>3+</w:t>
      </w:r>
      <w:r w:rsidRPr="00C53ACC">
        <w:rPr>
          <w:rFonts w:cs="Times New Roman"/>
          <w:lang w:val="en-GB"/>
        </w:rPr>
        <w:t>/∑Fe</w:t>
      </w:r>
      <w:r w:rsidRPr="00C53ACC">
        <w:rPr>
          <w:rFonts w:cs="Times New Roman"/>
          <w:vertAlign w:val="subscript"/>
          <w:lang w:val="en-GB"/>
        </w:rPr>
        <w:t xml:space="preserve">tot </w:t>
      </w:r>
      <w:r w:rsidRPr="00C53ACC">
        <w:rPr>
          <w:rFonts w:cs="Times New Roman"/>
          <w:lang w:val="en-GB"/>
        </w:rPr>
        <w:t>ratio of AND100ox (Fe</w:t>
      </w:r>
      <w:r w:rsidRPr="00C53ACC">
        <w:rPr>
          <w:rFonts w:cs="Times New Roman"/>
          <w:vertAlign w:val="superscript"/>
          <w:lang w:val="en-GB"/>
        </w:rPr>
        <w:t>3+</w:t>
      </w:r>
      <w:r w:rsidRPr="00C53ACC">
        <w:rPr>
          <w:rFonts w:cs="Times New Roman"/>
          <w:lang w:val="en-GB"/>
        </w:rPr>
        <w:t>/∑Fe</w:t>
      </w:r>
      <w:r w:rsidRPr="00C53ACC">
        <w:rPr>
          <w:rFonts w:cs="Times New Roman"/>
          <w:vertAlign w:val="subscript"/>
          <w:lang w:val="en-GB"/>
        </w:rPr>
        <w:t>tot</w:t>
      </w:r>
      <w:r w:rsidRPr="00C53ACC">
        <w:rPr>
          <w:rFonts w:cs="Times New Roman"/>
          <w:lang w:val="en-GB"/>
        </w:rPr>
        <w:t xml:space="preserve"> = 0.71) was slightly higher than AND100, revealing that concentric cylinder</w:t>
      </w:r>
      <w:r w:rsidR="00740193">
        <w:rPr>
          <w:rFonts w:cs="Times New Roman"/>
          <w:lang w:val="en-GB"/>
        </w:rPr>
        <w:t xml:space="preserve"> (CC) </w:t>
      </w:r>
      <w:r w:rsidRPr="00C53ACC">
        <w:rPr>
          <w:rFonts w:cs="Times New Roman"/>
          <w:lang w:val="en-GB"/>
        </w:rPr>
        <w:t xml:space="preserve">viscometry measurements induced a non-negligible iron oxidation. </w:t>
      </w:r>
    </w:p>
    <w:p w14:paraId="1AA90C47" w14:textId="77777777" w:rsidR="0057288D" w:rsidRDefault="0057288D">
      <w:pPr>
        <w:spacing w:after="160"/>
        <w:jc w:val="left"/>
        <w:rPr>
          <w:rFonts w:cs="Times New Roman"/>
          <w:lang w:val="en-GB"/>
        </w:rPr>
      </w:pPr>
      <w:r>
        <w:rPr>
          <w:rFonts w:cs="Times New Roman"/>
          <w:lang w:val="en-GB"/>
        </w:rPr>
        <w:br w:type="page"/>
      </w:r>
    </w:p>
    <w:p w14:paraId="4A8F9ED8" w14:textId="77777777" w:rsidR="0057288D" w:rsidRDefault="0057288D" w:rsidP="00C97BA2">
      <w:pPr>
        <w:spacing w:line="480" w:lineRule="auto"/>
        <w:ind w:firstLine="720"/>
        <w:rPr>
          <w:rFonts w:cs="Times New Roman"/>
          <w:lang w:val="en-GB"/>
        </w:rPr>
        <w:sectPr w:rsidR="0057288D" w:rsidSect="00186DBC">
          <w:footerReference w:type="default" r:id="rId11"/>
          <w:pgSz w:w="12240" w:h="15840"/>
          <w:pgMar w:top="1440" w:right="1440" w:bottom="1440" w:left="1440" w:header="709" w:footer="709" w:gutter="0"/>
          <w:lnNumType w:countBy="1" w:restart="continuous"/>
          <w:cols w:space="708"/>
          <w:docGrid w:linePitch="360"/>
        </w:sectPr>
      </w:pPr>
    </w:p>
    <w:tbl>
      <w:tblPr>
        <w:tblW w:w="13892" w:type="dxa"/>
        <w:tblLook w:val="04A0" w:firstRow="1" w:lastRow="0" w:firstColumn="1" w:lastColumn="0" w:noHBand="0" w:noVBand="1"/>
      </w:tblPr>
      <w:tblGrid>
        <w:gridCol w:w="1134"/>
        <w:gridCol w:w="1134"/>
        <w:gridCol w:w="993"/>
        <w:gridCol w:w="1155"/>
        <w:gridCol w:w="940"/>
        <w:gridCol w:w="940"/>
        <w:gridCol w:w="934"/>
        <w:gridCol w:w="992"/>
        <w:gridCol w:w="992"/>
        <w:gridCol w:w="990"/>
        <w:gridCol w:w="1036"/>
        <w:gridCol w:w="951"/>
        <w:gridCol w:w="746"/>
        <w:gridCol w:w="955"/>
      </w:tblGrid>
      <w:tr w:rsidR="0057288D" w:rsidRPr="0057288D" w14:paraId="37B3F9E7" w14:textId="77777777" w:rsidTr="009C2FD6">
        <w:trPr>
          <w:trHeight w:val="390"/>
        </w:trPr>
        <w:tc>
          <w:tcPr>
            <w:tcW w:w="7230" w:type="dxa"/>
            <w:gridSpan w:val="7"/>
            <w:tcBorders>
              <w:top w:val="nil"/>
              <w:left w:val="nil"/>
              <w:bottom w:val="single" w:sz="4" w:space="0" w:color="auto"/>
              <w:right w:val="nil"/>
            </w:tcBorders>
            <w:shd w:val="clear" w:color="000000" w:fill="FFFFFF"/>
            <w:noWrap/>
            <w:vAlign w:val="center"/>
            <w:hideMark/>
          </w:tcPr>
          <w:p w14:paraId="38D981C3" w14:textId="686B54EB" w:rsidR="0057288D" w:rsidRPr="0057288D" w:rsidRDefault="0057288D" w:rsidP="0057288D">
            <w:pPr>
              <w:spacing w:line="240" w:lineRule="auto"/>
              <w:jc w:val="left"/>
              <w:rPr>
                <w:rFonts w:eastAsia="Times New Roman" w:cs="Times New Roman"/>
                <w:color w:val="000000"/>
                <w:sz w:val="16"/>
                <w:szCs w:val="16"/>
              </w:rPr>
            </w:pPr>
            <w:r w:rsidRPr="00E50ABE">
              <w:rPr>
                <w:rFonts w:eastAsia="Times New Roman" w:cs="Times New Roman"/>
                <w:b/>
                <w:bCs/>
                <w:color w:val="000000"/>
                <w:sz w:val="16"/>
                <w:szCs w:val="16"/>
              </w:rPr>
              <w:lastRenderedPageBreak/>
              <w:t>Table S1</w:t>
            </w:r>
            <w:r w:rsidRPr="0057288D">
              <w:rPr>
                <w:rFonts w:eastAsia="Times New Roman" w:cs="Times New Roman"/>
                <w:color w:val="000000"/>
                <w:sz w:val="16"/>
                <w:szCs w:val="16"/>
              </w:rPr>
              <w:t xml:space="preserve">. </w:t>
            </w:r>
            <w:r w:rsidR="00B6462A">
              <w:rPr>
                <w:rFonts w:eastAsia="Times New Roman" w:cs="Times New Roman"/>
                <w:color w:val="000000"/>
                <w:sz w:val="16"/>
                <w:szCs w:val="16"/>
              </w:rPr>
              <w:t>Electron microprobe c</w:t>
            </w:r>
            <w:r w:rsidRPr="0057288D">
              <w:rPr>
                <w:rFonts w:eastAsia="Times New Roman" w:cs="Times New Roman"/>
                <w:color w:val="000000"/>
                <w:sz w:val="16"/>
                <w:szCs w:val="16"/>
              </w:rPr>
              <w:t>hemistry and K/G factor of starting materials</w:t>
            </w:r>
            <w:r w:rsidR="00B6462A">
              <w:rPr>
                <w:rFonts w:eastAsia="Times New Roman" w:cs="Times New Roman"/>
                <w:color w:val="000000"/>
                <w:szCs w:val="16"/>
              </w:rPr>
              <w:t xml:space="preserve">. </w:t>
            </w:r>
          </w:p>
        </w:tc>
        <w:tc>
          <w:tcPr>
            <w:tcW w:w="992" w:type="dxa"/>
            <w:tcBorders>
              <w:top w:val="nil"/>
              <w:left w:val="nil"/>
              <w:bottom w:val="nil"/>
              <w:right w:val="nil"/>
            </w:tcBorders>
            <w:shd w:val="clear" w:color="000000" w:fill="FFFFFF"/>
            <w:noWrap/>
            <w:vAlign w:val="bottom"/>
            <w:hideMark/>
          </w:tcPr>
          <w:p w14:paraId="0B53D71B"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92" w:type="dxa"/>
            <w:tcBorders>
              <w:top w:val="nil"/>
              <w:left w:val="nil"/>
              <w:bottom w:val="nil"/>
              <w:right w:val="nil"/>
            </w:tcBorders>
            <w:shd w:val="clear" w:color="000000" w:fill="FFFFFF"/>
            <w:noWrap/>
            <w:vAlign w:val="bottom"/>
            <w:hideMark/>
          </w:tcPr>
          <w:p w14:paraId="2A6FE24E"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90" w:type="dxa"/>
            <w:tcBorders>
              <w:top w:val="nil"/>
              <w:left w:val="nil"/>
              <w:bottom w:val="nil"/>
              <w:right w:val="nil"/>
            </w:tcBorders>
            <w:shd w:val="clear" w:color="000000" w:fill="FFFFFF"/>
            <w:noWrap/>
            <w:vAlign w:val="bottom"/>
            <w:hideMark/>
          </w:tcPr>
          <w:p w14:paraId="2149865B"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1036" w:type="dxa"/>
            <w:tcBorders>
              <w:top w:val="nil"/>
              <w:left w:val="nil"/>
              <w:bottom w:val="nil"/>
              <w:right w:val="nil"/>
            </w:tcBorders>
            <w:shd w:val="clear" w:color="000000" w:fill="FFFFFF"/>
            <w:noWrap/>
            <w:vAlign w:val="bottom"/>
            <w:hideMark/>
          </w:tcPr>
          <w:p w14:paraId="1CB4177E"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51" w:type="dxa"/>
            <w:tcBorders>
              <w:top w:val="nil"/>
              <w:left w:val="nil"/>
              <w:bottom w:val="nil"/>
              <w:right w:val="nil"/>
            </w:tcBorders>
            <w:shd w:val="clear" w:color="000000" w:fill="FFFFFF"/>
            <w:noWrap/>
            <w:vAlign w:val="bottom"/>
            <w:hideMark/>
          </w:tcPr>
          <w:p w14:paraId="43F60CB9"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746" w:type="dxa"/>
            <w:tcBorders>
              <w:top w:val="nil"/>
              <w:left w:val="nil"/>
              <w:bottom w:val="nil"/>
              <w:right w:val="nil"/>
            </w:tcBorders>
            <w:shd w:val="clear" w:color="000000" w:fill="FFFFFF"/>
            <w:noWrap/>
            <w:vAlign w:val="bottom"/>
            <w:hideMark/>
          </w:tcPr>
          <w:p w14:paraId="5152E7C7"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55" w:type="dxa"/>
            <w:tcBorders>
              <w:top w:val="nil"/>
              <w:left w:val="nil"/>
              <w:bottom w:val="nil"/>
              <w:right w:val="nil"/>
            </w:tcBorders>
            <w:shd w:val="clear" w:color="000000" w:fill="FFFFFF"/>
            <w:noWrap/>
            <w:vAlign w:val="bottom"/>
            <w:hideMark/>
          </w:tcPr>
          <w:p w14:paraId="74929D93"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r>
      <w:tr w:rsidR="0057288D" w:rsidRPr="0057288D" w14:paraId="610EF044" w14:textId="77777777" w:rsidTr="009C2FD6">
        <w:trPr>
          <w:trHeight w:val="420"/>
        </w:trPr>
        <w:tc>
          <w:tcPr>
            <w:tcW w:w="1134" w:type="dxa"/>
            <w:tcBorders>
              <w:top w:val="nil"/>
              <w:left w:val="nil"/>
              <w:bottom w:val="single" w:sz="8" w:space="0" w:color="auto"/>
              <w:right w:val="nil"/>
            </w:tcBorders>
            <w:shd w:val="clear" w:color="000000" w:fill="FFFFFF"/>
            <w:noWrap/>
            <w:vAlign w:val="center"/>
            <w:hideMark/>
          </w:tcPr>
          <w:p w14:paraId="0E86E32B"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1134" w:type="dxa"/>
            <w:tcBorders>
              <w:top w:val="nil"/>
              <w:left w:val="nil"/>
              <w:bottom w:val="single" w:sz="8" w:space="0" w:color="auto"/>
              <w:right w:val="nil"/>
            </w:tcBorders>
            <w:shd w:val="clear" w:color="000000" w:fill="FFFFFF"/>
            <w:noWrap/>
            <w:hideMark/>
          </w:tcPr>
          <w:p w14:paraId="67C5B0B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SiO</w:t>
            </w:r>
            <w:r w:rsidRPr="0057288D">
              <w:rPr>
                <w:rFonts w:eastAsia="Times New Roman" w:cs="Times New Roman"/>
                <w:color w:val="000000"/>
                <w:sz w:val="16"/>
                <w:szCs w:val="16"/>
                <w:vertAlign w:val="subscript"/>
              </w:rPr>
              <w:t>2</w:t>
            </w:r>
          </w:p>
        </w:tc>
        <w:tc>
          <w:tcPr>
            <w:tcW w:w="993" w:type="dxa"/>
            <w:tcBorders>
              <w:top w:val="nil"/>
              <w:left w:val="nil"/>
              <w:bottom w:val="single" w:sz="8" w:space="0" w:color="auto"/>
              <w:right w:val="nil"/>
            </w:tcBorders>
            <w:shd w:val="clear" w:color="000000" w:fill="FFFFFF"/>
            <w:noWrap/>
            <w:hideMark/>
          </w:tcPr>
          <w:p w14:paraId="2618B93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TiO</w:t>
            </w:r>
            <w:r w:rsidRPr="0057288D">
              <w:rPr>
                <w:rFonts w:eastAsia="Times New Roman" w:cs="Times New Roman"/>
                <w:color w:val="000000"/>
                <w:sz w:val="16"/>
                <w:szCs w:val="16"/>
                <w:vertAlign w:val="subscript"/>
              </w:rPr>
              <w:t>2</w:t>
            </w:r>
          </w:p>
        </w:tc>
        <w:tc>
          <w:tcPr>
            <w:tcW w:w="1155" w:type="dxa"/>
            <w:tcBorders>
              <w:top w:val="nil"/>
              <w:left w:val="nil"/>
              <w:bottom w:val="single" w:sz="8" w:space="0" w:color="auto"/>
              <w:right w:val="nil"/>
            </w:tcBorders>
            <w:shd w:val="clear" w:color="000000" w:fill="FFFFFF"/>
            <w:noWrap/>
            <w:hideMark/>
          </w:tcPr>
          <w:p w14:paraId="1D855170"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Al</w:t>
            </w:r>
            <w:r w:rsidRPr="0057288D">
              <w:rPr>
                <w:rFonts w:eastAsia="Times New Roman" w:cs="Times New Roman"/>
                <w:color w:val="000000"/>
                <w:sz w:val="16"/>
                <w:szCs w:val="16"/>
                <w:vertAlign w:val="subscript"/>
              </w:rPr>
              <w:t>2</w:t>
            </w:r>
            <w:r w:rsidRPr="0057288D">
              <w:rPr>
                <w:rFonts w:eastAsia="Times New Roman" w:cs="Times New Roman"/>
                <w:color w:val="000000"/>
                <w:sz w:val="16"/>
                <w:szCs w:val="16"/>
              </w:rPr>
              <w:t>O</w:t>
            </w:r>
            <w:r w:rsidRPr="0057288D">
              <w:rPr>
                <w:rFonts w:eastAsia="Times New Roman" w:cs="Times New Roman"/>
                <w:color w:val="000000"/>
                <w:sz w:val="16"/>
                <w:szCs w:val="16"/>
                <w:vertAlign w:val="subscript"/>
              </w:rPr>
              <w:t>3</w:t>
            </w:r>
          </w:p>
        </w:tc>
        <w:tc>
          <w:tcPr>
            <w:tcW w:w="940" w:type="dxa"/>
            <w:tcBorders>
              <w:top w:val="nil"/>
              <w:left w:val="nil"/>
              <w:bottom w:val="single" w:sz="8" w:space="0" w:color="auto"/>
              <w:right w:val="nil"/>
            </w:tcBorders>
            <w:shd w:val="clear" w:color="000000" w:fill="FFFFFF"/>
            <w:noWrap/>
            <w:hideMark/>
          </w:tcPr>
          <w:p w14:paraId="1E91F7D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FeO</w:t>
            </w:r>
            <w:r w:rsidRPr="0057288D">
              <w:rPr>
                <w:rFonts w:eastAsia="Times New Roman" w:cs="Times New Roman"/>
                <w:color w:val="000000"/>
                <w:sz w:val="16"/>
                <w:szCs w:val="16"/>
                <w:vertAlign w:val="subscript"/>
              </w:rPr>
              <w:t>tot</w:t>
            </w:r>
          </w:p>
        </w:tc>
        <w:tc>
          <w:tcPr>
            <w:tcW w:w="940" w:type="dxa"/>
            <w:tcBorders>
              <w:top w:val="nil"/>
              <w:left w:val="nil"/>
              <w:bottom w:val="single" w:sz="8" w:space="0" w:color="auto"/>
              <w:right w:val="nil"/>
            </w:tcBorders>
            <w:shd w:val="clear" w:color="000000" w:fill="FFFFFF"/>
            <w:noWrap/>
            <w:hideMark/>
          </w:tcPr>
          <w:p w14:paraId="60DE2895"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MnO</w:t>
            </w:r>
          </w:p>
        </w:tc>
        <w:tc>
          <w:tcPr>
            <w:tcW w:w="934" w:type="dxa"/>
            <w:tcBorders>
              <w:top w:val="nil"/>
              <w:left w:val="nil"/>
              <w:bottom w:val="single" w:sz="8" w:space="0" w:color="auto"/>
              <w:right w:val="nil"/>
            </w:tcBorders>
            <w:shd w:val="clear" w:color="000000" w:fill="FFFFFF"/>
            <w:noWrap/>
            <w:hideMark/>
          </w:tcPr>
          <w:p w14:paraId="45C7B36C"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MgO</w:t>
            </w:r>
          </w:p>
        </w:tc>
        <w:tc>
          <w:tcPr>
            <w:tcW w:w="992" w:type="dxa"/>
            <w:tcBorders>
              <w:top w:val="single" w:sz="4" w:space="0" w:color="auto"/>
              <w:left w:val="nil"/>
              <w:bottom w:val="single" w:sz="8" w:space="0" w:color="auto"/>
              <w:right w:val="nil"/>
            </w:tcBorders>
            <w:shd w:val="clear" w:color="000000" w:fill="FFFFFF"/>
            <w:noWrap/>
            <w:hideMark/>
          </w:tcPr>
          <w:p w14:paraId="193B012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CaO</w:t>
            </w:r>
          </w:p>
        </w:tc>
        <w:tc>
          <w:tcPr>
            <w:tcW w:w="992" w:type="dxa"/>
            <w:tcBorders>
              <w:top w:val="single" w:sz="4" w:space="0" w:color="auto"/>
              <w:left w:val="nil"/>
              <w:bottom w:val="single" w:sz="8" w:space="0" w:color="auto"/>
              <w:right w:val="nil"/>
            </w:tcBorders>
            <w:shd w:val="clear" w:color="000000" w:fill="FFFFFF"/>
            <w:noWrap/>
            <w:hideMark/>
          </w:tcPr>
          <w:p w14:paraId="07A87450"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Na</w:t>
            </w:r>
            <w:r w:rsidRPr="0057288D">
              <w:rPr>
                <w:rFonts w:eastAsia="Times New Roman" w:cs="Times New Roman"/>
                <w:color w:val="000000"/>
                <w:sz w:val="16"/>
                <w:szCs w:val="16"/>
                <w:vertAlign w:val="subscript"/>
              </w:rPr>
              <w:t>2</w:t>
            </w:r>
            <w:r w:rsidRPr="0057288D">
              <w:rPr>
                <w:rFonts w:eastAsia="Times New Roman" w:cs="Times New Roman"/>
                <w:color w:val="000000"/>
                <w:sz w:val="16"/>
                <w:szCs w:val="16"/>
              </w:rPr>
              <w:t>O</w:t>
            </w:r>
          </w:p>
        </w:tc>
        <w:tc>
          <w:tcPr>
            <w:tcW w:w="990" w:type="dxa"/>
            <w:tcBorders>
              <w:top w:val="single" w:sz="4" w:space="0" w:color="auto"/>
              <w:left w:val="nil"/>
              <w:bottom w:val="single" w:sz="8" w:space="0" w:color="auto"/>
              <w:right w:val="nil"/>
            </w:tcBorders>
            <w:shd w:val="clear" w:color="000000" w:fill="FFFFFF"/>
            <w:noWrap/>
            <w:hideMark/>
          </w:tcPr>
          <w:p w14:paraId="6482E28C"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K</w:t>
            </w:r>
            <w:r w:rsidRPr="0057288D">
              <w:rPr>
                <w:rFonts w:eastAsia="Times New Roman" w:cs="Times New Roman"/>
                <w:color w:val="000000"/>
                <w:sz w:val="16"/>
                <w:szCs w:val="16"/>
                <w:vertAlign w:val="subscript"/>
              </w:rPr>
              <w:t>2</w:t>
            </w:r>
            <w:r w:rsidRPr="0057288D">
              <w:rPr>
                <w:rFonts w:eastAsia="Times New Roman" w:cs="Times New Roman"/>
                <w:color w:val="000000"/>
                <w:sz w:val="16"/>
                <w:szCs w:val="16"/>
              </w:rPr>
              <w:t>O</w:t>
            </w:r>
          </w:p>
        </w:tc>
        <w:tc>
          <w:tcPr>
            <w:tcW w:w="1036" w:type="dxa"/>
            <w:tcBorders>
              <w:top w:val="single" w:sz="4" w:space="0" w:color="auto"/>
              <w:left w:val="nil"/>
              <w:bottom w:val="single" w:sz="8" w:space="0" w:color="auto"/>
              <w:right w:val="nil"/>
            </w:tcBorders>
            <w:shd w:val="clear" w:color="000000" w:fill="FFFFFF"/>
            <w:noWrap/>
            <w:hideMark/>
          </w:tcPr>
          <w:p w14:paraId="0C3A0BA0"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P</w:t>
            </w:r>
            <w:r w:rsidRPr="0057288D">
              <w:rPr>
                <w:rFonts w:eastAsia="Times New Roman" w:cs="Times New Roman"/>
                <w:color w:val="000000"/>
                <w:sz w:val="16"/>
                <w:szCs w:val="16"/>
                <w:vertAlign w:val="subscript"/>
              </w:rPr>
              <w:t>2</w:t>
            </w:r>
            <w:r w:rsidRPr="0057288D">
              <w:rPr>
                <w:rFonts w:eastAsia="Times New Roman" w:cs="Times New Roman"/>
                <w:color w:val="000000"/>
                <w:sz w:val="16"/>
                <w:szCs w:val="16"/>
              </w:rPr>
              <w:t>O5</w:t>
            </w:r>
          </w:p>
        </w:tc>
        <w:tc>
          <w:tcPr>
            <w:tcW w:w="951" w:type="dxa"/>
            <w:tcBorders>
              <w:top w:val="single" w:sz="4" w:space="0" w:color="auto"/>
              <w:left w:val="nil"/>
              <w:bottom w:val="single" w:sz="8" w:space="0" w:color="auto"/>
              <w:right w:val="nil"/>
            </w:tcBorders>
            <w:shd w:val="clear" w:color="000000" w:fill="FFFFFF"/>
            <w:noWrap/>
            <w:hideMark/>
          </w:tcPr>
          <w:p w14:paraId="29DCA8C8" w14:textId="77777777" w:rsidR="0057288D" w:rsidRPr="0057288D" w:rsidRDefault="0057288D" w:rsidP="0057288D">
            <w:pPr>
              <w:spacing w:line="240" w:lineRule="auto"/>
              <w:jc w:val="center"/>
              <w:rPr>
                <w:rFonts w:eastAsia="Times New Roman" w:cs="Times New Roman"/>
                <w:sz w:val="16"/>
                <w:szCs w:val="16"/>
              </w:rPr>
            </w:pPr>
            <w:r w:rsidRPr="0057288D">
              <w:rPr>
                <w:rFonts w:eastAsia="Times New Roman" w:cs="Times New Roman"/>
                <w:sz w:val="16"/>
                <w:szCs w:val="16"/>
              </w:rPr>
              <w:t>Fe</w:t>
            </w:r>
            <w:r w:rsidRPr="0057288D">
              <w:rPr>
                <w:rFonts w:eastAsia="Times New Roman" w:cs="Times New Roman"/>
                <w:sz w:val="16"/>
                <w:szCs w:val="16"/>
                <w:vertAlign w:val="superscript"/>
              </w:rPr>
              <w:t>3+</w:t>
            </w:r>
            <w:r w:rsidRPr="0057288D">
              <w:rPr>
                <w:rFonts w:eastAsia="Times New Roman" w:cs="Times New Roman"/>
                <w:sz w:val="16"/>
                <w:szCs w:val="16"/>
              </w:rPr>
              <w:t>/∑Fe</w:t>
            </w:r>
            <w:r w:rsidRPr="0057288D">
              <w:rPr>
                <w:rFonts w:eastAsia="Times New Roman" w:cs="Times New Roman"/>
                <w:sz w:val="16"/>
                <w:szCs w:val="16"/>
                <w:vertAlign w:val="subscript"/>
              </w:rPr>
              <w:t>tot</w:t>
            </w:r>
            <w:r w:rsidRPr="0057288D">
              <w:rPr>
                <w:rFonts w:eastAsia="Times New Roman" w:cs="Times New Roman"/>
                <w:sz w:val="16"/>
                <w:szCs w:val="16"/>
                <w:vertAlign w:val="superscript"/>
              </w:rPr>
              <w:t>a</w:t>
            </w:r>
          </w:p>
        </w:tc>
        <w:tc>
          <w:tcPr>
            <w:tcW w:w="746" w:type="dxa"/>
            <w:tcBorders>
              <w:top w:val="single" w:sz="4" w:space="0" w:color="auto"/>
              <w:left w:val="nil"/>
              <w:bottom w:val="single" w:sz="8" w:space="0" w:color="auto"/>
              <w:right w:val="nil"/>
            </w:tcBorders>
            <w:shd w:val="clear" w:color="000000" w:fill="FFFFFF"/>
            <w:noWrap/>
            <w:hideMark/>
          </w:tcPr>
          <w:p w14:paraId="1143C837"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NBO/T</w:t>
            </w:r>
            <w:r w:rsidRPr="0057288D">
              <w:rPr>
                <w:rFonts w:eastAsia="Times New Roman" w:cs="Times New Roman"/>
                <w:color w:val="000000"/>
                <w:sz w:val="16"/>
                <w:szCs w:val="16"/>
                <w:vertAlign w:val="superscript"/>
              </w:rPr>
              <w:t>b</w:t>
            </w:r>
          </w:p>
        </w:tc>
        <w:tc>
          <w:tcPr>
            <w:tcW w:w="955" w:type="dxa"/>
            <w:tcBorders>
              <w:top w:val="single" w:sz="4" w:space="0" w:color="auto"/>
              <w:left w:val="nil"/>
              <w:bottom w:val="single" w:sz="8" w:space="0" w:color="auto"/>
              <w:right w:val="nil"/>
            </w:tcBorders>
            <w:shd w:val="clear" w:color="000000" w:fill="FFFFFF"/>
            <w:noWrap/>
            <w:hideMark/>
          </w:tcPr>
          <w:p w14:paraId="7064AB5D"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K/G</w:t>
            </w:r>
            <w:r w:rsidRPr="0057288D">
              <w:rPr>
                <w:rFonts w:eastAsia="Times New Roman" w:cs="Times New Roman"/>
                <w:color w:val="000000"/>
                <w:sz w:val="16"/>
                <w:szCs w:val="16"/>
                <w:vertAlign w:val="superscript"/>
              </w:rPr>
              <w:t>c</w:t>
            </w:r>
          </w:p>
        </w:tc>
      </w:tr>
      <w:tr w:rsidR="0057288D" w:rsidRPr="0057288D" w14:paraId="107C38B3" w14:textId="77777777" w:rsidTr="009C2FD6">
        <w:trPr>
          <w:trHeight w:val="390"/>
        </w:trPr>
        <w:tc>
          <w:tcPr>
            <w:tcW w:w="1134" w:type="dxa"/>
            <w:tcBorders>
              <w:top w:val="nil"/>
              <w:left w:val="nil"/>
              <w:bottom w:val="nil"/>
              <w:right w:val="nil"/>
            </w:tcBorders>
            <w:shd w:val="clear" w:color="000000" w:fill="FFFFFF"/>
            <w:noWrap/>
            <w:vAlign w:val="center"/>
            <w:hideMark/>
          </w:tcPr>
          <w:p w14:paraId="152446AF"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AND100</w:t>
            </w:r>
            <w:r w:rsidRPr="0057288D">
              <w:rPr>
                <w:rFonts w:eastAsia="Times New Roman" w:cs="Times New Roman"/>
                <w:color w:val="000000"/>
                <w:sz w:val="16"/>
                <w:szCs w:val="16"/>
                <w:vertAlign w:val="superscript"/>
              </w:rPr>
              <w:t>d</w:t>
            </w:r>
          </w:p>
        </w:tc>
        <w:tc>
          <w:tcPr>
            <w:tcW w:w="1134" w:type="dxa"/>
            <w:tcBorders>
              <w:top w:val="nil"/>
              <w:left w:val="nil"/>
              <w:bottom w:val="nil"/>
              <w:right w:val="nil"/>
            </w:tcBorders>
            <w:shd w:val="clear" w:color="000000" w:fill="FFFFFF"/>
            <w:noWrap/>
            <w:vAlign w:val="center"/>
            <w:hideMark/>
          </w:tcPr>
          <w:p w14:paraId="2BB8633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60.38 (0.36)</w:t>
            </w:r>
          </w:p>
        </w:tc>
        <w:tc>
          <w:tcPr>
            <w:tcW w:w="993" w:type="dxa"/>
            <w:tcBorders>
              <w:top w:val="nil"/>
              <w:left w:val="nil"/>
              <w:bottom w:val="nil"/>
              <w:right w:val="nil"/>
            </w:tcBorders>
            <w:shd w:val="clear" w:color="000000" w:fill="FFFFFF"/>
            <w:noWrap/>
            <w:vAlign w:val="center"/>
            <w:hideMark/>
          </w:tcPr>
          <w:p w14:paraId="5BC3254C"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0.79 (0.04)</w:t>
            </w:r>
          </w:p>
        </w:tc>
        <w:tc>
          <w:tcPr>
            <w:tcW w:w="1155" w:type="dxa"/>
            <w:tcBorders>
              <w:top w:val="nil"/>
              <w:left w:val="nil"/>
              <w:bottom w:val="nil"/>
              <w:right w:val="nil"/>
            </w:tcBorders>
            <w:shd w:val="clear" w:color="000000" w:fill="FFFFFF"/>
            <w:noWrap/>
            <w:vAlign w:val="center"/>
            <w:hideMark/>
          </w:tcPr>
          <w:p w14:paraId="687AB929"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16.69 (0.18)</w:t>
            </w:r>
          </w:p>
        </w:tc>
        <w:tc>
          <w:tcPr>
            <w:tcW w:w="940" w:type="dxa"/>
            <w:tcBorders>
              <w:top w:val="nil"/>
              <w:left w:val="nil"/>
              <w:bottom w:val="nil"/>
              <w:right w:val="nil"/>
            </w:tcBorders>
            <w:shd w:val="clear" w:color="000000" w:fill="FFFFFF"/>
            <w:noWrap/>
            <w:vAlign w:val="center"/>
            <w:hideMark/>
          </w:tcPr>
          <w:p w14:paraId="471E50F5"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6.77 (0.12)</w:t>
            </w:r>
          </w:p>
        </w:tc>
        <w:tc>
          <w:tcPr>
            <w:tcW w:w="940" w:type="dxa"/>
            <w:tcBorders>
              <w:top w:val="nil"/>
              <w:left w:val="nil"/>
              <w:bottom w:val="nil"/>
              <w:right w:val="nil"/>
            </w:tcBorders>
            <w:shd w:val="clear" w:color="000000" w:fill="FFFFFF"/>
            <w:noWrap/>
            <w:vAlign w:val="center"/>
            <w:hideMark/>
          </w:tcPr>
          <w:p w14:paraId="71149287"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0.17 (0.03)</w:t>
            </w:r>
          </w:p>
        </w:tc>
        <w:tc>
          <w:tcPr>
            <w:tcW w:w="934" w:type="dxa"/>
            <w:tcBorders>
              <w:top w:val="nil"/>
              <w:left w:val="nil"/>
              <w:bottom w:val="nil"/>
              <w:right w:val="nil"/>
            </w:tcBorders>
            <w:shd w:val="clear" w:color="000000" w:fill="FFFFFF"/>
            <w:noWrap/>
            <w:vAlign w:val="center"/>
            <w:hideMark/>
          </w:tcPr>
          <w:p w14:paraId="3D4648D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3.00 (0.07)</w:t>
            </w:r>
          </w:p>
        </w:tc>
        <w:tc>
          <w:tcPr>
            <w:tcW w:w="992" w:type="dxa"/>
            <w:tcBorders>
              <w:top w:val="nil"/>
              <w:left w:val="nil"/>
              <w:bottom w:val="nil"/>
              <w:right w:val="nil"/>
            </w:tcBorders>
            <w:shd w:val="clear" w:color="000000" w:fill="FFFFFF"/>
            <w:noWrap/>
            <w:vAlign w:val="center"/>
            <w:hideMark/>
          </w:tcPr>
          <w:p w14:paraId="4C654D6D"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6.62 (0.09)</w:t>
            </w:r>
          </w:p>
        </w:tc>
        <w:tc>
          <w:tcPr>
            <w:tcW w:w="992" w:type="dxa"/>
            <w:tcBorders>
              <w:top w:val="nil"/>
              <w:left w:val="nil"/>
              <w:bottom w:val="nil"/>
              <w:right w:val="nil"/>
            </w:tcBorders>
            <w:shd w:val="clear" w:color="000000" w:fill="FFFFFF"/>
            <w:noWrap/>
            <w:vAlign w:val="center"/>
            <w:hideMark/>
          </w:tcPr>
          <w:p w14:paraId="655828F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3.50 (0.15)</w:t>
            </w:r>
          </w:p>
        </w:tc>
        <w:tc>
          <w:tcPr>
            <w:tcW w:w="990" w:type="dxa"/>
            <w:tcBorders>
              <w:top w:val="nil"/>
              <w:left w:val="nil"/>
              <w:bottom w:val="nil"/>
              <w:right w:val="nil"/>
            </w:tcBorders>
            <w:shd w:val="clear" w:color="000000" w:fill="FFFFFF"/>
            <w:noWrap/>
            <w:vAlign w:val="center"/>
            <w:hideMark/>
          </w:tcPr>
          <w:p w14:paraId="02284175"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1.58 (0.07)</w:t>
            </w:r>
          </w:p>
        </w:tc>
        <w:tc>
          <w:tcPr>
            <w:tcW w:w="1036" w:type="dxa"/>
            <w:tcBorders>
              <w:top w:val="nil"/>
              <w:left w:val="nil"/>
              <w:bottom w:val="nil"/>
              <w:right w:val="nil"/>
            </w:tcBorders>
            <w:shd w:val="clear" w:color="000000" w:fill="FFFFFF"/>
            <w:noWrap/>
            <w:vAlign w:val="center"/>
            <w:hideMark/>
          </w:tcPr>
          <w:p w14:paraId="5D63E20B"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0.18 (0.05)</w:t>
            </w:r>
          </w:p>
        </w:tc>
        <w:tc>
          <w:tcPr>
            <w:tcW w:w="951" w:type="dxa"/>
            <w:tcBorders>
              <w:top w:val="nil"/>
              <w:left w:val="nil"/>
              <w:bottom w:val="nil"/>
              <w:right w:val="nil"/>
            </w:tcBorders>
            <w:shd w:val="clear" w:color="000000" w:fill="FFFFFF"/>
            <w:noWrap/>
            <w:vAlign w:val="center"/>
            <w:hideMark/>
          </w:tcPr>
          <w:p w14:paraId="5BE3B735" w14:textId="77777777" w:rsidR="0057288D" w:rsidRPr="0057288D" w:rsidRDefault="0057288D" w:rsidP="0057288D">
            <w:pPr>
              <w:spacing w:line="240" w:lineRule="auto"/>
              <w:jc w:val="center"/>
              <w:rPr>
                <w:rFonts w:eastAsia="Times New Roman" w:cs="Times New Roman"/>
                <w:sz w:val="16"/>
                <w:szCs w:val="16"/>
              </w:rPr>
            </w:pPr>
            <w:r w:rsidRPr="0057288D">
              <w:rPr>
                <w:rFonts w:eastAsia="Times New Roman" w:cs="Times New Roman"/>
                <w:sz w:val="16"/>
                <w:szCs w:val="16"/>
              </w:rPr>
              <w:t>0.64</w:t>
            </w:r>
          </w:p>
        </w:tc>
        <w:tc>
          <w:tcPr>
            <w:tcW w:w="746" w:type="dxa"/>
            <w:tcBorders>
              <w:top w:val="nil"/>
              <w:left w:val="nil"/>
              <w:bottom w:val="nil"/>
              <w:right w:val="nil"/>
            </w:tcBorders>
            <w:shd w:val="clear" w:color="000000" w:fill="FFFFFF"/>
            <w:noWrap/>
            <w:vAlign w:val="center"/>
            <w:hideMark/>
          </w:tcPr>
          <w:p w14:paraId="49F85CB9"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0.34</w:t>
            </w:r>
          </w:p>
        </w:tc>
        <w:tc>
          <w:tcPr>
            <w:tcW w:w="955" w:type="dxa"/>
            <w:tcBorders>
              <w:top w:val="nil"/>
              <w:left w:val="nil"/>
              <w:bottom w:val="nil"/>
              <w:right w:val="nil"/>
            </w:tcBorders>
            <w:shd w:val="clear" w:color="000000" w:fill="FFFFFF"/>
            <w:noWrap/>
            <w:vAlign w:val="center"/>
            <w:hideMark/>
          </w:tcPr>
          <w:p w14:paraId="5809F155"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1.56 (0.02)</w:t>
            </w:r>
          </w:p>
        </w:tc>
      </w:tr>
      <w:tr w:rsidR="0057288D" w:rsidRPr="0057288D" w14:paraId="0F121B5A" w14:textId="77777777" w:rsidTr="009C2FD6">
        <w:trPr>
          <w:trHeight w:val="390"/>
        </w:trPr>
        <w:tc>
          <w:tcPr>
            <w:tcW w:w="1134" w:type="dxa"/>
            <w:tcBorders>
              <w:top w:val="nil"/>
              <w:left w:val="nil"/>
              <w:bottom w:val="nil"/>
              <w:right w:val="nil"/>
            </w:tcBorders>
            <w:shd w:val="clear" w:color="000000" w:fill="FFFFFF"/>
            <w:noWrap/>
            <w:vAlign w:val="center"/>
            <w:hideMark/>
          </w:tcPr>
          <w:p w14:paraId="0897F74F"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AND100red</w:t>
            </w:r>
            <w:r w:rsidRPr="0057288D">
              <w:rPr>
                <w:rFonts w:eastAsia="Times New Roman" w:cs="Times New Roman"/>
                <w:color w:val="000000"/>
                <w:sz w:val="16"/>
                <w:szCs w:val="16"/>
                <w:vertAlign w:val="superscript"/>
              </w:rPr>
              <w:t>d</w:t>
            </w:r>
          </w:p>
        </w:tc>
        <w:tc>
          <w:tcPr>
            <w:tcW w:w="1134" w:type="dxa"/>
            <w:tcBorders>
              <w:top w:val="nil"/>
              <w:left w:val="nil"/>
              <w:bottom w:val="nil"/>
              <w:right w:val="nil"/>
            </w:tcBorders>
            <w:shd w:val="clear" w:color="000000" w:fill="FFFFFF"/>
            <w:noWrap/>
            <w:vAlign w:val="center"/>
            <w:hideMark/>
          </w:tcPr>
          <w:p w14:paraId="48F741B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60.47 (0.40)</w:t>
            </w:r>
          </w:p>
        </w:tc>
        <w:tc>
          <w:tcPr>
            <w:tcW w:w="993" w:type="dxa"/>
            <w:tcBorders>
              <w:top w:val="nil"/>
              <w:left w:val="nil"/>
              <w:bottom w:val="nil"/>
              <w:right w:val="nil"/>
            </w:tcBorders>
            <w:shd w:val="clear" w:color="000000" w:fill="FFFFFF"/>
            <w:noWrap/>
            <w:vAlign w:val="center"/>
            <w:hideMark/>
          </w:tcPr>
          <w:p w14:paraId="50A166F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0.80 (0.07)</w:t>
            </w:r>
          </w:p>
        </w:tc>
        <w:tc>
          <w:tcPr>
            <w:tcW w:w="1155" w:type="dxa"/>
            <w:tcBorders>
              <w:top w:val="nil"/>
              <w:left w:val="nil"/>
              <w:bottom w:val="nil"/>
              <w:right w:val="nil"/>
            </w:tcBorders>
            <w:shd w:val="clear" w:color="000000" w:fill="FFFFFF"/>
            <w:noWrap/>
            <w:vAlign w:val="center"/>
            <w:hideMark/>
          </w:tcPr>
          <w:p w14:paraId="5AF80F3C"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16.83 (0.22)</w:t>
            </w:r>
          </w:p>
        </w:tc>
        <w:tc>
          <w:tcPr>
            <w:tcW w:w="940" w:type="dxa"/>
            <w:tcBorders>
              <w:top w:val="nil"/>
              <w:left w:val="nil"/>
              <w:bottom w:val="nil"/>
              <w:right w:val="nil"/>
            </w:tcBorders>
            <w:shd w:val="clear" w:color="000000" w:fill="FFFFFF"/>
            <w:noWrap/>
            <w:vAlign w:val="center"/>
            <w:hideMark/>
          </w:tcPr>
          <w:p w14:paraId="796D542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6.87 (0.12)</w:t>
            </w:r>
          </w:p>
        </w:tc>
        <w:tc>
          <w:tcPr>
            <w:tcW w:w="940" w:type="dxa"/>
            <w:tcBorders>
              <w:top w:val="nil"/>
              <w:left w:val="nil"/>
              <w:bottom w:val="nil"/>
              <w:right w:val="nil"/>
            </w:tcBorders>
            <w:shd w:val="clear" w:color="000000" w:fill="FFFFFF"/>
            <w:noWrap/>
            <w:vAlign w:val="center"/>
            <w:hideMark/>
          </w:tcPr>
          <w:p w14:paraId="7242307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0.18 (0.04)</w:t>
            </w:r>
          </w:p>
        </w:tc>
        <w:tc>
          <w:tcPr>
            <w:tcW w:w="934" w:type="dxa"/>
            <w:tcBorders>
              <w:top w:val="nil"/>
              <w:left w:val="nil"/>
              <w:bottom w:val="nil"/>
              <w:right w:val="nil"/>
            </w:tcBorders>
            <w:shd w:val="clear" w:color="000000" w:fill="FFFFFF"/>
            <w:noWrap/>
            <w:vAlign w:val="center"/>
            <w:hideMark/>
          </w:tcPr>
          <w:p w14:paraId="704A060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2.94 (0.06)</w:t>
            </w:r>
          </w:p>
        </w:tc>
        <w:tc>
          <w:tcPr>
            <w:tcW w:w="992" w:type="dxa"/>
            <w:tcBorders>
              <w:top w:val="nil"/>
              <w:left w:val="nil"/>
              <w:bottom w:val="nil"/>
              <w:right w:val="nil"/>
            </w:tcBorders>
            <w:shd w:val="clear" w:color="000000" w:fill="FFFFFF"/>
            <w:noWrap/>
            <w:vAlign w:val="center"/>
            <w:hideMark/>
          </w:tcPr>
          <w:p w14:paraId="62D6B27B"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6.51 (0.11)</w:t>
            </w:r>
          </w:p>
        </w:tc>
        <w:tc>
          <w:tcPr>
            <w:tcW w:w="992" w:type="dxa"/>
            <w:tcBorders>
              <w:top w:val="nil"/>
              <w:left w:val="nil"/>
              <w:bottom w:val="nil"/>
              <w:right w:val="nil"/>
            </w:tcBorders>
            <w:shd w:val="clear" w:color="000000" w:fill="FFFFFF"/>
            <w:noWrap/>
            <w:vAlign w:val="center"/>
            <w:hideMark/>
          </w:tcPr>
          <w:p w14:paraId="6189F47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3.46 (0.10)</w:t>
            </w:r>
          </w:p>
        </w:tc>
        <w:tc>
          <w:tcPr>
            <w:tcW w:w="990" w:type="dxa"/>
            <w:tcBorders>
              <w:top w:val="nil"/>
              <w:left w:val="nil"/>
              <w:bottom w:val="nil"/>
              <w:right w:val="nil"/>
            </w:tcBorders>
            <w:shd w:val="clear" w:color="000000" w:fill="FFFFFF"/>
            <w:noWrap/>
            <w:vAlign w:val="center"/>
            <w:hideMark/>
          </w:tcPr>
          <w:p w14:paraId="04748CF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1.65 (0.07)</w:t>
            </w:r>
          </w:p>
        </w:tc>
        <w:tc>
          <w:tcPr>
            <w:tcW w:w="1036" w:type="dxa"/>
            <w:tcBorders>
              <w:top w:val="nil"/>
              <w:left w:val="nil"/>
              <w:bottom w:val="nil"/>
              <w:right w:val="nil"/>
            </w:tcBorders>
            <w:shd w:val="clear" w:color="000000" w:fill="FFFFFF"/>
            <w:noWrap/>
            <w:vAlign w:val="center"/>
            <w:hideMark/>
          </w:tcPr>
          <w:p w14:paraId="0651A73F"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0.18 (0.05)</w:t>
            </w:r>
          </w:p>
        </w:tc>
        <w:tc>
          <w:tcPr>
            <w:tcW w:w="951" w:type="dxa"/>
            <w:tcBorders>
              <w:top w:val="nil"/>
              <w:left w:val="nil"/>
              <w:bottom w:val="nil"/>
              <w:right w:val="nil"/>
            </w:tcBorders>
            <w:shd w:val="clear" w:color="000000" w:fill="FFFFFF"/>
            <w:noWrap/>
            <w:vAlign w:val="center"/>
            <w:hideMark/>
          </w:tcPr>
          <w:p w14:paraId="0589CD7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0.27</w:t>
            </w:r>
          </w:p>
        </w:tc>
        <w:tc>
          <w:tcPr>
            <w:tcW w:w="746" w:type="dxa"/>
            <w:tcBorders>
              <w:top w:val="nil"/>
              <w:left w:val="nil"/>
              <w:bottom w:val="nil"/>
              <w:right w:val="nil"/>
            </w:tcBorders>
            <w:shd w:val="clear" w:color="000000" w:fill="FFFFFF"/>
            <w:noWrap/>
            <w:vAlign w:val="center"/>
            <w:hideMark/>
          </w:tcPr>
          <w:p w14:paraId="129D17B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0.34</w:t>
            </w:r>
          </w:p>
        </w:tc>
        <w:tc>
          <w:tcPr>
            <w:tcW w:w="955" w:type="dxa"/>
            <w:tcBorders>
              <w:top w:val="nil"/>
              <w:left w:val="nil"/>
              <w:bottom w:val="nil"/>
              <w:right w:val="nil"/>
            </w:tcBorders>
            <w:shd w:val="clear" w:color="000000" w:fill="FFFFFF"/>
            <w:noWrap/>
            <w:vAlign w:val="center"/>
            <w:hideMark/>
          </w:tcPr>
          <w:p w14:paraId="2FA2AEA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1.57 (0.02)</w:t>
            </w:r>
          </w:p>
        </w:tc>
      </w:tr>
      <w:tr w:rsidR="0057288D" w:rsidRPr="0057288D" w14:paraId="7847623C" w14:textId="77777777" w:rsidTr="009C2FD6">
        <w:trPr>
          <w:trHeight w:val="390"/>
        </w:trPr>
        <w:tc>
          <w:tcPr>
            <w:tcW w:w="1134" w:type="dxa"/>
            <w:tcBorders>
              <w:top w:val="nil"/>
              <w:left w:val="nil"/>
              <w:bottom w:val="nil"/>
              <w:right w:val="nil"/>
            </w:tcBorders>
            <w:shd w:val="clear" w:color="000000" w:fill="FFFFFF"/>
            <w:noWrap/>
            <w:vAlign w:val="center"/>
            <w:hideMark/>
          </w:tcPr>
          <w:p w14:paraId="44AFFC66" w14:textId="17EB96EB"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AND100</w:t>
            </w:r>
            <w:r w:rsidR="001D0CBC">
              <w:rPr>
                <w:rFonts w:eastAsia="Times New Roman" w:cs="Times New Roman"/>
                <w:color w:val="000000"/>
                <w:sz w:val="16"/>
                <w:szCs w:val="16"/>
              </w:rPr>
              <w:t>ox</w:t>
            </w:r>
            <w:r w:rsidRPr="0057288D">
              <w:rPr>
                <w:rFonts w:eastAsia="Times New Roman" w:cs="Times New Roman"/>
                <w:color w:val="000000"/>
                <w:sz w:val="16"/>
                <w:szCs w:val="16"/>
                <w:vertAlign w:val="superscript"/>
              </w:rPr>
              <w:t>d</w:t>
            </w:r>
          </w:p>
        </w:tc>
        <w:tc>
          <w:tcPr>
            <w:tcW w:w="1134" w:type="dxa"/>
            <w:tcBorders>
              <w:top w:val="nil"/>
              <w:left w:val="nil"/>
              <w:bottom w:val="nil"/>
              <w:right w:val="nil"/>
            </w:tcBorders>
            <w:shd w:val="clear" w:color="000000" w:fill="FFFFFF"/>
            <w:noWrap/>
            <w:vAlign w:val="center"/>
            <w:hideMark/>
          </w:tcPr>
          <w:p w14:paraId="2E72B17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60.56 (0.35)</w:t>
            </w:r>
          </w:p>
        </w:tc>
        <w:tc>
          <w:tcPr>
            <w:tcW w:w="993" w:type="dxa"/>
            <w:tcBorders>
              <w:top w:val="nil"/>
              <w:left w:val="nil"/>
              <w:bottom w:val="nil"/>
              <w:right w:val="nil"/>
            </w:tcBorders>
            <w:shd w:val="clear" w:color="000000" w:fill="FFFFFF"/>
            <w:noWrap/>
            <w:vAlign w:val="center"/>
            <w:hideMark/>
          </w:tcPr>
          <w:p w14:paraId="010E147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0.81 (0.06)</w:t>
            </w:r>
          </w:p>
        </w:tc>
        <w:tc>
          <w:tcPr>
            <w:tcW w:w="1155" w:type="dxa"/>
            <w:tcBorders>
              <w:top w:val="nil"/>
              <w:left w:val="nil"/>
              <w:bottom w:val="nil"/>
              <w:right w:val="nil"/>
            </w:tcBorders>
            <w:shd w:val="clear" w:color="000000" w:fill="FFFFFF"/>
            <w:noWrap/>
            <w:vAlign w:val="center"/>
            <w:hideMark/>
          </w:tcPr>
          <w:p w14:paraId="1433FFF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16.79 (0.19)</w:t>
            </w:r>
          </w:p>
        </w:tc>
        <w:tc>
          <w:tcPr>
            <w:tcW w:w="940" w:type="dxa"/>
            <w:tcBorders>
              <w:top w:val="nil"/>
              <w:left w:val="nil"/>
              <w:bottom w:val="nil"/>
              <w:right w:val="nil"/>
            </w:tcBorders>
            <w:shd w:val="clear" w:color="000000" w:fill="FFFFFF"/>
            <w:noWrap/>
            <w:vAlign w:val="center"/>
            <w:hideMark/>
          </w:tcPr>
          <w:p w14:paraId="29EF34F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6.76 (0.15)</w:t>
            </w:r>
          </w:p>
        </w:tc>
        <w:tc>
          <w:tcPr>
            <w:tcW w:w="940" w:type="dxa"/>
            <w:tcBorders>
              <w:top w:val="nil"/>
              <w:left w:val="nil"/>
              <w:bottom w:val="nil"/>
              <w:right w:val="nil"/>
            </w:tcBorders>
            <w:shd w:val="clear" w:color="000000" w:fill="FFFFFF"/>
            <w:noWrap/>
            <w:vAlign w:val="center"/>
            <w:hideMark/>
          </w:tcPr>
          <w:p w14:paraId="58CFE0B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0.18 (0.03)</w:t>
            </w:r>
          </w:p>
        </w:tc>
        <w:tc>
          <w:tcPr>
            <w:tcW w:w="934" w:type="dxa"/>
            <w:tcBorders>
              <w:top w:val="nil"/>
              <w:left w:val="nil"/>
              <w:bottom w:val="nil"/>
              <w:right w:val="nil"/>
            </w:tcBorders>
            <w:shd w:val="clear" w:color="000000" w:fill="FFFFFF"/>
            <w:noWrap/>
            <w:vAlign w:val="center"/>
            <w:hideMark/>
          </w:tcPr>
          <w:p w14:paraId="39EC29F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2.95 (0.06)</w:t>
            </w:r>
          </w:p>
        </w:tc>
        <w:tc>
          <w:tcPr>
            <w:tcW w:w="992" w:type="dxa"/>
            <w:tcBorders>
              <w:top w:val="nil"/>
              <w:left w:val="nil"/>
              <w:bottom w:val="nil"/>
              <w:right w:val="nil"/>
            </w:tcBorders>
            <w:shd w:val="clear" w:color="000000" w:fill="FFFFFF"/>
            <w:noWrap/>
            <w:vAlign w:val="center"/>
            <w:hideMark/>
          </w:tcPr>
          <w:p w14:paraId="3413300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6.49 (0.11)</w:t>
            </w:r>
          </w:p>
        </w:tc>
        <w:tc>
          <w:tcPr>
            <w:tcW w:w="992" w:type="dxa"/>
            <w:tcBorders>
              <w:top w:val="nil"/>
              <w:left w:val="nil"/>
              <w:bottom w:val="nil"/>
              <w:right w:val="nil"/>
            </w:tcBorders>
            <w:shd w:val="clear" w:color="000000" w:fill="FFFFFF"/>
            <w:noWrap/>
            <w:vAlign w:val="center"/>
            <w:hideMark/>
          </w:tcPr>
          <w:p w14:paraId="5F26CFC4"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3.40 (0.10)</w:t>
            </w:r>
          </w:p>
        </w:tc>
        <w:tc>
          <w:tcPr>
            <w:tcW w:w="990" w:type="dxa"/>
            <w:tcBorders>
              <w:top w:val="nil"/>
              <w:left w:val="nil"/>
              <w:bottom w:val="nil"/>
              <w:right w:val="nil"/>
            </w:tcBorders>
            <w:shd w:val="clear" w:color="000000" w:fill="FFFFFF"/>
            <w:noWrap/>
            <w:vAlign w:val="center"/>
            <w:hideMark/>
          </w:tcPr>
          <w:p w14:paraId="6EFD6DC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1.66 (0.06)</w:t>
            </w:r>
          </w:p>
        </w:tc>
        <w:tc>
          <w:tcPr>
            <w:tcW w:w="1036" w:type="dxa"/>
            <w:tcBorders>
              <w:top w:val="nil"/>
              <w:left w:val="nil"/>
              <w:bottom w:val="nil"/>
              <w:right w:val="nil"/>
            </w:tcBorders>
            <w:shd w:val="clear" w:color="000000" w:fill="FFFFFF"/>
            <w:noWrap/>
            <w:vAlign w:val="center"/>
            <w:hideMark/>
          </w:tcPr>
          <w:p w14:paraId="0B68D0B2"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0.18 (0.05)</w:t>
            </w:r>
          </w:p>
        </w:tc>
        <w:tc>
          <w:tcPr>
            <w:tcW w:w="951" w:type="dxa"/>
            <w:tcBorders>
              <w:top w:val="nil"/>
              <w:left w:val="nil"/>
              <w:bottom w:val="nil"/>
              <w:right w:val="nil"/>
            </w:tcBorders>
            <w:shd w:val="clear" w:color="000000" w:fill="FFFFFF"/>
            <w:noWrap/>
            <w:vAlign w:val="center"/>
            <w:hideMark/>
          </w:tcPr>
          <w:p w14:paraId="4F1B0412"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0.71</w:t>
            </w:r>
          </w:p>
        </w:tc>
        <w:tc>
          <w:tcPr>
            <w:tcW w:w="746" w:type="dxa"/>
            <w:tcBorders>
              <w:top w:val="nil"/>
              <w:left w:val="nil"/>
              <w:bottom w:val="nil"/>
              <w:right w:val="nil"/>
            </w:tcBorders>
            <w:shd w:val="clear" w:color="000000" w:fill="FFFFFF"/>
            <w:noWrap/>
            <w:vAlign w:val="center"/>
            <w:hideMark/>
          </w:tcPr>
          <w:p w14:paraId="5A780459"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0.34</w:t>
            </w:r>
          </w:p>
        </w:tc>
        <w:tc>
          <w:tcPr>
            <w:tcW w:w="955" w:type="dxa"/>
            <w:tcBorders>
              <w:top w:val="nil"/>
              <w:left w:val="nil"/>
              <w:bottom w:val="nil"/>
              <w:right w:val="nil"/>
            </w:tcBorders>
            <w:shd w:val="clear" w:color="000000" w:fill="FFFFFF"/>
            <w:noWrap/>
            <w:vAlign w:val="center"/>
            <w:hideMark/>
          </w:tcPr>
          <w:p w14:paraId="494BB40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1.58 (0.02)</w:t>
            </w:r>
          </w:p>
        </w:tc>
      </w:tr>
      <w:tr w:rsidR="0057288D" w:rsidRPr="0057288D" w14:paraId="4EA03342" w14:textId="77777777" w:rsidTr="009C2FD6">
        <w:trPr>
          <w:trHeight w:val="390"/>
        </w:trPr>
        <w:tc>
          <w:tcPr>
            <w:tcW w:w="1134" w:type="dxa"/>
            <w:tcBorders>
              <w:top w:val="nil"/>
              <w:left w:val="nil"/>
              <w:bottom w:val="nil"/>
              <w:right w:val="nil"/>
            </w:tcBorders>
            <w:shd w:val="clear" w:color="000000" w:fill="FFFFFF"/>
            <w:noWrap/>
            <w:vAlign w:val="center"/>
            <w:hideMark/>
          </w:tcPr>
          <w:p w14:paraId="6590A03D"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AND65</w:t>
            </w:r>
            <w:r w:rsidRPr="0057288D">
              <w:rPr>
                <w:rFonts w:eastAsia="Times New Roman" w:cs="Times New Roman"/>
                <w:color w:val="000000"/>
                <w:sz w:val="16"/>
                <w:szCs w:val="16"/>
                <w:vertAlign w:val="superscript"/>
              </w:rPr>
              <w:t>d</w:t>
            </w:r>
          </w:p>
        </w:tc>
        <w:tc>
          <w:tcPr>
            <w:tcW w:w="1134" w:type="dxa"/>
            <w:tcBorders>
              <w:top w:val="nil"/>
              <w:left w:val="nil"/>
              <w:bottom w:val="nil"/>
              <w:right w:val="nil"/>
            </w:tcBorders>
            <w:shd w:val="clear" w:color="000000" w:fill="FFFFFF"/>
            <w:noWrap/>
            <w:vAlign w:val="center"/>
            <w:hideMark/>
          </w:tcPr>
          <w:p w14:paraId="78603B85"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62.52 (0.19)</w:t>
            </w:r>
          </w:p>
        </w:tc>
        <w:tc>
          <w:tcPr>
            <w:tcW w:w="993" w:type="dxa"/>
            <w:tcBorders>
              <w:top w:val="nil"/>
              <w:left w:val="nil"/>
              <w:bottom w:val="nil"/>
              <w:right w:val="nil"/>
            </w:tcBorders>
            <w:shd w:val="clear" w:color="000000" w:fill="FFFFFF"/>
            <w:noWrap/>
            <w:vAlign w:val="center"/>
            <w:hideMark/>
          </w:tcPr>
          <w:p w14:paraId="1ED844B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0.56 (0.04)</w:t>
            </w:r>
          </w:p>
        </w:tc>
        <w:tc>
          <w:tcPr>
            <w:tcW w:w="1155" w:type="dxa"/>
            <w:tcBorders>
              <w:top w:val="nil"/>
              <w:left w:val="nil"/>
              <w:bottom w:val="nil"/>
              <w:right w:val="nil"/>
            </w:tcBorders>
            <w:shd w:val="clear" w:color="000000" w:fill="FFFFFF"/>
            <w:noWrap/>
            <w:vAlign w:val="center"/>
            <w:hideMark/>
          </w:tcPr>
          <w:p w14:paraId="69D113CB"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17.28 (0.22)</w:t>
            </w:r>
          </w:p>
        </w:tc>
        <w:tc>
          <w:tcPr>
            <w:tcW w:w="940" w:type="dxa"/>
            <w:tcBorders>
              <w:top w:val="nil"/>
              <w:left w:val="nil"/>
              <w:bottom w:val="nil"/>
              <w:right w:val="nil"/>
            </w:tcBorders>
            <w:shd w:val="clear" w:color="000000" w:fill="FFFFFF"/>
            <w:noWrap/>
            <w:vAlign w:val="center"/>
            <w:hideMark/>
          </w:tcPr>
          <w:p w14:paraId="14F1417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4.40 (0.11)</w:t>
            </w:r>
          </w:p>
        </w:tc>
        <w:tc>
          <w:tcPr>
            <w:tcW w:w="940" w:type="dxa"/>
            <w:tcBorders>
              <w:top w:val="nil"/>
              <w:left w:val="nil"/>
              <w:bottom w:val="nil"/>
              <w:right w:val="nil"/>
            </w:tcBorders>
            <w:shd w:val="clear" w:color="000000" w:fill="FFFFFF"/>
            <w:noWrap/>
            <w:vAlign w:val="center"/>
            <w:hideMark/>
          </w:tcPr>
          <w:p w14:paraId="066A441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0.11 (0.03)</w:t>
            </w:r>
          </w:p>
        </w:tc>
        <w:tc>
          <w:tcPr>
            <w:tcW w:w="934" w:type="dxa"/>
            <w:tcBorders>
              <w:top w:val="nil"/>
              <w:left w:val="nil"/>
              <w:bottom w:val="nil"/>
              <w:right w:val="nil"/>
            </w:tcBorders>
            <w:shd w:val="clear" w:color="000000" w:fill="FFFFFF"/>
            <w:noWrap/>
            <w:vAlign w:val="center"/>
            <w:hideMark/>
          </w:tcPr>
          <w:p w14:paraId="35C2B425"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3.02 (0.07)</w:t>
            </w:r>
          </w:p>
        </w:tc>
        <w:tc>
          <w:tcPr>
            <w:tcW w:w="992" w:type="dxa"/>
            <w:tcBorders>
              <w:top w:val="nil"/>
              <w:left w:val="nil"/>
              <w:bottom w:val="nil"/>
              <w:right w:val="nil"/>
            </w:tcBorders>
            <w:shd w:val="clear" w:color="000000" w:fill="FFFFFF"/>
            <w:noWrap/>
            <w:vAlign w:val="center"/>
            <w:hideMark/>
          </w:tcPr>
          <w:p w14:paraId="0985B31B"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6.76 (0.13)</w:t>
            </w:r>
          </w:p>
        </w:tc>
        <w:tc>
          <w:tcPr>
            <w:tcW w:w="992" w:type="dxa"/>
            <w:tcBorders>
              <w:top w:val="nil"/>
              <w:left w:val="nil"/>
              <w:bottom w:val="nil"/>
              <w:right w:val="nil"/>
            </w:tcBorders>
            <w:shd w:val="clear" w:color="000000" w:fill="FFFFFF"/>
            <w:noWrap/>
            <w:vAlign w:val="center"/>
            <w:hideMark/>
          </w:tcPr>
          <w:p w14:paraId="6934C71B"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3.49 (0.11)</w:t>
            </w:r>
          </w:p>
        </w:tc>
        <w:tc>
          <w:tcPr>
            <w:tcW w:w="990" w:type="dxa"/>
            <w:tcBorders>
              <w:top w:val="nil"/>
              <w:left w:val="nil"/>
              <w:bottom w:val="nil"/>
              <w:right w:val="nil"/>
            </w:tcBorders>
            <w:shd w:val="clear" w:color="000000" w:fill="FFFFFF"/>
            <w:noWrap/>
            <w:vAlign w:val="center"/>
            <w:hideMark/>
          </w:tcPr>
          <w:p w14:paraId="28C74EC5"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1.70 (0.05)</w:t>
            </w:r>
          </w:p>
        </w:tc>
        <w:tc>
          <w:tcPr>
            <w:tcW w:w="1036" w:type="dxa"/>
            <w:tcBorders>
              <w:top w:val="nil"/>
              <w:left w:val="nil"/>
              <w:bottom w:val="nil"/>
              <w:right w:val="nil"/>
            </w:tcBorders>
            <w:shd w:val="clear" w:color="000000" w:fill="FFFFFF"/>
            <w:noWrap/>
            <w:vAlign w:val="center"/>
            <w:hideMark/>
          </w:tcPr>
          <w:p w14:paraId="0125ADF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0.16 (0.05)</w:t>
            </w:r>
          </w:p>
        </w:tc>
        <w:tc>
          <w:tcPr>
            <w:tcW w:w="951" w:type="dxa"/>
            <w:tcBorders>
              <w:top w:val="nil"/>
              <w:left w:val="nil"/>
              <w:bottom w:val="nil"/>
              <w:right w:val="nil"/>
            </w:tcBorders>
            <w:shd w:val="clear" w:color="000000" w:fill="FFFFFF"/>
            <w:noWrap/>
            <w:vAlign w:val="center"/>
            <w:hideMark/>
          </w:tcPr>
          <w:p w14:paraId="1D909542" w14:textId="7AE22A76"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0.7</w:t>
            </w:r>
            <w:r w:rsidR="007925CE">
              <w:rPr>
                <w:rFonts w:eastAsia="Times New Roman" w:cs="Times New Roman"/>
                <w:color w:val="000000"/>
                <w:sz w:val="16"/>
                <w:szCs w:val="16"/>
              </w:rPr>
              <w:t>0</w:t>
            </w:r>
          </w:p>
        </w:tc>
        <w:tc>
          <w:tcPr>
            <w:tcW w:w="746" w:type="dxa"/>
            <w:tcBorders>
              <w:top w:val="nil"/>
              <w:left w:val="nil"/>
              <w:bottom w:val="nil"/>
              <w:right w:val="nil"/>
            </w:tcBorders>
            <w:shd w:val="clear" w:color="000000" w:fill="FFFFFF"/>
            <w:noWrap/>
            <w:vAlign w:val="center"/>
            <w:hideMark/>
          </w:tcPr>
          <w:p w14:paraId="4EBAD05B"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0.27</w:t>
            </w:r>
          </w:p>
        </w:tc>
        <w:tc>
          <w:tcPr>
            <w:tcW w:w="955" w:type="dxa"/>
            <w:tcBorders>
              <w:top w:val="nil"/>
              <w:left w:val="nil"/>
              <w:bottom w:val="nil"/>
              <w:right w:val="nil"/>
            </w:tcBorders>
            <w:shd w:val="clear" w:color="000000" w:fill="FFFFFF"/>
            <w:noWrap/>
            <w:vAlign w:val="center"/>
            <w:hideMark/>
          </w:tcPr>
          <w:p w14:paraId="6FD80E0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1.53 (0.02)</w:t>
            </w:r>
          </w:p>
        </w:tc>
      </w:tr>
      <w:tr w:rsidR="0057288D" w:rsidRPr="0057288D" w14:paraId="180B1AEF" w14:textId="77777777" w:rsidTr="009C2FD6">
        <w:trPr>
          <w:trHeight w:val="390"/>
        </w:trPr>
        <w:tc>
          <w:tcPr>
            <w:tcW w:w="1134" w:type="dxa"/>
            <w:tcBorders>
              <w:top w:val="nil"/>
              <w:left w:val="nil"/>
              <w:bottom w:val="nil"/>
              <w:right w:val="nil"/>
            </w:tcBorders>
            <w:shd w:val="clear" w:color="000000" w:fill="FFFFFF"/>
            <w:noWrap/>
            <w:vAlign w:val="center"/>
            <w:hideMark/>
          </w:tcPr>
          <w:p w14:paraId="72DB54B3"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AND0</w:t>
            </w:r>
            <w:r w:rsidRPr="0057288D">
              <w:rPr>
                <w:rFonts w:eastAsia="Times New Roman" w:cs="Times New Roman"/>
                <w:color w:val="000000"/>
                <w:sz w:val="16"/>
                <w:szCs w:val="16"/>
                <w:vertAlign w:val="superscript"/>
              </w:rPr>
              <w:t>d</w:t>
            </w:r>
          </w:p>
        </w:tc>
        <w:tc>
          <w:tcPr>
            <w:tcW w:w="1134" w:type="dxa"/>
            <w:tcBorders>
              <w:top w:val="nil"/>
              <w:left w:val="nil"/>
              <w:bottom w:val="nil"/>
              <w:right w:val="nil"/>
            </w:tcBorders>
            <w:shd w:val="clear" w:color="000000" w:fill="FFFFFF"/>
            <w:noWrap/>
            <w:vAlign w:val="center"/>
            <w:hideMark/>
          </w:tcPr>
          <w:p w14:paraId="634D3C2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65.91 (0.34)</w:t>
            </w:r>
          </w:p>
        </w:tc>
        <w:tc>
          <w:tcPr>
            <w:tcW w:w="993" w:type="dxa"/>
            <w:tcBorders>
              <w:top w:val="nil"/>
              <w:left w:val="nil"/>
              <w:bottom w:val="nil"/>
              <w:right w:val="nil"/>
            </w:tcBorders>
            <w:shd w:val="clear" w:color="000000" w:fill="FFFFFF"/>
            <w:noWrap/>
            <w:vAlign w:val="center"/>
            <w:hideMark/>
          </w:tcPr>
          <w:p w14:paraId="250A92F2"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0.04 (0.03)</w:t>
            </w:r>
          </w:p>
        </w:tc>
        <w:tc>
          <w:tcPr>
            <w:tcW w:w="1155" w:type="dxa"/>
            <w:tcBorders>
              <w:top w:val="nil"/>
              <w:left w:val="nil"/>
              <w:bottom w:val="nil"/>
              <w:right w:val="nil"/>
            </w:tcBorders>
            <w:shd w:val="clear" w:color="000000" w:fill="FFFFFF"/>
            <w:noWrap/>
            <w:vAlign w:val="center"/>
            <w:hideMark/>
          </w:tcPr>
          <w:p w14:paraId="21B4066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18.01 (0.11)</w:t>
            </w:r>
          </w:p>
        </w:tc>
        <w:tc>
          <w:tcPr>
            <w:tcW w:w="940" w:type="dxa"/>
            <w:tcBorders>
              <w:top w:val="nil"/>
              <w:left w:val="nil"/>
              <w:bottom w:val="nil"/>
              <w:right w:val="nil"/>
            </w:tcBorders>
            <w:shd w:val="clear" w:color="000000" w:fill="FFFFFF"/>
            <w:noWrap/>
            <w:vAlign w:val="center"/>
            <w:hideMark/>
          </w:tcPr>
          <w:p w14:paraId="1266C257"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0.04 (0.03)</w:t>
            </w:r>
          </w:p>
        </w:tc>
        <w:tc>
          <w:tcPr>
            <w:tcW w:w="940" w:type="dxa"/>
            <w:tcBorders>
              <w:top w:val="nil"/>
              <w:left w:val="nil"/>
              <w:bottom w:val="nil"/>
              <w:right w:val="nil"/>
            </w:tcBorders>
            <w:shd w:val="clear" w:color="000000" w:fill="FFFFFF"/>
            <w:noWrap/>
            <w:vAlign w:val="center"/>
            <w:hideMark/>
          </w:tcPr>
          <w:p w14:paraId="0B3A2F1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0.01 (0.01)</w:t>
            </w:r>
          </w:p>
        </w:tc>
        <w:tc>
          <w:tcPr>
            <w:tcW w:w="934" w:type="dxa"/>
            <w:tcBorders>
              <w:top w:val="nil"/>
              <w:left w:val="nil"/>
              <w:bottom w:val="nil"/>
              <w:right w:val="nil"/>
            </w:tcBorders>
            <w:shd w:val="clear" w:color="000000" w:fill="FFFFFF"/>
            <w:noWrap/>
            <w:vAlign w:val="center"/>
            <w:hideMark/>
          </w:tcPr>
          <w:p w14:paraId="522C602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3.21 (0.06)</w:t>
            </w:r>
          </w:p>
        </w:tc>
        <w:tc>
          <w:tcPr>
            <w:tcW w:w="992" w:type="dxa"/>
            <w:tcBorders>
              <w:top w:val="nil"/>
              <w:left w:val="nil"/>
              <w:bottom w:val="nil"/>
              <w:right w:val="nil"/>
            </w:tcBorders>
            <w:shd w:val="clear" w:color="000000" w:fill="FFFFFF"/>
            <w:noWrap/>
            <w:vAlign w:val="center"/>
            <w:hideMark/>
          </w:tcPr>
          <w:p w14:paraId="0B710B1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7.26 (0.11)</w:t>
            </w:r>
          </w:p>
        </w:tc>
        <w:tc>
          <w:tcPr>
            <w:tcW w:w="992" w:type="dxa"/>
            <w:tcBorders>
              <w:top w:val="nil"/>
              <w:left w:val="nil"/>
              <w:bottom w:val="nil"/>
              <w:right w:val="nil"/>
            </w:tcBorders>
            <w:shd w:val="clear" w:color="000000" w:fill="FFFFFF"/>
            <w:noWrap/>
            <w:vAlign w:val="center"/>
            <w:hideMark/>
          </w:tcPr>
          <w:p w14:paraId="0AC2315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3.82 (0.14)</w:t>
            </w:r>
          </w:p>
        </w:tc>
        <w:tc>
          <w:tcPr>
            <w:tcW w:w="990" w:type="dxa"/>
            <w:tcBorders>
              <w:top w:val="nil"/>
              <w:left w:val="nil"/>
              <w:bottom w:val="nil"/>
              <w:right w:val="nil"/>
            </w:tcBorders>
            <w:shd w:val="clear" w:color="000000" w:fill="FFFFFF"/>
            <w:noWrap/>
            <w:vAlign w:val="center"/>
            <w:hideMark/>
          </w:tcPr>
          <w:p w14:paraId="56EAB55C"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1.75 (0.06)</w:t>
            </w:r>
          </w:p>
        </w:tc>
        <w:tc>
          <w:tcPr>
            <w:tcW w:w="1036" w:type="dxa"/>
            <w:tcBorders>
              <w:top w:val="nil"/>
              <w:left w:val="nil"/>
              <w:bottom w:val="nil"/>
              <w:right w:val="nil"/>
            </w:tcBorders>
            <w:shd w:val="clear" w:color="000000" w:fill="FFFFFF"/>
            <w:noWrap/>
            <w:vAlign w:val="center"/>
            <w:hideMark/>
          </w:tcPr>
          <w:p w14:paraId="053C687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0.04 (0.03)</w:t>
            </w:r>
          </w:p>
        </w:tc>
        <w:tc>
          <w:tcPr>
            <w:tcW w:w="951" w:type="dxa"/>
            <w:tcBorders>
              <w:top w:val="nil"/>
              <w:left w:val="nil"/>
              <w:bottom w:val="nil"/>
              <w:right w:val="nil"/>
            </w:tcBorders>
            <w:shd w:val="clear" w:color="000000" w:fill="FFFFFF"/>
            <w:noWrap/>
            <w:vAlign w:val="center"/>
            <w:hideMark/>
          </w:tcPr>
          <w:p w14:paraId="798028C4"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c>
          <w:tcPr>
            <w:tcW w:w="746" w:type="dxa"/>
            <w:tcBorders>
              <w:top w:val="nil"/>
              <w:left w:val="nil"/>
              <w:bottom w:val="nil"/>
              <w:right w:val="nil"/>
            </w:tcBorders>
            <w:shd w:val="clear" w:color="000000" w:fill="FFFFFF"/>
            <w:noWrap/>
            <w:vAlign w:val="center"/>
            <w:hideMark/>
          </w:tcPr>
          <w:p w14:paraId="44A8E65B"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0.16</w:t>
            </w:r>
          </w:p>
        </w:tc>
        <w:tc>
          <w:tcPr>
            <w:tcW w:w="955" w:type="dxa"/>
            <w:tcBorders>
              <w:top w:val="nil"/>
              <w:left w:val="nil"/>
              <w:bottom w:val="nil"/>
              <w:right w:val="nil"/>
            </w:tcBorders>
            <w:shd w:val="clear" w:color="000000" w:fill="FFFFFF"/>
            <w:noWrap/>
            <w:vAlign w:val="center"/>
            <w:hideMark/>
          </w:tcPr>
          <w:p w14:paraId="1E9A1457"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1.48 (0.02)</w:t>
            </w:r>
          </w:p>
        </w:tc>
      </w:tr>
      <w:tr w:rsidR="0057288D" w:rsidRPr="0057288D" w14:paraId="49BD5636" w14:textId="77777777" w:rsidTr="009C2FD6">
        <w:trPr>
          <w:trHeight w:val="390"/>
        </w:trPr>
        <w:tc>
          <w:tcPr>
            <w:tcW w:w="1134" w:type="dxa"/>
            <w:tcBorders>
              <w:top w:val="nil"/>
              <w:left w:val="nil"/>
              <w:bottom w:val="nil"/>
              <w:right w:val="nil"/>
            </w:tcBorders>
            <w:shd w:val="clear" w:color="000000" w:fill="FFFFFF"/>
            <w:noWrap/>
            <w:vAlign w:val="center"/>
            <w:hideMark/>
          </w:tcPr>
          <w:p w14:paraId="7D1507AE"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And</w:t>
            </w:r>
            <w:r w:rsidRPr="0057288D">
              <w:rPr>
                <w:rFonts w:eastAsia="Times New Roman" w:cs="Times New Roman"/>
                <w:color w:val="000000"/>
                <w:sz w:val="16"/>
                <w:szCs w:val="16"/>
                <w:vertAlign w:val="superscript"/>
              </w:rPr>
              <w:t>e</w:t>
            </w:r>
          </w:p>
        </w:tc>
        <w:tc>
          <w:tcPr>
            <w:tcW w:w="1134" w:type="dxa"/>
            <w:tcBorders>
              <w:top w:val="nil"/>
              <w:left w:val="nil"/>
              <w:bottom w:val="nil"/>
              <w:right w:val="nil"/>
            </w:tcBorders>
            <w:shd w:val="clear" w:color="000000" w:fill="FFFFFF"/>
            <w:noWrap/>
            <w:vAlign w:val="center"/>
            <w:hideMark/>
          </w:tcPr>
          <w:p w14:paraId="2AD49BA4"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61.47 (0.26)</w:t>
            </w:r>
          </w:p>
        </w:tc>
        <w:tc>
          <w:tcPr>
            <w:tcW w:w="993" w:type="dxa"/>
            <w:tcBorders>
              <w:top w:val="nil"/>
              <w:left w:val="nil"/>
              <w:bottom w:val="nil"/>
              <w:right w:val="nil"/>
            </w:tcBorders>
            <w:shd w:val="clear" w:color="000000" w:fill="FFFFFF"/>
            <w:noWrap/>
            <w:vAlign w:val="center"/>
            <w:hideMark/>
          </w:tcPr>
          <w:p w14:paraId="3963BF1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0.81 (0.14)</w:t>
            </w:r>
          </w:p>
        </w:tc>
        <w:tc>
          <w:tcPr>
            <w:tcW w:w="1155" w:type="dxa"/>
            <w:tcBorders>
              <w:top w:val="nil"/>
              <w:left w:val="nil"/>
              <w:bottom w:val="nil"/>
              <w:right w:val="nil"/>
            </w:tcBorders>
            <w:shd w:val="clear" w:color="000000" w:fill="FFFFFF"/>
            <w:noWrap/>
            <w:vAlign w:val="center"/>
            <w:hideMark/>
          </w:tcPr>
          <w:p w14:paraId="42A7A1E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16.25 (0.15)</w:t>
            </w:r>
          </w:p>
        </w:tc>
        <w:tc>
          <w:tcPr>
            <w:tcW w:w="940" w:type="dxa"/>
            <w:tcBorders>
              <w:top w:val="nil"/>
              <w:left w:val="nil"/>
              <w:bottom w:val="nil"/>
              <w:right w:val="nil"/>
            </w:tcBorders>
            <w:shd w:val="clear" w:color="000000" w:fill="FFFFFF"/>
            <w:noWrap/>
            <w:vAlign w:val="center"/>
            <w:hideMark/>
          </w:tcPr>
          <w:p w14:paraId="33FA5FF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6.76 (0.19)</w:t>
            </w:r>
          </w:p>
        </w:tc>
        <w:tc>
          <w:tcPr>
            <w:tcW w:w="940" w:type="dxa"/>
            <w:tcBorders>
              <w:top w:val="nil"/>
              <w:left w:val="nil"/>
              <w:bottom w:val="nil"/>
              <w:right w:val="nil"/>
            </w:tcBorders>
            <w:shd w:val="clear" w:color="000000" w:fill="FFFFFF"/>
            <w:noWrap/>
            <w:vAlign w:val="center"/>
            <w:hideMark/>
          </w:tcPr>
          <w:p w14:paraId="273FC8F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0.14 (0.13)</w:t>
            </w:r>
          </w:p>
        </w:tc>
        <w:tc>
          <w:tcPr>
            <w:tcW w:w="934" w:type="dxa"/>
            <w:tcBorders>
              <w:top w:val="nil"/>
              <w:left w:val="nil"/>
              <w:bottom w:val="nil"/>
              <w:right w:val="nil"/>
            </w:tcBorders>
            <w:shd w:val="clear" w:color="000000" w:fill="FFFFFF"/>
            <w:noWrap/>
            <w:vAlign w:val="center"/>
            <w:hideMark/>
          </w:tcPr>
          <w:p w14:paraId="550E785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2.78 (0.09)</w:t>
            </w:r>
          </w:p>
        </w:tc>
        <w:tc>
          <w:tcPr>
            <w:tcW w:w="992" w:type="dxa"/>
            <w:tcBorders>
              <w:top w:val="nil"/>
              <w:left w:val="nil"/>
              <w:bottom w:val="nil"/>
              <w:right w:val="nil"/>
            </w:tcBorders>
            <w:shd w:val="clear" w:color="000000" w:fill="FFFFFF"/>
            <w:noWrap/>
            <w:vAlign w:val="center"/>
            <w:hideMark/>
          </w:tcPr>
          <w:p w14:paraId="272B60B2"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6.53 (0.09)</w:t>
            </w:r>
          </w:p>
        </w:tc>
        <w:tc>
          <w:tcPr>
            <w:tcW w:w="992" w:type="dxa"/>
            <w:tcBorders>
              <w:top w:val="nil"/>
              <w:left w:val="nil"/>
              <w:bottom w:val="nil"/>
              <w:right w:val="nil"/>
            </w:tcBorders>
            <w:shd w:val="clear" w:color="000000" w:fill="FFFFFF"/>
            <w:noWrap/>
            <w:vAlign w:val="center"/>
            <w:hideMark/>
          </w:tcPr>
          <w:p w14:paraId="4629644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3.54 (0.08)</w:t>
            </w:r>
          </w:p>
        </w:tc>
        <w:tc>
          <w:tcPr>
            <w:tcW w:w="990" w:type="dxa"/>
            <w:tcBorders>
              <w:top w:val="nil"/>
              <w:left w:val="nil"/>
              <w:bottom w:val="nil"/>
              <w:right w:val="nil"/>
            </w:tcBorders>
            <w:shd w:val="clear" w:color="000000" w:fill="FFFFFF"/>
            <w:noWrap/>
            <w:vAlign w:val="center"/>
            <w:hideMark/>
          </w:tcPr>
          <w:p w14:paraId="3CF7F86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1.61 (0.05)</w:t>
            </w:r>
          </w:p>
        </w:tc>
        <w:tc>
          <w:tcPr>
            <w:tcW w:w="1036" w:type="dxa"/>
            <w:tcBorders>
              <w:top w:val="nil"/>
              <w:left w:val="nil"/>
              <w:bottom w:val="nil"/>
              <w:right w:val="nil"/>
            </w:tcBorders>
            <w:shd w:val="clear" w:color="000000" w:fill="FFFFFF"/>
            <w:noWrap/>
            <w:vAlign w:val="center"/>
            <w:hideMark/>
          </w:tcPr>
          <w:p w14:paraId="1001DC7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0.11 (0.08)</w:t>
            </w:r>
          </w:p>
        </w:tc>
        <w:tc>
          <w:tcPr>
            <w:tcW w:w="951" w:type="dxa"/>
            <w:tcBorders>
              <w:top w:val="nil"/>
              <w:left w:val="nil"/>
              <w:bottom w:val="nil"/>
              <w:right w:val="nil"/>
            </w:tcBorders>
            <w:shd w:val="clear" w:color="000000" w:fill="FFFFFF"/>
            <w:noWrap/>
            <w:vAlign w:val="center"/>
            <w:hideMark/>
          </w:tcPr>
          <w:p w14:paraId="32729E0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c>
          <w:tcPr>
            <w:tcW w:w="746" w:type="dxa"/>
            <w:tcBorders>
              <w:top w:val="nil"/>
              <w:left w:val="nil"/>
              <w:bottom w:val="nil"/>
              <w:right w:val="nil"/>
            </w:tcBorders>
            <w:shd w:val="clear" w:color="000000" w:fill="FFFFFF"/>
            <w:noWrap/>
            <w:vAlign w:val="center"/>
            <w:hideMark/>
          </w:tcPr>
          <w:p w14:paraId="7225A7F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0.34</w:t>
            </w:r>
          </w:p>
        </w:tc>
        <w:tc>
          <w:tcPr>
            <w:tcW w:w="955" w:type="dxa"/>
            <w:tcBorders>
              <w:top w:val="nil"/>
              <w:left w:val="nil"/>
              <w:bottom w:val="nil"/>
              <w:right w:val="nil"/>
            </w:tcBorders>
            <w:shd w:val="clear" w:color="000000" w:fill="FFFFFF"/>
            <w:noWrap/>
            <w:vAlign w:val="center"/>
            <w:hideMark/>
          </w:tcPr>
          <w:p w14:paraId="29A8BF3D"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r>
      <w:tr w:rsidR="0057288D" w:rsidRPr="0057288D" w14:paraId="5E2E8507" w14:textId="77777777" w:rsidTr="009C2FD6">
        <w:trPr>
          <w:trHeight w:val="390"/>
        </w:trPr>
        <w:tc>
          <w:tcPr>
            <w:tcW w:w="1134" w:type="dxa"/>
            <w:tcBorders>
              <w:top w:val="nil"/>
              <w:left w:val="nil"/>
              <w:bottom w:val="nil"/>
              <w:right w:val="nil"/>
            </w:tcBorders>
            <w:shd w:val="clear" w:color="000000" w:fill="FFFFFF"/>
            <w:noWrap/>
            <w:vAlign w:val="center"/>
            <w:hideMark/>
          </w:tcPr>
          <w:p w14:paraId="7FA1214B"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MST</w:t>
            </w:r>
            <w:r w:rsidRPr="0057288D">
              <w:rPr>
                <w:rFonts w:eastAsia="Times New Roman" w:cs="Times New Roman"/>
                <w:color w:val="000000"/>
                <w:sz w:val="16"/>
                <w:szCs w:val="16"/>
                <w:vertAlign w:val="superscript"/>
              </w:rPr>
              <w:t>f</w:t>
            </w:r>
          </w:p>
        </w:tc>
        <w:tc>
          <w:tcPr>
            <w:tcW w:w="1134" w:type="dxa"/>
            <w:tcBorders>
              <w:top w:val="nil"/>
              <w:left w:val="nil"/>
              <w:bottom w:val="nil"/>
              <w:right w:val="nil"/>
            </w:tcBorders>
            <w:shd w:val="clear" w:color="000000" w:fill="FFFFFF"/>
            <w:noWrap/>
            <w:vAlign w:val="center"/>
            <w:hideMark/>
          </w:tcPr>
          <w:p w14:paraId="6387259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60.71</w:t>
            </w:r>
          </w:p>
        </w:tc>
        <w:tc>
          <w:tcPr>
            <w:tcW w:w="993" w:type="dxa"/>
            <w:tcBorders>
              <w:top w:val="nil"/>
              <w:left w:val="nil"/>
              <w:bottom w:val="nil"/>
              <w:right w:val="nil"/>
            </w:tcBorders>
            <w:shd w:val="clear" w:color="000000" w:fill="FFFFFF"/>
            <w:noWrap/>
            <w:vAlign w:val="center"/>
            <w:hideMark/>
          </w:tcPr>
          <w:p w14:paraId="52BB037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0.58</w:t>
            </w:r>
          </w:p>
        </w:tc>
        <w:tc>
          <w:tcPr>
            <w:tcW w:w="1155" w:type="dxa"/>
            <w:tcBorders>
              <w:top w:val="nil"/>
              <w:left w:val="nil"/>
              <w:bottom w:val="nil"/>
              <w:right w:val="nil"/>
            </w:tcBorders>
            <w:shd w:val="clear" w:color="000000" w:fill="FFFFFF"/>
            <w:noWrap/>
            <w:vAlign w:val="center"/>
            <w:hideMark/>
          </w:tcPr>
          <w:p w14:paraId="6B813A6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18.29</w:t>
            </w:r>
          </w:p>
        </w:tc>
        <w:tc>
          <w:tcPr>
            <w:tcW w:w="940" w:type="dxa"/>
            <w:tcBorders>
              <w:top w:val="nil"/>
              <w:left w:val="nil"/>
              <w:bottom w:val="nil"/>
              <w:right w:val="nil"/>
            </w:tcBorders>
            <w:shd w:val="clear" w:color="000000" w:fill="FFFFFF"/>
            <w:noWrap/>
            <w:vAlign w:val="center"/>
            <w:hideMark/>
          </w:tcPr>
          <w:p w14:paraId="57AB895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6.38</w:t>
            </w:r>
          </w:p>
        </w:tc>
        <w:tc>
          <w:tcPr>
            <w:tcW w:w="940" w:type="dxa"/>
            <w:tcBorders>
              <w:top w:val="nil"/>
              <w:left w:val="nil"/>
              <w:bottom w:val="nil"/>
              <w:right w:val="nil"/>
            </w:tcBorders>
            <w:shd w:val="clear" w:color="000000" w:fill="FFFFFF"/>
            <w:noWrap/>
            <w:vAlign w:val="center"/>
            <w:hideMark/>
          </w:tcPr>
          <w:p w14:paraId="6AC1BB47"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0.19</w:t>
            </w:r>
          </w:p>
        </w:tc>
        <w:tc>
          <w:tcPr>
            <w:tcW w:w="934" w:type="dxa"/>
            <w:tcBorders>
              <w:top w:val="nil"/>
              <w:left w:val="nil"/>
              <w:bottom w:val="nil"/>
              <w:right w:val="nil"/>
            </w:tcBorders>
            <w:shd w:val="clear" w:color="000000" w:fill="FFFFFF"/>
            <w:noWrap/>
            <w:vAlign w:val="center"/>
            <w:hideMark/>
          </w:tcPr>
          <w:p w14:paraId="253A94B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2.58</w:t>
            </w:r>
          </w:p>
        </w:tc>
        <w:tc>
          <w:tcPr>
            <w:tcW w:w="992" w:type="dxa"/>
            <w:tcBorders>
              <w:top w:val="nil"/>
              <w:left w:val="nil"/>
              <w:bottom w:val="nil"/>
              <w:right w:val="nil"/>
            </w:tcBorders>
            <w:shd w:val="clear" w:color="000000" w:fill="FFFFFF"/>
            <w:noWrap/>
            <w:vAlign w:val="center"/>
            <w:hideMark/>
          </w:tcPr>
          <w:p w14:paraId="53682F55"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7.1</w:t>
            </w:r>
          </w:p>
        </w:tc>
        <w:tc>
          <w:tcPr>
            <w:tcW w:w="992" w:type="dxa"/>
            <w:tcBorders>
              <w:top w:val="nil"/>
              <w:left w:val="nil"/>
              <w:bottom w:val="nil"/>
              <w:right w:val="nil"/>
            </w:tcBorders>
            <w:shd w:val="clear" w:color="000000" w:fill="FFFFFF"/>
            <w:noWrap/>
            <w:vAlign w:val="center"/>
            <w:hideMark/>
          </w:tcPr>
          <w:p w14:paraId="5EECBD9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3.57</w:t>
            </w:r>
          </w:p>
        </w:tc>
        <w:tc>
          <w:tcPr>
            <w:tcW w:w="990" w:type="dxa"/>
            <w:tcBorders>
              <w:top w:val="nil"/>
              <w:left w:val="nil"/>
              <w:bottom w:val="nil"/>
              <w:right w:val="nil"/>
            </w:tcBorders>
            <w:shd w:val="clear" w:color="000000" w:fill="FFFFFF"/>
            <w:noWrap/>
            <w:vAlign w:val="center"/>
            <w:hideMark/>
          </w:tcPr>
          <w:p w14:paraId="3B31873F"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0.85</w:t>
            </w:r>
          </w:p>
        </w:tc>
        <w:tc>
          <w:tcPr>
            <w:tcW w:w="1036" w:type="dxa"/>
            <w:tcBorders>
              <w:top w:val="nil"/>
              <w:left w:val="nil"/>
              <w:bottom w:val="nil"/>
              <w:right w:val="nil"/>
            </w:tcBorders>
            <w:shd w:val="clear" w:color="000000" w:fill="FFFFFF"/>
            <w:noWrap/>
            <w:vAlign w:val="center"/>
            <w:hideMark/>
          </w:tcPr>
          <w:p w14:paraId="761E435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c>
          <w:tcPr>
            <w:tcW w:w="951" w:type="dxa"/>
            <w:tcBorders>
              <w:top w:val="nil"/>
              <w:left w:val="nil"/>
              <w:bottom w:val="nil"/>
              <w:right w:val="nil"/>
            </w:tcBorders>
            <w:shd w:val="clear" w:color="000000" w:fill="FFFFFF"/>
            <w:noWrap/>
            <w:vAlign w:val="center"/>
            <w:hideMark/>
          </w:tcPr>
          <w:p w14:paraId="020B51E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c>
          <w:tcPr>
            <w:tcW w:w="746" w:type="dxa"/>
            <w:tcBorders>
              <w:top w:val="nil"/>
              <w:left w:val="nil"/>
              <w:bottom w:val="nil"/>
              <w:right w:val="nil"/>
            </w:tcBorders>
            <w:shd w:val="clear" w:color="000000" w:fill="FFFFFF"/>
            <w:noWrap/>
            <w:vAlign w:val="center"/>
            <w:hideMark/>
          </w:tcPr>
          <w:p w14:paraId="0752D6C7"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0.29</w:t>
            </w:r>
          </w:p>
        </w:tc>
        <w:tc>
          <w:tcPr>
            <w:tcW w:w="955" w:type="dxa"/>
            <w:tcBorders>
              <w:top w:val="nil"/>
              <w:left w:val="nil"/>
              <w:bottom w:val="nil"/>
              <w:right w:val="nil"/>
            </w:tcBorders>
            <w:shd w:val="clear" w:color="000000" w:fill="FFFFFF"/>
            <w:noWrap/>
            <w:vAlign w:val="center"/>
            <w:hideMark/>
          </w:tcPr>
          <w:p w14:paraId="1006566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r>
      <w:tr w:rsidR="0057288D" w:rsidRPr="0057288D" w14:paraId="063CE878" w14:textId="77777777" w:rsidTr="009C2FD6">
        <w:trPr>
          <w:trHeight w:val="390"/>
        </w:trPr>
        <w:tc>
          <w:tcPr>
            <w:tcW w:w="1134" w:type="dxa"/>
            <w:tcBorders>
              <w:top w:val="nil"/>
              <w:left w:val="nil"/>
              <w:bottom w:val="nil"/>
              <w:right w:val="nil"/>
            </w:tcBorders>
            <w:shd w:val="clear" w:color="000000" w:fill="FFFFFF"/>
            <w:noWrap/>
            <w:vAlign w:val="center"/>
            <w:hideMark/>
          </w:tcPr>
          <w:p w14:paraId="39B24EA6"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AndU</w:t>
            </w:r>
            <w:r w:rsidRPr="0057288D">
              <w:rPr>
                <w:rFonts w:eastAsia="Times New Roman" w:cs="Times New Roman"/>
                <w:color w:val="000000"/>
                <w:sz w:val="16"/>
                <w:szCs w:val="16"/>
                <w:vertAlign w:val="superscript"/>
              </w:rPr>
              <w:t>g</w:t>
            </w:r>
          </w:p>
        </w:tc>
        <w:tc>
          <w:tcPr>
            <w:tcW w:w="1134" w:type="dxa"/>
            <w:tcBorders>
              <w:top w:val="nil"/>
              <w:left w:val="nil"/>
              <w:bottom w:val="nil"/>
              <w:right w:val="nil"/>
            </w:tcBorders>
            <w:shd w:val="clear" w:color="000000" w:fill="FFFFFF"/>
            <w:noWrap/>
            <w:vAlign w:val="center"/>
            <w:hideMark/>
          </w:tcPr>
          <w:p w14:paraId="08800415"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56.65 (0.41)</w:t>
            </w:r>
          </w:p>
        </w:tc>
        <w:tc>
          <w:tcPr>
            <w:tcW w:w="993" w:type="dxa"/>
            <w:tcBorders>
              <w:top w:val="nil"/>
              <w:left w:val="nil"/>
              <w:bottom w:val="nil"/>
              <w:right w:val="nil"/>
            </w:tcBorders>
            <w:shd w:val="clear" w:color="000000" w:fill="FFFFFF"/>
            <w:noWrap/>
            <w:vAlign w:val="center"/>
            <w:hideMark/>
          </w:tcPr>
          <w:p w14:paraId="322961F0"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1.01 (0.04)</w:t>
            </w:r>
          </w:p>
        </w:tc>
        <w:tc>
          <w:tcPr>
            <w:tcW w:w="1155" w:type="dxa"/>
            <w:tcBorders>
              <w:top w:val="nil"/>
              <w:left w:val="nil"/>
              <w:bottom w:val="nil"/>
              <w:right w:val="nil"/>
            </w:tcBorders>
            <w:shd w:val="clear" w:color="000000" w:fill="FFFFFF"/>
            <w:noWrap/>
            <w:vAlign w:val="center"/>
            <w:hideMark/>
          </w:tcPr>
          <w:p w14:paraId="789EF28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17.41 (0.15)</w:t>
            </w:r>
          </w:p>
        </w:tc>
        <w:tc>
          <w:tcPr>
            <w:tcW w:w="940" w:type="dxa"/>
            <w:tcBorders>
              <w:top w:val="nil"/>
              <w:left w:val="nil"/>
              <w:bottom w:val="nil"/>
              <w:right w:val="nil"/>
            </w:tcBorders>
            <w:shd w:val="clear" w:color="000000" w:fill="FFFFFF"/>
            <w:noWrap/>
            <w:vAlign w:val="center"/>
            <w:hideMark/>
          </w:tcPr>
          <w:p w14:paraId="04CB03A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8.16 (0.21)</w:t>
            </w:r>
          </w:p>
        </w:tc>
        <w:tc>
          <w:tcPr>
            <w:tcW w:w="940" w:type="dxa"/>
            <w:tcBorders>
              <w:top w:val="nil"/>
              <w:left w:val="nil"/>
              <w:bottom w:val="nil"/>
              <w:right w:val="nil"/>
            </w:tcBorders>
            <w:shd w:val="clear" w:color="000000" w:fill="FFFFFF"/>
            <w:noWrap/>
            <w:vAlign w:val="center"/>
            <w:hideMark/>
          </w:tcPr>
          <w:p w14:paraId="7B58ED9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0.13 (0.04)</w:t>
            </w:r>
          </w:p>
        </w:tc>
        <w:tc>
          <w:tcPr>
            <w:tcW w:w="934" w:type="dxa"/>
            <w:tcBorders>
              <w:top w:val="nil"/>
              <w:left w:val="nil"/>
              <w:bottom w:val="nil"/>
              <w:right w:val="nil"/>
            </w:tcBorders>
            <w:shd w:val="clear" w:color="000000" w:fill="FFFFFF"/>
            <w:noWrap/>
            <w:vAlign w:val="center"/>
            <w:hideMark/>
          </w:tcPr>
          <w:p w14:paraId="1D9EDF32"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4.30 (0.07)</w:t>
            </w:r>
          </w:p>
        </w:tc>
        <w:tc>
          <w:tcPr>
            <w:tcW w:w="992" w:type="dxa"/>
            <w:tcBorders>
              <w:top w:val="nil"/>
              <w:left w:val="nil"/>
              <w:bottom w:val="nil"/>
              <w:right w:val="nil"/>
            </w:tcBorders>
            <w:shd w:val="clear" w:color="000000" w:fill="FFFFFF"/>
            <w:noWrap/>
            <w:vAlign w:val="center"/>
            <w:hideMark/>
          </w:tcPr>
          <w:p w14:paraId="72E53D07"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7.38 (0.11)</w:t>
            </w:r>
          </w:p>
        </w:tc>
        <w:tc>
          <w:tcPr>
            <w:tcW w:w="992" w:type="dxa"/>
            <w:tcBorders>
              <w:top w:val="nil"/>
              <w:left w:val="nil"/>
              <w:bottom w:val="nil"/>
              <w:right w:val="nil"/>
            </w:tcBorders>
            <w:shd w:val="clear" w:color="000000" w:fill="FFFFFF"/>
            <w:noWrap/>
            <w:vAlign w:val="center"/>
            <w:hideMark/>
          </w:tcPr>
          <w:p w14:paraId="5F633AC4"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3.23 (0.15)</w:t>
            </w:r>
          </w:p>
        </w:tc>
        <w:tc>
          <w:tcPr>
            <w:tcW w:w="990" w:type="dxa"/>
            <w:tcBorders>
              <w:top w:val="nil"/>
              <w:left w:val="nil"/>
              <w:bottom w:val="nil"/>
              <w:right w:val="nil"/>
            </w:tcBorders>
            <w:shd w:val="clear" w:color="000000" w:fill="FFFFFF"/>
            <w:noWrap/>
            <w:vAlign w:val="center"/>
            <w:hideMark/>
          </w:tcPr>
          <w:p w14:paraId="7CD2498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1.56 (0.07)</w:t>
            </w:r>
          </w:p>
        </w:tc>
        <w:tc>
          <w:tcPr>
            <w:tcW w:w="1036" w:type="dxa"/>
            <w:tcBorders>
              <w:top w:val="nil"/>
              <w:left w:val="nil"/>
              <w:bottom w:val="nil"/>
              <w:right w:val="nil"/>
            </w:tcBorders>
            <w:shd w:val="clear" w:color="000000" w:fill="FFFFFF"/>
            <w:noWrap/>
            <w:vAlign w:val="center"/>
            <w:hideMark/>
          </w:tcPr>
          <w:p w14:paraId="2A5C3942"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c>
          <w:tcPr>
            <w:tcW w:w="951" w:type="dxa"/>
            <w:tcBorders>
              <w:top w:val="nil"/>
              <w:left w:val="nil"/>
              <w:bottom w:val="nil"/>
              <w:right w:val="nil"/>
            </w:tcBorders>
            <w:shd w:val="clear" w:color="000000" w:fill="FFFFFF"/>
            <w:noWrap/>
            <w:vAlign w:val="center"/>
            <w:hideMark/>
          </w:tcPr>
          <w:p w14:paraId="2F0D51D9"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0.33-0.57</w:t>
            </w:r>
          </w:p>
        </w:tc>
        <w:tc>
          <w:tcPr>
            <w:tcW w:w="746" w:type="dxa"/>
            <w:tcBorders>
              <w:top w:val="nil"/>
              <w:left w:val="nil"/>
              <w:bottom w:val="nil"/>
              <w:right w:val="nil"/>
            </w:tcBorders>
            <w:shd w:val="clear" w:color="000000" w:fill="FFFFFF"/>
            <w:noWrap/>
            <w:vAlign w:val="center"/>
            <w:hideMark/>
          </w:tcPr>
          <w:p w14:paraId="2D09C68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0.44</w:t>
            </w:r>
          </w:p>
        </w:tc>
        <w:tc>
          <w:tcPr>
            <w:tcW w:w="955" w:type="dxa"/>
            <w:tcBorders>
              <w:top w:val="nil"/>
              <w:left w:val="nil"/>
              <w:bottom w:val="nil"/>
              <w:right w:val="nil"/>
            </w:tcBorders>
            <w:shd w:val="clear" w:color="000000" w:fill="FFFFFF"/>
            <w:noWrap/>
            <w:vAlign w:val="center"/>
            <w:hideMark/>
          </w:tcPr>
          <w:p w14:paraId="6B110014"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r>
      <w:tr w:rsidR="0057288D" w:rsidRPr="0057288D" w14:paraId="03F5FF11" w14:textId="77777777" w:rsidTr="009C2FD6">
        <w:trPr>
          <w:trHeight w:val="390"/>
        </w:trPr>
        <w:tc>
          <w:tcPr>
            <w:tcW w:w="1134" w:type="dxa"/>
            <w:tcBorders>
              <w:top w:val="nil"/>
              <w:left w:val="nil"/>
              <w:bottom w:val="nil"/>
              <w:right w:val="nil"/>
            </w:tcBorders>
            <w:shd w:val="clear" w:color="000000" w:fill="FFFFFF"/>
            <w:noWrap/>
            <w:vAlign w:val="center"/>
            <w:hideMark/>
          </w:tcPr>
          <w:p w14:paraId="69AEF7F7"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iron-free AndU</w:t>
            </w:r>
            <w:r w:rsidRPr="0057288D">
              <w:rPr>
                <w:rFonts w:eastAsia="Times New Roman" w:cs="Times New Roman"/>
                <w:color w:val="000000"/>
                <w:sz w:val="16"/>
                <w:szCs w:val="16"/>
                <w:vertAlign w:val="superscript"/>
              </w:rPr>
              <w:t>g</w:t>
            </w:r>
          </w:p>
        </w:tc>
        <w:tc>
          <w:tcPr>
            <w:tcW w:w="1134" w:type="dxa"/>
            <w:tcBorders>
              <w:top w:val="nil"/>
              <w:left w:val="nil"/>
              <w:bottom w:val="nil"/>
              <w:right w:val="nil"/>
            </w:tcBorders>
            <w:shd w:val="clear" w:color="000000" w:fill="FFFFFF"/>
            <w:noWrap/>
            <w:vAlign w:val="center"/>
            <w:hideMark/>
          </w:tcPr>
          <w:p w14:paraId="786BBDA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58.69 (0.33)</w:t>
            </w:r>
          </w:p>
        </w:tc>
        <w:tc>
          <w:tcPr>
            <w:tcW w:w="993" w:type="dxa"/>
            <w:tcBorders>
              <w:top w:val="nil"/>
              <w:left w:val="nil"/>
              <w:bottom w:val="nil"/>
              <w:right w:val="nil"/>
            </w:tcBorders>
            <w:shd w:val="clear" w:color="000000" w:fill="FFFFFF"/>
            <w:noWrap/>
            <w:vAlign w:val="center"/>
            <w:hideMark/>
          </w:tcPr>
          <w:p w14:paraId="5857CAB2"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0.01 (0.01)</w:t>
            </w:r>
          </w:p>
        </w:tc>
        <w:tc>
          <w:tcPr>
            <w:tcW w:w="1155" w:type="dxa"/>
            <w:tcBorders>
              <w:top w:val="nil"/>
              <w:left w:val="nil"/>
              <w:bottom w:val="nil"/>
              <w:right w:val="nil"/>
            </w:tcBorders>
            <w:shd w:val="clear" w:color="000000" w:fill="FFFFFF"/>
            <w:noWrap/>
            <w:vAlign w:val="center"/>
            <w:hideMark/>
          </w:tcPr>
          <w:p w14:paraId="3B07E17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21.57 (0.33)</w:t>
            </w:r>
          </w:p>
        </w:tc>
        <w:tc>
          <w:tcPr>
            <w:tcW w:w="940" w:type="dxa"/>
            <w:tcBorders>
              <w:top w:val="nil"/>
              <w:left w:val="nil"/>
              <w:bottom w:val="nil"/>
              <w:right w:val="nil"/>
            </w:tcBorders>
            <w:shd w:val="clear" w:color="000000" w:fill="FFFFFF"/>
            <w:noWrap/>
            <w:vAlign w:val="center"/>
            <w:hideMark/>
          </w:tcPr>
          <w:p w14:paraId="38613AB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0.02 (0.03)</w:t>
            </w:r>
          </w:p>
        </w:tc>
        <w:tc>
          <w:tcPr>
            <w:tcW w:w="940" w:type="dxa"/>
            <w:tcBorders>
              <w:top w:val="nil"/>
              <w:left w:val="nil"/>
              <w:bottom w:val="nil"/>
              <w:right w:val="nil"/>
            </w:tcBorders>
            <w:shd w:val="clear" w:color="000000" w:fill="FFFFFF"/>
            <w:noWrap/>
            <w:vAlign w:val="center"/>
            <w:hideMark/>
          </w:tcPr>
          <w:p w14:paraId="0515757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0.02 (0.02)</w:t>
            </w:r>
          </w:p>
        </w:tc>
        <w:tc>
          <w:tcPr>
            <w:tcW w:w="934" w:type="dxa"/>
            <w:tcBorders>
              <w:top w:val="nil"/>
              <w:left w:val="nil"/>
              <w:bottom w:val="nil"/>
              <w:right w:val="nil"/>
            </w:tcBorders>
            <w:shd w:val="clear" w:color="000000" w:fill="FFFFFF"/>
            <w:noWrap/>
            <w:vAlign w:val="center"/>
            <w:hideMark/>
          </w:tcPr>
          <w:p w14:paraId="23471B10"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5.38 (0.10)</w:t>
            </w:r>
          </w:p>
        </w:tc>
        <w:tc>
          <w:tcPr>
            <w:tcW w:w="992" w:type="dxa"/>
            <w:tcBorders>
              <w:top w:val="nil"/>
              <w:left w:val="nil"/>
              <w:bottom w:val="nil"/>
              <w:right w:val="nil"/>
            </w:tcBorders>
            <w:shd w:val="clear" w:color="000000" w:fill="FFFFFF"/>
            <w:noWrap/>
            <w:vAlign w:val="center"/>
            <w:hideMark/>
          </w:tcPr>
          <w:p w14:paraId="79E5F25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9.49 (0.18)</w:t>
            </w:r>
          </w:p>
        </w:tc>
        <w:tc>
          <w:tcPr>
            <w:tcW w:w="992" w:type="dxa"/>
            <w:tcBorders>
              <w:top w:val="nil"/>
              <w:left w:val="nil"/>
              <w:bottom w:val="nil"/>
              <w:right w:val="nil"/>
            </w:tcBorders>
            <w:shd w:val="clear" w:color="000000" w:fill="FFFFFF"/>
            <w:noWrap/>
            <w:vAlign w:val="center"/>
            <w:hideMark/>
          </w:tcPr>
          <w:p w14:paraId="058E5F3B"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3.30 (0.10)</w:t>
            </w:r>
          </w:p>
        </w:tc>
        <w:tc>
          <w:tcPr>
            <w:tcW w:w="990" w:type="dxa"/>
            <w:tcBorders>
              <w:top w:val="nil"/>
              <w:left w:val="nil"/>
              <w:bottom w:val="nil"/>
              <w:right w:val="nil"/>
            </w:tcBorders>
            <w:shd w:val="clear" w:color="000000" w:fill="FFFFFF"/>
            <w:noWrap/>
            <w:vAlign w:val="center"/>
            <w:hideMark/>
          </w:tcPr>
          <w:p w14:paraId="41E7FE5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1.57 (0.12)</w:t>
            </w:r>
          </w:p>
        </w:tc>
        <w:tc>
          <w:tcPr>
            <w:tcW w:w="1036" w:type="dxa"/>
            <w:tcBorders>
              <w:top w:val="nil"/>
              <w:left w:val="nil"/>
              <w:bottom w:val="nil"/>
              <w:right w:val="nil"/>
            </w:tcBorders>
            <w:shd w:val="clear" w:color="000000" w:fill="FFFFFF"/>
            <w:noWrap/>
            <w:vAlign w:val="center"/>
            <w:hideMark/>
          </w:tcPr>
          <w:p w14:paraId="7C14903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c>
          <w:tcPr>
            <w:tcW w:w="951" w:type="dxa"/>
            <w:tcBorders>
              <w:top w:val="nil"/>
              <w:left w:val="nil"/>
              <w:bottom w:val="nil"/>
              <w:right w:val="nil"/>
            </w:tcBorders>
            <w:shd w:val="clear" w:color="000000" w:fill="FFFFFF"/>
            <w:noWrap/>
            <w:vAlign w:val="center"/>
            <w:hideMark/>
          </w:tcPr>
          <w:p w14:paraId="3BED748F"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c>
          <w:tcPr>
            <w:tcW w:w="746" w:type="dxa"/>
            <w:tcBorders>
              <w:top w:val="nil"/>
              <w:left w:val="nil"/>
              <w:bottom w:val="nil"/>
              <w:right w:val="nil"/>
            </w:tcBorders>
            <w:shd w:val="clear" w:color="000000" w:fill="FFFFFF"/>
            <w:noWrap/>
            <w:vAlign w:val="center"/>
            <w:hideMark/>
          </w:tcPr>
          <w:p w14:paraId="1F9D5F0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0.23</w:t>
            </w:r>
          </w:p>
        </w:tc>
        <w:tc>
          <w:tcPr>
            <w:tcW w:w="955" w:type="dxa"/>
            <w:tcBorders>
              <w:top w:val="nil"/>
              <w:left w:val="nil"/>
              <w:bottom w:val="nil"/>
              <w:right w:val="nil"/>
            </w:tcBorders>
            <w:shd w:val="clear" w:color="000000" w:fill="FFFFFF"/>
            <w:noWrap/>
            <w:vAlign w:val="center"/>
            <w:hideMark/>
          </w:tcPr>
          <w:p w14:paraId="73544C0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r>
      <w:tr w:rsidR="0057288D" w:rsidRPr="0057288D" w14:paraId="213F4CE9" w14:textId="77777777" w:rsidTr="009C2FD6">
        <w:trPr>
          <w:trHeight w:val="390"/>
        </w:trPr>
        <w:tc>
          <w:tcPr>
            <w:tcW w:w="1134" w:type="dxa"/>
            <w:tcBorders>
              <w:top w:val="nil"/>
              <w:left w:val="nil"/>
              <w:bottom w:val="nil"/>
              <w:right w:val="nil"/>
            </w:tcBorders>
            <w:shd w:val="clear" w:color="000000" w:fill="FFFFFF"/>
            <w:noWrap/>
            <w:vAlign w:val="center"/>
            <w:hideMark/>
          </w:tcPr>
          <w:p w14:paraId="0F46E427"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ME13lle</w:t>
            </w:r>
            <w:r w:rsidRPr="0057288D">
              <w:rPr>
                <w:rFonts w:eastAsia="Times New Roman" w:cs="Times New Roman"/>
                <w:color w:val="000000"/>
                <w:sz w:val="16"/>
                <w:szCs w:val="16"/>
                <w:vertAlign w:val="superscript"/>
              </w:rPr>
              <w:t>h</w:t>
            </w:r>
          </w:p>
        </w:tc>
        <w:tc>
          <w:tcPr>
            <w:tcW w:w="1134" w:type="dxa"/>
            <w:tcBorders>
              <w:top w:val="nil"/>
              <w:left w:val="nil"/>
              <w:bottom w:val="nil"/>
              <w:right w:val="nil"/>
            </w:tcBorders>
            <w:shd w:val="clear" w:color="000000" w:fill="FFFFFF"/>
            <w:noWrap/>
            <w:vAlign w:val="center"/>
            <w:hideMark/>
          </w:tcPr>
          <w:p w14:paraId="2DAB6FC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59.70</w:t>
            </w:r>
          </w:p>
        </w:tc>
        <w:tc>
          <w:tcPr>
            <w:tcW w:w="993" w:type="dxa"/>
            <w:tcBorders>
              <w:top w:val="nil"/>
              <w:left w:val="nil"/>
              <w:bottom w:val="nil"/>
              <w:right w:val="nil"/>
            </w:tcBorders>
            <w:shd w:val="clear" w:color="000000" w:fill="FFFFFF"/>
            <w:noWrap/>
            <w:vAlign w:val="center"/>
            <w:hideMark/>
          </w:tcPr>
          <w:p w14:paraId="24EB12CF"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0.52</w:t>
            </w:r>
          </w:p>
        </w:tc>
        <w:tc>
          <w:tcPr>
            <w:tcW w:w="1155" w:type="dxa"/>
            <w:tcBorders>
              <w:top w:val="nil"/>
              <w:left w:val="nil"/>
              <w:bottom w:val="nil"/>
              <w:right w:val="nil"/>
            </w:tcBorders>
            <w:shd w:val="clear" w:color="000000" w:fill="FFFFFF"/>
            <w:noWrap/>
            <w:vAlign w:val="center"/>
            <w:hideMark/>
          </w:tcPr>
          <w:p w14:paraId="693D64E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18.30</w:t>
            </w:r>
          </w:p>
        </w:tc>
        <w:tc>
          <w:tcPr>
            <w:tcW w:w="940" w:type="dxa"/>
            <w:tcBorders>
              <w:top w:val="nil"/>
              <w:left w:val="nil"/>
              <w:bottom w:val="nil"/>
              <w:right w:val="nil"/>
            </w:tcBorders>
            <w:shd w:val="clear" w:color="000000" w:fill="FFFFFF"/>
            <w:noWrap/>
            <w:vAlign w:val="center"/>
            <w:hideMark/>
          </w:tcPr>
          <w:p w14:paraId="73555D6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7.58</w:t>
            </w:r>
          </w:p>
        </w:tc>
        <w:tc>
          <w:tcPr>
            <w:tcW w:w="940" w:type="dxa"/>
            <w:tcBorders>
              <w:top w:val="nil"/>
              <w:left w:val="nil"/>
              <w:bottom w:val="nil"/>
              <w:right w:val="nil"/>
            </w:tcBorders>
            <w:shd w:val="clear" w:color="000000" w:fill="FFFFFF"/>
            <w:noWrap/>
            <w:vAlign w:val="center"/>
            <w:hideMark/>
          </w:tcPr>
          <w:p w14:paraId="2CEDA7B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0.20</w:t>
            </w:r>
          </w:p>
        </w:tc>
        <w:tc>
          <w:tcPr>
            <w:tcW w:w="934" w:type="dxa"/>
            <w:tcBorders>
              <w:top w:val="nil"/>
              <w:left w:val="nil"/>
              <w:bottom w:val="nil"/>
              <w:right w:val="nil"/>
            </w:tcBorders>
            <w:shd w:val="clear" w:color="000000" w:fill="FFFFFF"/>
            <w:noWrap/>
            <w:vAlign w:val="center"/>
            <w:hideMark/>
          </w:tcPr>
          <w:p w14:paraId="3448DDCB"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2.59</w:t>
            </w:r>
          </w:p>
        </w:tc>
        <w:tc>
          <w:tcPr>
            <w:tcW w:w="992" w:type="dxa"/>
            <w:tcBorders>
              <w:top w:val="nil"/>
              <w:left w:val="nil"/>
              <w:bottom w:val="nil"/>
              <w:right w:val="nil"/>
            </w:tcBorders>
            <w:shd w:val="clear" w:color="000000" w:fill="FFFFFF"/>
            <w:noWrap/>
            <w:vAlign w:val="center"/>
            <w:hideMark/>
          </w:tcPr>
          <w:p w14:paraId="6A71904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7.21</w:t>
            </w:r>
          </w:p>
        </w:tc>
        <w:tc>
          <w:tcPr>
            <w:tcW w:w="992" w:type="dxa"/>
            <w:tcBorders>
              <w:top w:val="nil"/>
              <w:left w:val="nil"/>
              <w:bottom w:val="nil"/>
              <w:right w:val="nil"/>
            </w:tcBorders>
            <w:shd w:val="clear" w:color="000000" w:fill="FFFFFF"/>
            <w:noWrap/>
            <w:vAlign w:val="center"/>
            <w:hideMark/>
          </w:tcPr>
          <w:p w14:paraId="21B9FF3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3.44</w:t>
            </w:r>
          </w:p>
        </w:tc>
        <w:tc>
          <w:tcPr>
            <w:tcW w:w="990" w:type="dxa"/>
            <w:tcBorders>
              <w:top w:val="nil"/>
              <w:left w:val="nil"/>
              <w:bottom w:val="nil"/>
              <w:right w:val="nil"/>
            </w:tcBorders>
            <w:shd w:val="clear" w:color="000000" w:fill="FFFFFF"/>
            <w:noWrap/>
            <w:vAlign w:val="center"/>
            <w:hideMark/>
          </w:tcPr>
          <w:p w14:paraId="777FC22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0.90</w:t>
            </w:r>
          </w:p>
        </w:tc>
        <w:tc>
          <w:tcPr>
            <w:tcW w:w="1036" w:type="dxa"/>
            <w:tcBorders>
              <w:top w:val="nil"/>
              <w:left w:val="nil"/>
              <w:bottom w:val="nil"/>
              <w:right w:val="nil"/>
            </w:tcBorders>
            <w:shd w:val="clear" w:color="000000" w:fill="FFFFFF"/>
            <w:noWrap/>
            <w:vAlign w:val="center"/>
            <w:hideMark/>
          </w:tcPr>
          <w:p w14:paraId="7B47693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0.17</w:t>
            </w:r>
          </w:p>
        </w:tc>
        <w:tc>
          <w:tcPr>
            <w:tcW w:w="951" w:type="dxa"/>
            <w:tcBorders>
              <w:top w:val="nil"/>
              <w:left w:val="nil"/>
              <w:bottom w:val="nil"/>
              <w:right w:val="nil"/>
            </w:tcBorders>
            <w:shd w:val="clear" w:color="000000" w:fill="FFFFFF"/>
            <w:noWrap/>
            <w:vAlign w:val="center"/>
            <w:hideMark/>
          </w:tcPr>
          <w:p w14:paraId="7D9B6AB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c>
          <w:tcPr>
            <w:tcW w:w="746" w:type="dxa"/>
            <w:tcBorders>
              <w:top w:val="nil"/>
              <w:left w:val="nil"/>
              <w:bottom w:val="nil"/>
              <w:right w:val="nil"/>
            </w:tcBorders>
            <w:shd w:val="clear" w:color="000000" w:fill="FFFFFF"/>
            <w:noWrap/>
            <w:vAlign w:val="center"/>
            <w:hideMark/>
          </w:tcPr>
          <w:p w14:paraId="4E5A00A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0.33</w:t>
            </w:r>
          </w:p>
        </w:tc>
        <w:tc>
          <w:tcPr>
            <w:tcW w:w="955" w:type="dxa"/>
            <w:tcBorders>
              <w:top w:val="nil"/>
              <w:left w:val="nil"/>
              <w:bottom w:val="nil"/>
              <w:right w:val="nil"/>
            </w:tcBorders>
            <w:shd w:val="clear" w:color="000000" w:fill="FFFFFF"/>
            <w:noWrap/>
            <w:vAlign w:val="center"/>
            <w:hideMark/>
          </w:tcPr>
          <w:p w14:paraId="6DD8624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r>
      <w:tr w:rsidR="0057288D" w:rsidRPr="0057288D" w14:paraId="7EFEAD8D" w14:textId="77777777" w:rsidTr="009C2FD6">
        <w:trPr>
          <w:trHeight w:val="390"/>
        </w:trPr>
        <w:tc>
          <w:tcPr>
            <w:tcW w:w="1134" w:type="dxa"/>
            <w:tcBorders>
              <w:top w:val="nil"/>
              <w:left w:val="nil"/>
              <w:bottom w:val="nil"/>
              <w:right w:val="nil"/>
            </w:tcBorders>
            <w:shd w:val="clear" w:color="000000" w:fill="FFFFFF"/>
            <w:noWrap/>
            <w:vAlign w:val="center"/>
            <w:hideMark/>
          </w:tcPr>
          <w:p w14:paraId="147637BA"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Andesite</w:t>
            </w:r>
            <w:r w:rsidRPr="0057288D">
              <w:rPr>
                <w:rFonts w:eastAsia="Times New Roman" w:cs="Times New Roman"/>
                <w:color w:val="000000"/>
                <w:sz w:val="16"/>
                <w:szCs w:val="16"/>
                <w:vertAlign w:val="superscript"/>
              </w:rPr>
              <w:t>h</w:t>
            </w:r>
          </w:p>
        </w:tc>
        <w:tc>
          <w:tcPr>
            <w:tcW w:w="1134" w:type="dxa"/>
            <w:tcBorders>
              <w:top w:val="nil"/>
              <w:left w:val="nil"/>
              <w:bottom w:val="nil"/>
              <w:right w:val="nil"/>
            </w:tcBorders>
            <w:shd w:val="clear" w:color="000000" w:fill="FFFFFF"/>
            <w:noWrap/>
            <w:vAlign w:val="center"/>
            <w:hideMark/>
          </w:tcPr>
          <w:p w14:paraId="16448D1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62.40 (0.69)</w:t>
            </w:r>
          </w:p>
        </w:tc>
        <w:tc>
          <w:tcPr>
            <w:tcW w:w="993" w:type="dxa"/>
            <w:tcBorders>
              <w:top w:val="nil"/>
              <w:left w:val="nil"/>
              <w:bottom w:val="nil"/>
              <w:right w:val="nil"/>
            </w:tcBorders>
            <w:shd w:val="clear" w:color="000000" w:fill="FFFFFF"/>
            <w:noWrap/>
            <w:vAlign w:val="center"/>
            <w:hideMark/>
          </w:tcPr>
          <w:p w14:paraId="5EE4D5B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0.55 (0.02)</w:t>
            </w:r>
          </w:p>
        </w:tc>
        <w:tc>
          <w:tcPr>
            <w:tcW w:w="1155" w:type="dxa"/>
            <w:tcBorders>
              <w:top w:val="nil"/>
              <w:left w:val="nil"/>
              <w:bottom w:val="nil"/>
              <w:right w:val="nil"/>
            </w:tcBorders>
            <w:shd w:val="clear" w:color="000000" w:fill="FFFFFF"/>
            <w:noWrap/>
            <w:vAlign w:val="center"/>
            <w:hideMark/>
          </w:tcPr>
          <w:p w14:paraId="0BE78FB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20.01 (0.11)</w:t>
            </w:r>
          </w:p>
        </w:tc>
        <w:tc>
          <w:tcPr>
            <w:tcW w:w="940" w:type="dxa"/>
            <w:tcBorders>
              <w:top w:val="nil"/>
              <w:left w:val="nil"/>
              <w:bottom w:val="nil"/>
              <w:right w:val="nil"/>
            </w:tcBorders>
            <w:shd w:val="clear" w:color="000000" w:fill="FFFFFF"/>
            <w:noWrap/>
            <w:vAlign w:val="center"/>
            <w:hideMark/>
          </w:tcPr>
          <w:p w14:paraId="4D814F3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0.03 (0.03)</w:t>
            </w:r>
          </w:p>
        </w:tc>
        <w:tc>
          <w:tcPr>
            <w:tcW w:w="940" w:type="dxa"/>
            <w:tcBorders>
              <w:top w:val="nil"/>
              <w:left w:val="nil"/>
              <w:bottom w:val="nil"/>
              <w:right w:val="nil"/>
            </w:tcBorders>
            <w:shd w:val="clear" w:color="000000" w:fill="FFFFFF"/>
            <w:noWrap/>
            <w:vAlign w:val="center"/>
            <w:hideMark/>
          </w:tcPr>
          <w:p w14:paraId="74C82AB2"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0.02 (0.03)</w:t>
            </w:r>
          </w:p>
        </w:tc>
        <w:tc>
          <w:tcPr>
            <w:tcW w:w="934" w:type="dxa"/>
            <w:tcBorders>
              <w:top w:val="nil"/>
              <w:left w:val="nil"/>
              <w:bottom w:val="nil"/>
              <w:right w:val="nil"/>
            </w:tcBorders>
            <w:shd w:val="clear" w:color="000000" w:fill="FFFFFF"/>
            <w:noWrap/>
            <w:vAlign w:val="center"/>
            <w:hideMark/>
          </w:tcPr>
          <w:p w14:paraId="3E1AE055"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3.22 (0.05)</w:t>
            </w:r>
          </w:p>
        </w:tc>
        <w:tc>
          <w:tcPr>
            <w:tcW w:w="992" w:type="dxa"/>
            <w:tcBorders>
              <w:top w:val="nil"/>
              <w:left w:val="nil"/>
              <w:bottom w:val="nil"/>
              <w:right w:val="nil"/>
            </w:tcBorders>
            <w:shd w:val="clear" w:color="000000" w:fill="FFFFFF"/>
            <w:noWrap/>
            <w:vAlign w:val="center"/>
            <w:hideMark/>
          </w:tcPr>
          <w:p w14:paraId="281CE57C"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9.08 (0.14)</w:t>
            </w:r>
          </w:p>
        </w:tc>
        <w:tc>
          <w:tcPr>
            <w:tcW w:w="992" w:type="dxa"/>
            <w:tcBorders>
              <w:top w:val="nil"/>
              <w:left w:val="nil"/>
              <w:bottom w:val="nil"/>
              <w:right w:val="nil"/>
            </w:tcBorders>
            <w:shd w:val="clear" w:color="000000" w:fill="FFFFFF"/>
            <w:noWrap/>
            <w:vAlign w:val="center"/>
            <w:hideMark/>
          </w:tcPr>
          <w:p w14:paraId="779CA042"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3.52 (0.07)</w:t>
            </w:r>
          </w:p>
        </w:tc>
        <w:tc>
          <w:tcPr>
            <w:tcW w:w="990" w:type="dxa"/>
            <w:tcBorders>
              <w:top w:val="nil"/>
              <w:left w:val="nil"/>
              <w:bottom w:val="nil"/>
              <w:right w:val="nil"/>
            </w:tcBorders>
            <w:shd w:val="clear" w:color="000000" w:fill="FFFFFF"/>
            <w:noWrap/>
            <w:vAlign w:val="center"/>
            <w:hideMark/>
          </w:tcPr>
          <w:p w14:paraId="4EBCF87D"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0.93 (0.05)</w:t>
            </w:r>
          </w:p>
        </w:tc>
        <w:tc>
          <w:tcPr>
            <w:tcW w:w="1036" w:type="dxa"/>
            <w:tcBorders>
              <w:top w:val="nil"/>
              <w:left w:val="nil"/>
              <w:bottom w:val="nil"/>
              <w:right w:val="nil"/>
            </w:tcBorders>
            <w:shd w:val="clear" w:color="000000" w:fill="FFFFFF"/>
            <w:noWrap/>
            <w:vAlign w:val="center"/>
            <w:hideMark/>
          </w:tcPr>
          <w:p w14:paraId="4295BEA2"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0.12 (0.03)</w:t>
            </w:r>
          </w:p>
        </w:tc>
        <w:tc>
          <w:tcPr>
            <w:tcW w:w="951" w:type="dxa"/>
            <w:tcBorders>
              <w:top w:val="nil"/>
              <w:left w:val="nil"/>
              <w:bottom w:val="nil"/>
              <w:right w:val="nil"/>
            </w:tcBorders>
            <w:shd w:val="clear" w:color="000000" w:fill="FFFFFF"/>
            <w:noWrap/>
            <w:vAlign w:val="center"/>
            <w:hideMark/>
          </w:tcPr>
          <w:p w14:paraId="05BF23EC"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c>
          <w:tcPr>
            <w:tcW w:w="746" w:type="dxa"/>
            <w:tcBorders>
              <w:top w:val="nil"/>
              <w:left w:val="nil"/>
              <w:bottom w:val="nil"/>
              <w:right w:val="nil"/>
            </w:tcBorders>
            <w:shd w:val="clear" w:color="000000" w:fill="FFFFFF"/>
            <w:noWrap/>
            <w:vAlign w:val="center"/>
            <w:hideMark/>
          </w:tcPr>
          <w:p w14:paraId="10D1CAC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0.16</w:t>
            </w:r>
          </w:p>
        </w:tc>
        <w:tc>
          <w:tcPr>
            <w:tcW w:w="955" w:type="dxa"/>
            <w:tcBorders>
              <w:top w:val="nil"/>
              <w:left w:val="nil"/>
              <w:bottom w:val="nil"/>
              <w:right w:val="nil"/>
            </w:tcBorders>
            <w:shd w:val="clear" w:color="000000" w:fill="FFFFFF"/>
            <w:noWrap/>
            <w:vAlign w:val="center"/>
            <w:hideMark/>
          </w:tcPr>
          <w:p w14:paraId="5B5C4CE4"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r>
      <w:tr w:rsidR="0057288D" w:rsidRPr="0057288D" w14:paraId="51EB59ED" w14:textId="77777777" w:rsidTr="009C2FD6">
        <w:trPr>
          <w:trHeight w:val="390"/>
        </w:trPr>
        <w:tc>
          <w:tcPr>
            <w:tcW w:w="1134" w:type="dxa"/>
            <w:tcBorders>
              <w:top w:val="nil"/>
              <w:left w:val="nil"/>
              <w:bottom w:val="single" w:sz="8" w:space="0" w:color="auto"/>
              <w:right w:val="nil"/>
            </w:tcBorders>
            <w:shd w:val="clear" w:color="000000" w:fill="FFFFFF"/>
            <w:noWrap/>
            <w:vAlign w:val="center"/>
            <w:hideMark/>
          </w:tcPr>
          <w:p w14:paraId="0B54FB8D"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Andesite</w:t>
            </w:r>
            <w:r w:rsidRPr="0057288D">
              <w:rPr>
                <w:rFonts w:eastAsia="Times New Roman" w:cs="Times New Roman"/>
                <w:color w:val="000000"/>
                <w:sz w:val="16"/>
                <w:szCs w:val="16"/>
                <w:vertAlign w:val="superscript"/>
              </w:rPr>
              <w:t>i</w:t>
            </w:r>
          </w:p>
        </w:tc>
        <w:tc>
          <w:tcPr>
            <w:tcW w:w="1134" w:type="dxa"/>
            <w:tcBorders>
              <w:top w:val="nil"/>
              <w:left w:val="nil"/>
              <w:bottom w:val="single" w:sz="8" w:space="0" w:color="auto"/>
              <w:right w:val="nil"/>
            </w:tcBorders>
            <w:shd w:val="clear" w:color="000000" w:fill="FFFFFF"/>
            <w:noWrap/>
            <w:vAlign w:val="center"/>
            <w:hideMark/>
          </w:tcPr>
          <w:p w14:paraId="5643177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61.17 (0.15)</w:t>
            </w:r>
          </w:p>
        </w:tc>
        <w:tc>
          <w:tcPr>
            <w:tcW w:w="993" w:type="dxa"/>
            <w:tcBorders>
              <w:top w:val="nil"/>
              <w:left w:val="nil"/>
              <w:bottom w:val="single" w:sz="8" w:space="0" w:color="auto"/>
              <w:right w:val="nil"/>
            </w:tcBorders>
            <w:shd w:val="clear" w:color="000000" w:fill="FFFFFF"/>
            <w:noWrap/>
            <w:vAlign w:val="center"/>
            <w:hideMark/>
          </w:tcPr>
          <w:p w14:paraId="66E8998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0.84 (0.02)</w:t>
            </w:r>
          </w:p>
        </w:tc>
        <w:tc>
          <w:tcPr>
            <w:tcW w:w="1155" w:type="dxa"/>
            <w:tcBorders>
              <w:top w:val="nil"/>
              <w:left w:val="nil"/>
              <w:bottom w:val="single" w:sz="8" w:space="0" w:color="auto"/>
              <w:right w:val="nil"/>
            </w:tcBorders>
            <w:shd w:val="clear" w:color="000000" w:fill="FFFFFF"/>
            <w:noWrap/>
            <w:vAlign w:val="center"/>
            <w:hideMark/>
          </w:tcPr>
          <w:p w14:paraId="0457CE8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17.29 (0.05)</w:t>
            </w:r>
          </w:p>
        </w:tc>
        <w:tc>
          <w:tcPr>
            <w:tcW w:w="940" w:type="dxa"/>
            <w:tcBorders>
              <w:top w:val="nil"/>
              <w:left w:val="nil"/>
              <w:bottom w:val="single" w:sz="8" w:space="0" w:color="auto"/>
              <w:right w:val="nil"/>
            </w:tcBorders>
            <w:shd w:val="clear" w:color="000000" w:fill="FFFFFF"/>
            <w:noWrap/>
            <w:vAlign w:val="center"/>
            <w:hideMark/>
          </w:tcPr>
          <w:p w14:paraId="379BDBA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5.39 (0.19)</w:t>
            </w:r>
          </w:p>
        </w:tc>
        <w:tc>
          <w:tcPr>
            <w:tcW w:w="940" w:type="dxa"/>
            <w:tcBorders>
              <w:top w:val="nil"/>
              <w:left w:val="nil"/>
              <w:bottom w:val="single" w:sz="8" w:space="0" w:color="auto"/>
              <w:right w:val="nil"/>
            </w:tcBorders>
            <w:shd w:val="clear" w:color="000000" w:fill="FFFFFF"/>
            <w:noWrap/>
            <w:vAlign w:val="center"/>
            <w:hideMark/>
          </w:tcPr>
          <w:p w14:paraId="7145723F"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c>
          <w:tcPr>
            <w:tcW w:w="934" w:type="dxa"/>
            <w:tcBorders>
              <w:top w:val="nil"/>
              <w:left w:val="nil"/>
              <w:bottom w:val="single" w:sz="8" w:space="0" w:color="auto"/>
              <w:right w:val="nil"/>
            </w:tcBorders>
            <w:shd w:val="clear" w:color="000000" w:fill="FFFFFF"/>
            <w:noWrap/>
            <w:vAlign w:val="center"/>
            <w:hideMark/>
          </w:tcPr>
          <w:p w14:paraId="103CD50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3.35 (0.05)</w:t>
            </w:r>
          </w:p>
        </w:tc>
        <w:tc>
          <w:tcPr>
            <w:tcW w:w="992" w:type="dxa"/>
            <w:tcBorders>
              <w:top w:val="nil"/>
              <w:left w:val="nil"/>
              <w:bottom w:val="single" w:sz="8" w:space="0" w:color="auto"/>
              <w:right w:val="nil"/>
            </w:tcBorders>
            <w:shd w:val="clear" w:color="000000" w:fill="FFFFFF"/>
            <w:noWrap/>
            <w:vAlign w:val="center"/>
            <w:hideMark/>
          </w:tcPr>
          <w:p w14:paraId="08C4FDA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5.83 (0.05)</w:t>
            </w:r>
          </w:p>
        </w:tc>
        <w:tc>
          <w:tcPr>
            <w:tcW w:w="992" w:type="dxa"/>
            <w:tcBorders>
              <w:top w:val="nil"/>
              <w:left w:val="nil"/>
              <w:bottom w:val="single" w:sz="8" w:space="0" w:color="auto"/>
              <w:right w:val="nil"/>
            </w:tcBorders>
            <w:shd w:val="clear" w:color="000000" w:fill="FFFFFF"/>
            <w:noWrap/>
            <w:vAlign w:val="center"/>
            <w:hideMark/>
          </w:tcPr>
          <w:p w14:paraId="0843CB89"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3.85 (0.06)</w:t>
            </w:r>
          </w:p>
        </w:tc>
        <w:tc>
          <w:tcPr>
            <w:tcW w:w="990" w:type="dxa"/>
            <w:tcBorders>
              <w:top w:val="nil"/>
              <w:left w:val="nil"/>
              <w:bottom w:val="single" w:sz="8" w:space="0" w:color="auto"/>
              <w:right w:val="nil"/>
            </w:tcBorders>
            <w:shd w:val="clear" w:color="000000" w:fill="FFFFFF"/>
            <w:noWrap/>
            <w:vAlign w:val="center"/>
            <w:hideMark/>
          </w:tcPr>
          <w:p w14:paraId="2BE3EE68"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1.39 (0.02)</w:t>
            </w:r>
          </w:p>
        </w:tc>
        <w:tc>
          <w:tcPr>
            <w:tcW w:w="1036" w:type="dxa"/>
            <w:tcBorders>
              <w:top w:val="nil"/>
              <w:left w:val="nil"/>
              <w:bottom w:val="single" w:sz="8" w:space="0" w:color="auto"/>
              <w:right w:val="nil"/>
            </w:tcBorders>
            <w:shd w:val="clear" w:color="000000" w:fill="FFFFFF"/>
            <w:noWrap/>
            <w:vAlign w:val="center"/>
            <w:hideMark/>
          </w:tcPr>
          <w:p w14:paraId="623DE8FE"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c>
          <w:tcPr>
            <w:tcW w:w="951" w:type="dxa"/>
            <w:tcBorders>
              <w:top w:val="nil"/>
              <w:left w:val="nil"/>
              <w:bottom w:val="single" w:sz="8" w:space="0" w:color="auto"/>
              <w:right w:val="nil"/>
            </w:tcBorders>
            <w:shd w:val="clear" w:color="000000" w:fill="FFFFFF"/>
            <w:noWrap/>
            <w:vAlign w:val="center"/>
            <w:hideMark/>
          </w:tcPr>
          <w:p w14:paraId="7C20309C"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c>
          <w:tcPr>
            <w:tcW w:w="746" w:type="dxa"/>
            <w:tcBorders>
              <w:top w:val="nil"/>
              <w:left w:val="nil"/>
              <w:bottom w:val="single" w:sz="8" w:space="0" w:color="auto"/>
              <w:right w:val="nil"/>
            </w:tcBorders>
            <w:shd w:val="clear" w:color="000000" w:fill="FFFFFF"/>
            <w:noWrap/>
            <w:vAlign w:val="center"/>
            <w:hideMark/>
          </w:tcPr>
          <w:p w14:paraId="79F5D6C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0.30</w:t>
            </w:r>
          </w:p>
        </w:tc>
        <w:tc>
          <w:tcPr>
            <w:tcW w:w="955" w:type="dxa"/>
            <w:tcBorders>
              <w:top w:val="nil"/>
              <w:left w:val="nil"/>
              <w:bottom w:val="single" w:sz="8" w:space="0" w:color="auto"/>
              <w:right w:val="nil"/>
            </w:tcBorders>
            <w:shd w:val="clear" w:color="000000" w:fill="FFFFFF"/>
            <w:noWrap/>
            <w:vAlign w:val="center"/>
            <w:hideMark/>
          </w:tcPr>
          <w:p w14:paraId="673E08FA"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w:t>
            </w:r>
          </w:p>
        </w:tc>
      </w:tr>
      <w:tr w:rsidR="0057288D" w:rsidRPr="0057288D" w14:paraId="060E58B3" w14:textId="77777777" w:rsidTr="009C2FD6">
        <w:trPr>
          <w:trHeight w:val="375"/>
        </w:trPr>
        <w:tc>
          <w:tcPr>
            <w:tcW w:w="4416" w:type="dxa"/>
            <w:gridSpan w:val="4"/>
            <w:tcBorders>
              <w:top w:val="nil"/>
              <w:left w:val="nil"/>
              <w:bottom w:val="nil"/>
              <w:right w:val="nil"/>
            </w:tcBorders>
            <w:shd w:val="clear" w:color="000000" w:fill="FFFFFF"/>
            <w:noWrap/>
            <w:vAlign w:val="bottom"/>
            <w:hideMark/>
          </w:tcPr>
          <w:p w14:paraId="4CE5C3A5" w14:textId="78E5A9B3"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vertAlign w:val="superscript"/>
              </w:rPr>
              <w:t>a</w:t>
            </w:r>
            <w:r w:rsidRPr="0057288D">
              <w:rPr>
                <w:rFonts w:eastAsia="Times New Roman" w:cs="Times New Roman"/>
                <w:color w:val="000000"/>
                <w:sz w:val="16"/>
                <w:szCs w:val="16"/>
              </w:rPr>
              <w:t>Ratios derived using Mossa software</w:t>
            </w:r>
            <w:r w:rsidR="0002472C">
              <w:rPr>
                <w:rFonts w:eastAsia="Times New Roman" w:cs="Times New Roman"/>
                <w:color w:val="000000"/>
                <w:sz w:val="16"/>
                <w:szCs w:val="16"/>
              </w:rPr>
              <w:t xml:space="preserve"> </w:t>
            </w:r>
            <w:r w:rsidR="0002472C">
              <w:rPr>
                <w:rFonts w:eastAsia="Times New Roman" w:cs="Times New Roman"/>
                <w:color w:val="000000"/>
                <w:sz w:val="16"/>
                <w:szCs w:val="16"/>
              </w:rPr>
              <w:fldChar w:fldCharType="begin" w:fldLock="1"/>
            </w:r>
            <w:r w:rsidR="0002472C">
              <w:rPr>
                <w:rFonts w:eastAsia="Times New Roman" w:cs="Times New Roman"/>
                <w:color w:val="000000"/>
                <w:sz w:val="16"/>
                <w:szCs w:val="16"/>
              </w:rPr>
              <w:instrText>ADDIN CSL_CITATION {"citationItems":[{"id":"ITEM-1","itemData":{"DOI":"10.1107/S0021889812004979","ISSN":"0021-8898","abstract":"The program MossA provides a straightforward approach to the fitting of 57 Fe conventional and synchrotron energy-domain Mössbauer spectra. Sites can be defined simply by mouse clicks and hyperfine parameters can be constrained to constant values, within specific ranges, and can be coupled linearly between different subspectra. The program includes a full transmission integral fit with Lorentzian line shape (conventional source) or Lorentzian-squared line shape (synchrotron source). The fitting process is graphically displayed in real time while fitting and can be interrupted at any time. Gaussian-shaped quadrupole splitting distributions for analyzing nonmagnetic amorphous materials are included. MossA is designed especially for the rapid and comprehensive analysis of complex Mössbauer spectra, made possible by its native graphical user input.","author":[{"dropping-particle":"","family":"Prescher","given":"Clemens","non-dropping-particle":"","parse-names":false,"suffix":""},{"dropping-particle":"","family":"McCammon","given":"Catherine","non-dropping-particle":"","parse-names":false,"suffix":""},{"dropping-particle":"","family":"Dubrovinsky","given":"Leonid","non-dropping-particle":"","parse-names":false,"suffix":""}],"container-title":"Journal of Applied Crystallography","id":"ITEM-1","issue":"2","issued":{"date-parts":[["2012","4","1"]]},"page":"329-331","title":"MossA : a program for analyzing energy-domain Mössbauer spectra from conventional and synchrotron sources","type":"article-journal","volume":"45"},"uris":["http://www.mendeley.com/documents/?uuid=7c178131-69e2-401e-8c58-4f828d1db33f"]}],"mendeley":{"formattedCitation":"&lt;sup&gt;7&lt;/sup&gt;","plainTextFormattedCitation":"7","previouslyFormattedCitation":"&lt;sup&gt;7&lt;/sup&gt;"},"properties":{"noteIndex":0},"schema":"https://github.com/citation-style-language/schema/raw/master/csl-citation.json"}</w:instrText>
            </w:r>
            <w:r w:rsidR="0002472C">
              <w:rPr>
                <w:rFonts w:eastAsia="Times New Roman" w:cs="Times New Roman"/>
                <w:color w:val="000000"/>
                <w:sz w:val="16"/>
                <w:szCs w:val="16"/>
              </w:rPr>
              <w:fldChar w:fldCharType="separate"/>
            </w:r>
            <w:r w:rsidR="0002472C" w:rsidRPr="0002472C">
              <w:rPr>
                <w:rFonts w:eastAsia="Times New Roman" w:cs="Times New Roman"/>
                <w:noProof/>
                <w:color w:val="000000"/>
                <w:sz w:val="16"/>
                <w:szCs w:val="16"/>
                <w:vertAlign w:val="superscript"/>
              </w:rPr>
              <w:t>7</w:t>
            </w:r>
            <w:r w:rsidR="0002472C">
              <w:rPr>
                <w:rFonts w:eastAsia="Times New Roman" w:cs="Times New Roman"/>
                <w:color w:val="000000"/>
                <w:sz w:val="16"/>
                <w:szCs w:val="16"/>
              </w:rPr>
              <w:fldChar w:fldCharType="end"/>
            </w:r>
            <w:r w:rsidRPr="0057288D">
              <w:rPr>
                <w:rFonts w:eastAsia="Times New Roman" w:cs="Times New Roman"/>
                <w:color w:val="000000"/>
                <w:sz w:val="16"/>
                <w:szCs w:val="16"/>
              </w:rPr>
              <w:t>.</w:t>
            </w:r>
          </w:p>
        </w:tc>
        <w:tc>
          <w:tcPr>
            <w:tcW w:w="940" w:type="dxa"/>
            <w:tcBorders>
              <w:top w:val="nil"/>
              <w:left w:val="nil"/>
              <w:bottom w:val="nil"/>
              <w:right w:val="nil"/>
            </w:tcBorders>
            <w:shd w:val="clear" w:color="000000" w:fill="FFFFFF"/>
            <w:noWrap/>
            <w:vAlign w:val="bottom"/>
            <w:hideMark/>
          </w:tcPr>
          <w:p w14:paraId="258F7606"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 </w:t>
            </w:r>
          </w:p>
        </w:tc>
        <w:tc>
          <w:tcPr>
            <w:tcW w:w="940" w:type="dxa"/>
            <w:tcBorders>
              <w:top w:val="nil"/>
              <w:left w:val="nil"/>
              <w:bottom w:val="nil"/>
              <w:right w:val="nil"/>
            </w:tcBorders>
            <w:shd w:val="clear" w:color="000000" w:fill="FFFFFF"/>
            <w:noWrap/>
            <w:vAlign w:val="bottom"/>
            <w:hideMark/>
          </w:tcPr>
          <w:p w14:paraId="0BAF78EF"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 </w:t>
            </w:r>
          </w:p>
        </w:tc>
        <w:tc>
          <w:tcPr>
            <w:tcW w:w="934" w:type="dxa"/>
            <w:tcBorders>
              <w:top w:val="nil"/>
              <w:left w:val="nil"/>
              <w:bottom w:val="nil"/>
              <w:right w:val="nil"/>
            </w:tcBorders>
            <w:shd w:val="clear" w:color="000000" w:fill="FFFFFF"/>
            <w:noWrap/>
            <w:vAlign w:val="bottom"/>
            <w:hideMark/>
          </w:tcPr>
          <w:p w14:paraId="65BF178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 </w:t>
            </w:r>
          </w:p>
        </w:tc>
        <w:tc>
          <w:tcPr>
            <w:tcW w:w="992" w:type="dxa"/>
            <w:tcBorders>
              <w:top w:val="nil"/>
              <w:left w:val="nil"/>
              <w:bottom w:val="nil"/>
              <w:right w:val="nil"/>
            </w:tcBorders>
            <w:shd w:val="clear" w:color="000000" w:fill="FFFFFF"/>
            <w:noWrap/>
            <w:vAlign w:val="bottom"/>
            <w:hideMark/>
          </w:tcPr>
          <w:p w14:paraId="6EF58FEB"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 </w:t>
            </w:r>
          </w:p>
        </w:tc>
        <w:tc>
          <w:tcPr>
            <w:tcW w:w="992" w:type="dxa"/>
            <w:tcBorders>
              <w:top w:val="nil"/>
              <w:left w:val="nil"/>
              <w:bottom w:val="nil"/>
              <w:right w:val="nil"/>
            </w:tcBorders>
            <w:shd w:val="clear" w:color="000000" w:fill="FFFFFF"/>
            <w:noWrap/>
            <w:vAlign w:val="bottom"/>
            <w:hideMark/>
          </w:tcPr>
          <w:p w14:paraId="5D9F2554"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 </w:t>
            </w:r>
          </w:p>
        </w:tc>
        <w:tc>
          <w:tcPr>
            <w:tcW w:w="990" w:type="dxa"/>
            <w:tcBorders>
              <w:top w:val="nil"/>
              <w:left w:val="nil"/>
              <w:bottom w:val="nil"/>
              <w:right w:val="nil"/>
            </w:tcBorders>
            <w:shd w:val="clear" w:color="000000" w:fill="FFFFFF"/>
            <w:noWrap/>
            <w:vAlign w:val="bottom"/>
            <w:hideMark/>
          </w:tcPr>
          <w:p w14:paraId="3D67E434"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 </w:t>
            </w:r>
          </w:p>
        </w:tc>
        <w:tc>
          <w:tcPr>
            <w:tcW w:w="1036" w:type="dxa"/>
            <w:tcBorders>
              <w:top w:val="nil"/>
              <w:left w:val="nil"/>
              <w:bottom w:val="nil"/>
              <w:right w:val="nil"/>
            </w:tcBorders>
            <w:shd w:val="clear" w:color="000000" w:fill="FFFFFF"/>
            <w:noWrap/>
            <w:vAlign w:val="bottom"/>
            <w:hideMark/>
          </w:tcPr>
          <w:p w14:paraId="55AA6CD1"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 </w:t>
            </w:r>
          </w:p>
        </w:tc>
        <w:tc>
          <w:tcPr>
            <w:tcW w:w="951" w:type="dxa"/>
            <w:tcBorders>
              <w:top w:val="nil"/>
              <w:left w:val="nil"/>
              <w:bottom w:val="nil"/>
              <w:right w:val="nil"/>
            </w:tcBorders>
            <w:shd w:val="clear" w:color="000000" w:fill="FFFFFF"/>
            <w:noWrap/>
            <w:vAlign w:val="bottom"/>
            <w:hideMark/>
          </w:tcPr>
          <w:p w14:paraId="061D642C"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 </w:t>
            </w:r>
          </w:p>
        </w:tc>
        <w:tc>
          <w:tcPr>
            <w:tcW w:w="746" w:type="dxa"/>
            <w:tcBorders>
              <w:top w:val="nil"/>
              <w:left w:val="nil"/>
              <w:bottom w:val="nil"/>
              <w:right w:val="nil"/>
            </w:tcBorders>
            <w:shd w:val="clear" w:color="000000" w:fill="FFFFFF"/>
            <w:noWrap/>
            <w:vAlign w:val="bottom"/>
            <w:hideMark/>
          </w:tcPr>
          <w:p w14:paraId="3098A215"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 </w:t>
            </w:r>
          </w:p>
        </w:tc>
        <w:tc>
          <w:tcPr>
            <w:tcW w:w="955" w:type="dxa"/>
            <w:tcBorders>
              <w:top w:val="nil"/>
              <w:left w:val="nil"/>
              <w:bottom w:val="nil"/>
              <w:right w:val="nil"/>
            </w:tcBorders>
            <w:shd w:val="clear" w:color="000000" w:fill="FFFFFF"/>
            <w:noWrap/>
            <w:vAlign w:val="bottom"/>
            <w:hideMark/>
          </w:tcPr>
          <w:p w14:paraId="6A8EDF03" w14:textId="77777777" w:rsidR="0057288D" w:rsidRPr="0057288D" w:rsidRDefault="0057288D" w:rsidP="0057288D">
            <w:pPr>
              <w:spacing w:line="240" w:lineRule="auto"/>
              <w:jc w:val="center"/>
              <w:rPr>
                <w:rFonts w:eastAsia="Times New Roman" w:cs="Times New Roman"/>
                <w:color w:val="000000"/>
                <w:sz w:val="16"/>
                <w:szCs w:val="16"/>
              </w:rPr>
            </w:pPr>
            <w:r w:rsidRPr="0057288D">
              <w:rPr>
                <w:rFonts w:eastAsia="Times New Roman" w:cs="Times New Roman"/>
                <w:color w:val="000000"/>
                <w:sz w:val="16"/>
                <w:szCs w:val="16"/>
              </w:rPr>
              <w:t> </w:t>
            </w:r>
          </w:p>
        </w:tc>
      </w:tr>
      <w:tr w:rsidR="0057288D" w:rsidRPr="0057288D" w14:paraId="5BE89FD1" w14:textId="77777777" w:rsidTr="009C2FD6">
        <w:trPr>
          <w:trHeight w:val="375"/>
        </w:trPr>
        <w:tc>
          <w:tcPr>
            <w:tcW w:w="7230" w:type="dxa"/>
            <w:gridSpan w:val="7"/>
            <w:tcBorders>
              <w:top w:val="nil"/>
              <w:left w:val="nil"/>
              <w:bottom w:val="nil"/>
              <w:right w:val="nil"/>
            </w:tcBorders>
            <w:shd w:val="clear" w:color="000000" w:fill="FFFFFF"/>
            <w:noWrap/>
            <w:vAlign w:val="bottom"/>
            <w:hideMark/>
          </w:tcPr>
          <w:p w14:paraId="6F6D8000"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vertAlign w:val="superscript"/>
              </w:rPr>
              <w:t>b</w:t>
            </w:r>
            <w:r w:rsidRPr="0057288D">
              <w:rPr>
                <w:rFonts w:eastAsia="Times New Roman" w:cs="Times New Roman"/>
                <w:color w:val="000000"/>
                <w:sz w:val="16"/>
                <w:szCs w:val="16"/>
              </w:rPr>
              <w:t>NBO/T values were calculated using a supporting spreadsheet reported by Prata et al. (2019).</w:t>
            </w:r>
          </w:p>
        </w:tc>
        <w:tc>
          <w:tcPr>
            <w:tcW w:w="992" w:type="dxa"/>
            <w:tcBorders>
              <w:top w:val="nil"/>
              <w:left w:val="nil"/>
              <w:bottom w:val="nil"/>
              <w:right w:val="nil"/>
            </w:tcBorders>
            <w:shd w:val="clear" w:color="000000" w:fill="FFFFFF"/>
            <w:noWrap/>
            <w:vAlign w:val="bottom"/>
            <w:hideMark/>
          </w:tcPr>
          <w:p w14:paraId="56D469F3"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92" w:type="dxa"/>
            <w:tcBorders>
              <w:top w:val="nil"/>
              <w:left w:val="nil"/>
              <w:bottom w:val="nil"/>
              <w:right w:val="nil"/>
            </w:tcBorders>
            <w:shd w:val="clear" w:color="000000" w:fill="FFFFFF"/>
            <w:noWrap/>
            <w:vAlign w:val="bottom"/>
            <w:hideMark/>
          </w:tcPr>
          <w:p w14:paraId="2DF16320"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90" w:type="dxa"/>
            <w:tcBorders>
              <w:top w:val="nil"/>
              <w:left w:val="nil"/>
              <w:bottom w:val="nil"/>
              <w:right w:val="nil"/>
            </w:tcBorders>
            <w:shd w:val="clear" w:color="000000" w:fill="FFFFFF"/>
            <w:noWrap/>
            <w:vAlign w:val="bottom"/>
            <w:hideMark/>
          </w:tcPr>
          <w:p w14:paraId="20747FEB"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1036" w:type="dxa"/>
            <w:tcBorders>
              <w:top w:val="nil"/>
              <w:left w:val="nil"/>
              <w:bottom w:val="nil"/>
              <w:right w:val="nil"/>
            </w:tcBorders>
            <w:shd w:val="clear" w:color="000000" w:fill="FFFFFF"/>
            <w:noWrap/>
            <w:vAlign w:val="bottom"/>
            <w:hideMark/>
          </w:tcPr>
          <w:p w14:paraId="305C242D"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51" w:type="dxa"/>
            <w:tcBorders>
              <w:top w:val="nil"/>
              <w:left w:val="nil"/>
              <w:bottom w:val="nil"/>
              <w:right w:val="nil"/>
            </w:tcBorders>
            <w:shd w:val="clear" w:color="000000" w:fill="FFFFFF"/>
            <w:noWrap/>
            <w:vAlign w:val="bottom"/>
            <w:hideMark/>
          </w:tcPr>
          <w:p w14:paraId="59E4A8F7"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746" w:type="dxa"/>
            <w:tcBorders>
              <w:top w:val="nil"/>
              <w:left w:val="nil"/>
              <w:bottom w:val="nil"/>
              <w:right w:val="nil"/>
            </w:tcBorders>
            <w:shd w:val="clear" w:color="000000" w:fill="FFFFFF"/>
            <w:noWrap/>
            <w:vAlign w:val="bottom"/>
            <w:hideMark/>
          </w:tcPr>
          <w:p w14:paraId="3432E4AC"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55" w:type="dxa"/>
            <w:tcBorders>
              <w:top w:val="nil"/>
              <w:left w:val="nil"/>
              <w:bottom w:val="nil"/>
              <w:right w:val="nil"/>
            </w:tcBorders>
            <w:shd w:val="clear" w:color="000000" w:fill="FFFFFF"/>
            <w:noWrap/>
            <w:vAlign w:val="bottom"/>
            <w:hideMark/>
          </w:tcPr>
          <w:p w14:paraId="1F7B6544"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r>
      <w:tr w:rsidR="0057288D" w:rsidRPr="0057288D" w14:paraId="4FAEFCB3" w14:textId="77777777" w:rsidTr="009C2FD6">
        <w:trPr>
          <w:trHeight w:val="375"/>
        </w:trPr>
        <w:tc>
          <w:tcPr>
            <w:tcW w:w="4416" w:type="dxa"/>
            <w:gridSpan w:val="4"/>
            <w:tcBorders>
              <w:top w:val="nil"/>
              <w:left w:val="nil"/>
              <w:bottom w:val="nil"/>
              <w:right w:val="nil"/>
            </w:tcBorders>
            <w:shd w:val="clear" w:color="000000" w:fill="FFFFFF"/>
            <w:noWrap/>
            <w:vAlign w:val="bottom"/>
            <w:hideMark/>
          </w:tcPr>
          <w:p w14:paraId="06480506"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vertAlign w:val="superscript"/>
              </w:rPr>
              <w:t>c</w:t>
            </w:r>
            <w:r w:rsidRPr="0057288D">
              <w:rPr>
                <w:rFonts w:eastAsia="Times New Roman" w:cs="Times New Roman"/>
                <w:color w:val="000000"/>
                <w:sz w:val="16"/>
                <w:szCs w:val="16"/>
              </w:rPr>
              <w:t>Values derived using Brillouin spectroscopy data and Eq. 4.</w:t>
            </w:r>
          </w:p>
        </w:tc>
        <w:tc>
          <w:tcPr>
            <w:tcW w:w="940" w:type="dxa"/>
            <w:tcBorders>
              <w:top w:val="nil"/>
              <w:left w:val="nil"/>
              <w:bottom w:val="nil"/>
              <w:right w:val="nil"/>
            </w:tcBorders>
            <w:shd w:val="clear" w:color="000000" w:fill="FFFFFF"/>
            <w:noWrap/>
            <w:vAlign w:val="bottom"/>
            <w:hideMark/>
          </w:tcPr>
          <w:p w14:paraId="13F56078"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40" w:type="dxa"/>
            <w:tcBorders>
              <w:top w:val="nil"/>
              <w:left w:val="nil"/>
              <w:bottom w:val="nil"/>
              <w:right w:val="nil"/>
            </w:tcBorders>
            <w:shd w:val="clear" w:color="000000" w:fill="FFFFFF"/>
            <w:noWrap/>
            <w:vAlign w:val="bottom"/>
            <w:hideMark/>
          </w:tcPr>
          <w:p w14:paraId="4782924B"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34" w:type="dxa"/>
            <w:tcBorders>
              <w:top w:val="nil"/>
              <w:left w:val="nil"/>
              <w:bottom w:val="nil"/>
              <w:right w:val="nil"/>
            </w:tcBorders>
            <w:shd w:val="clear" w:color="000000" w:fill="FFFFFF"/>
            <w:noWrap/>
            <w:vAlign w:val="bottom"/>
            <w:hideMark/>
          </w:tcPr>
          <w:p w14:paraId="773311A6"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92" w:type="dxa"/>
            <w:tcBorders>
              <w:top w:val="nil"/>
              <w:left w:val="nil"/>
              <w:bottom w:val="nil"/>
              <w:right w:val="nil"/>
            </w:tcBorders>
            <w:shd w:val="clear" w:color="000000" w:fill="FFFFFF"/>
            <w:noWrap/>
            <w:vAlign w:val="bottom"/>
            <w:hideMark/>
          </w:tcPr>
          <w:p w14:paraId="7D38F54D"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92" w:type="dxa"/>
            <w:tcBorders>
              <w:top w:val="nil"/>
              <w:left w:val="nil"/>
              <w:bottom w:val="nil"/>
              <w:right w:val="nil"/>
            </w:tcBorders>
            <w:shd w:val="clear" w:color="000000" w:fill="FFFFFF"/>
            <w:noWrap/>
            <w:vAlign w:val="bottom"/>
            <w:hideMark/>
          </w:tcPr>
          <w:p w14:paraId="0D278FAD"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90" w:type="dxa"/>
            <w:tcBorders>
              <w:top w:val="nil"/>
              <w:left w:val="nil"/>
              <w:bottom w:val="nil"/>
              <w:right w:val="nil"/>
            </w:tcBorders>
            <w:shd w:val="clear" w:color="000000" w:fill="FFFFFF"/>
            <w:noWrap/>
            <w:vAlign w:val="bottom"/>
            <w:hideMark/>
          </w:tcPr>
          <w:p w14:paraId="41BF8756"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1036" w:type="dxa"/>
            <w:tcBorders>
              <w:top w:val="nil"/>
              <w:left w:val="nil"/>
              <w:bottom w:val="nil"/>
              <w:right w:val="nil"/>
            </w:tcBorders>
            <w:shd w:val="clear" w:color="000000" w:fill="FFFFFF"/>
            <w:noWrap/>
            <w:vAlign w:val="bottom"/>
            <w:hideMark/>
          </w:tcPr>
          <w:p w14:paraId="6BB7BD84"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51" w:type="dxa"/>
            <w:tcBorders>
              <w:top w:val="nil"/>
              <w:left w:val="nil"/>
              <w:bottom w:val="nil"/>
              <w:right w:val="nil"/>
            </w:tcBorders>
            <w:shd w:val="clear" w:color="000000" w:fill="FFFFFF"/>
            <w:noWrap/>
            <w:vAlign w:val="bottom"/>
            <w:hideMark/>
          </w:tcPr>
          <w:p w14:paraId="02EE518A"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746" w:type="dxa"/>
            <w:tcBorders>
              <w:top w:val="nil"/>
              <w:left w:val="nil"/>
              <w:bottom w:val="nil"/>
              <w:right w:val="nil"/>
            </w:tcBorders>
            <w:shd w:val="clear" w:color="000000" w:fill="FFFFFF"/>
            <w:noWrap/>
            <w:vAlign w:val="bottom"/>
            <w:hideMark/>
          </w:tcPr>
          <w:p w14:paraId="0BBAD3DB"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55" w:type="dxa"/>
            <w:tcBorders>
              <w:top w:val="nil"/>
              <w:left w:val="nil"/>
              <w:bottom w:val="nil"/>
              <w:right w:val="nil"/>
            </w:tcBorders>
            <w:shd w:val="clear" w:color="000000" w:fill="FFFFFF"/>
            <w:noWrap/>
            <w:vAlign w:val="bottom"/>
            <w:hideMark/>
          </w:tcPr>
          <w:p w14:paraId="195E3F4C"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r>
      <w:tr w:rsidR="0057288D" w:rsidRPr="0057288D" w14:paraId="6869A078" w14:textId="77777777" w:rsidTr="0057288D">
        <w:trPr>
          <w:trHeight w:val="375"/>
        </w:trPr>
        <w:tc>
          <w:tcPr>
            <w:tcW w:w="9214" w:type="dxa"/>
            <w:gridSpan w:val="9"/>
            <w:tcBorders>
              <w:top w:val="nil"/>
              <w:left w:val="nil"/>
              <w:bottom w:val="nil"/>
              <w:right w:val="nil"/>
            </w:tcBorders>
            <w:shd w:val="clear" w:color="000000" w:fill="FFFFFF"/>
            <w:noWrap/>
            <w:vAlign w:val="bottom"/>
            <w:hideMark/>
          </w:tcPr>
          <w:p w14:paraId="07212F2B"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vertAlign w:val="superscript"/>
              </w:rPr>
              <w:t>d</w:t>
            </w:r>
            <w:r w:rsidRPr="0057288D">
              <w:rPr>
                <w:rFonts w:eastAsia="Times New Roman" w:cs="Times New Roman"/>
                <w:color w:val="000000"/>
                <w:sz w:val="16"/>
                <w:szCs w:val="16"/>
              </w:rPr>
              <w:t xml:space="preserve">This study. </w:t>
            </w:r>
            <w:r w:rsidRPr="0057288D">
              <w:rPr>
                <w:rFonts w:eastAsia="Times New Roman" w:cs="Times New Roman"/>
                <w:color w:val="000000"/>
                <w:sz w:val="16"/>
                <w:szCs w:val="16"/>
                <w:vertAlign w:val="superscript"/>
              </w:rPr>
              <w:t>e</w:t>
            </w:r>
            <w:r w:rsidRPr="0057288D">
              <w:rPr>
                <w:rFonts w:eastAsia="Times New Roman" w:cs="Times New Roman"/>
                <w:color w:val="000000"/>
                <w:sz w:val="16"/>
                <w:szCs w:val="16"/>
              </w:rPr>
              <w:t xml:space="preserve">Okumura et al. </w:t>
            </w:r>
            <w:r w:rsidRPr="005F7FEB">
              <w:rPr>
                <w:rFonts w:eastAsia="Times New Roman" w:cs="Times New Roman"/>
                <w:color w:val="000000"/>
                <w:sz w:val="16"/>
                <w:szCs w:val="16"/>
                <w:lang w:val="it-IT"/>
              </w:rPr>
              <w:t xml:space="preserve">(2022). </w:t>
            </w:r>
            <w:r w:rsidRPr="005F7FEB">
              <w:rPr>
                <w:rFonts w:eastAsia="Times New Roman" w:cs="Times New Roman"/>
                <w:color w:val="000000"/>
                <w:sz w:val="16"/>
                <w:szCs w:val="16"/>
                <w:vertAlign w:val="superscript"/>
                <w:lang w:val="it-IT"/>
              </w:rPr>
              <w:t>f</w:t>
            </w:r>
            <w:r w:rsidRPr="005F7FEB">
              <w:rPr>
                <w:rFonts w:eastAsia="Times New Roman" w:cs="Times New Roman"/>
                <w:color w:val="000000"/>
                <w:sz w:val="16"/>
                <w:szCs w:val="16"/>
                <w:lang w:val="it-IT"/>
              </w:rPr>
              <w:t xml:space="preserve">Giordano et al. (2006). </w:t>
            </w:r>
            <w:r w:rsidRPr="005F7FEB">
              <w:rPr>
                <w:rFonts w:eastAsia="Times New Roman" w:cs="Times New Roman"/>
                <w:color w:val="000000"/>
                <w:sz w:val="16"/>
                <w:szCs w:val="16"/>
                <w:vertAlign w:val="superscript"/>
                <w:lang w:val="it-IT"/>
              </w:rPr>
              <w:t>g</w:t>
            </w:r>
            <w:r w:rsidRPr="005F7FEB">
              <w:rPr>
                <w:rFonts w:eastAsia="Times New Roman" w:cs="Times New Roman"/>
                <w:color w:val="000000"/>
                <w:sz w:val="16"/>
                <w:szCs w:val="16"/>
                <w:lang w:val="it-IT"/>
              </w:rPr>
              <w:t xml:space="preserve">Liebske et al. </w:t>
            </w:r>
            <w:r w:rsidRPr="0057288D">
              <w:rPr>
                <w:rFonts w:eastAsia="Times New Roman" w:cs="Times New Roman"/>
                <w:color w:val="000000"/>
                <w:sz w:val="16"/>
                <w:szCs w:val="16"/>
              </w:rPr>
              <w:t xml:space="preserve">(2003). </w:t>
            </w:r>
            <w:r w:rsidRPr="0057288D">
              <w:rPr>
                <w:rFonts w:eastAsia="Times New Roman" w:cs="Times New Roman"/>
                <w:color w:val="000000"/>
                <w:sz w:val="16"/>
                <w:szCs w:val="16"/>
                <w:vertAlign w:val="superscript"/>
              </w:rPr>
              <w:t>h</w:t>
            </w:r>
            <w:r w:rsidRPr="0057288D">
              <w:rPr>
                <w:rFonts w:eastAsia="Times New Roman" w:cs="Times New Roman"/>
                <w:color w:val="000000"/>
                <w:sz w:val="16"/>
                <w:szCs w:val="16"/>
              </w:rPr>
              <w:t xml:space="preserve">Richet et al. (1996). </w:t>
            </w:r>
            <w:r w:rsidRPr="0057288D">
              <w:rPr>
                <w:rFonts w:eastAsia="Times New Roman" w:cs="Times New Roman"/>
                <w:color w:val="000000"/>
                <w:sz w:val="16"/>
                <w:szCs w:val="16"/>
                <w:vertAlign w:val="superscript"/>
              </w:rPr>
              <w:t>i</w:t>
            </w:r>
            <w:r w:rsidRPr="0057288D">
              <w:rPr>
                <w:rFonts w:eastAsia="Times New Roman" w:cs="Times New Roman"/>
                <w:color w:val="000000"/>
                <w:sz w:val="16"/>
                <w:szCs w:val="16"/>
              </w:rPr>
              <w:t>Neuville et al. (1993).</w:t>
            </w:r>
          </w:p>
        </w:tc>
        <w:tc>
          <w:tcPr>
            <w:tcW w:w="990" w:type="dxa"/>
            <w:tcBorders>
              <w:top w:val="nil"/>
              <w:left w:val="nil"/>
              <w:bottom w:val="nil"/>
              <w:right w:val="nil"/>
            </w:tcBorders>
            <w:shd w:val="clear" w:color="000000" w:fill="FFFFFF"/>
            <w:noWrap/>
            <w:vAlign w:val="bottom"/>
            <w:hideMark/>
          </w:tcPr>
          <w:p w14:paraId="1F1B2F08"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1036" w:type="dxa"/>
            <w:tcBorders>
              <w:top w:val="nil"/>
              <w:left w:val="nil"/>
              <w:bottom w:val="nil"/>
              <w:right w:val="nil"/>
            </w:tcBorders>
            <w:shd w:val="clear" w:color="000000" w:fill="FFFFFF"/>
            <w:noWrap/>
            <w:vAlign w:val="bottom"/>
            <w:hideMark/>
          </w:tcPr>
          <w:p w14:paraId="70E81866"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51" w:type="dxa"/>
            <w:tcBorders>
              <w:top w:val="nil"/>
              <w:left w:val="nil"/>
              <w:bottom w:val="nil"/>
              <w:right w:val="nil"/>
            </w:tcBorders>
            <w:shd w:val="clear" w:color="000000" w:fill="FFFFFF"/>
            <w:noWrap/>
            <w:vAlign w:val="bottom"/>
            <w:hideMark/>
          </w:tcPr>
          <w:p w14:paraId="12FD00BC"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746" w:type="dxa"/>
            <w:tcBorders>
              <w:top w:val="nil"/>
              <w:left w:val="nil"/>
              <w:bottom w:val="nil"/>
              <w:right w:val="nil"/>
            </w:tcBorders>
            <w:shd w:val="clear" w:color="000000" w:fill="FFFFFF"/>
            <w:noWrap/>
            <w:vAlign w:val="bottom"/>
            <w:hideMark/>
          </w:tcPr>
          <w:p w14:paraId="0F11F38F"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c>
          <w:tcPr>
            <w:tcW w:w="955" w:type="dxa"/>
            <w:tcBorders>
              <w:top w:val="nil"/>
              <w:left w:val="nil"/>
              <w:bottom w:val="nil"/>
              <w:right w:val="nil"/>
            </w:tcBorders>
            <w:shd w:val="clear" w:color="000000" w:fill="FFFFFF"/>
            <w:noWrap/>
            <w:vAlign w:val="bottom"/>
            <w:hideMark/>
          </w:tcPr>
          <w:p w14:paraId="3EB95E76" w14:textId="77777777" w:rsidR="0057288D" w:rsidRPr="0057288D" w:rsidRDefault="0057288D" w:rsidP="0057288D">
            <w:pPr>
              <w:spacing w:line="240" w:lineRule="auto"/>
              <w:jc w:val="left"/>
              <w:rPr>
                <w:rFonts w:eastAsia="Times New Roman" w:cs="Times New Roman"/>
                <w:color w:val="000000"/>
                <w:sz w:val="16"/>
                <w:szCs w:val="16"/>
              </w:rPr>
            </w:pPr>
            <w:r w:rsidRPr="0057288D">
              <w:rPr>
                <w:rFonts w:eastAsia="Times New Roman" w:cs="Times New Roman"/>
                <w:color w:val="000000"/>
                <w:sz w:val="16"/>
                <w:szCs w:val="16"/>
              </w:rPr>
              <w:t> </w:t>
            </w:r>
          </w:p>
        </w:tc>
      </w:tr>
    </w:tbl>
    <w:p w14:paraId="6AF63A4C" w14:textId="77777777" w:rsidR="00C97BA2" w:rsidRPr="00C53ACC" w:rsidRDefault="00C97BA2" w:rsidP="00C97BA2">
      <w:pPr>
        <w:spacing w:line="480" w:lineRule="auto"/>
        <w:ind w:firstLine="720"/>
        <w:rPr>
          <w:rFonts w:cs="Times New Roman"/>
          <w:lang w:val="en-GB"/>
        </w:rPr>
      </w:pPr>
    </w:p>
    <w:p w14:paraId="02CDAA27" w14:textId="6928D92E" w:rsidR="0057288D" w:rsidRDefault="0057288D" w:rsidP="0057288D">
      <w:pPr>
        <w:spacing w:line="480" w:lineRule="auto"/>
        <w:rPr>
          <w:rFonts w:cs="Times New Roman"/>
          <w:lang w:val="en-GB"/>
        </w:rPr>
        <w:sectPr w:rsidR="0057288D" w:rsidSect="00186DBC">
          <w:pgSz w:w="15840" w:h="12240" w:orient="landscape"/>
          <w:pgMar w:top="1474" w:right="1134" w:bottom="1134" w:left="1440" w:header="709" w:footer="709" w:gutter="0"/>
          <w:lnNumType w:countBy="1" w:restart="continuous"/>
          <w:cols w:space="708"/>
          <w:docGrid w:linePitch="360"/>
        </w:sectPr>
      </w:pPr>
    </w:p>
    <w:p w14:paraId="317E64FB" w14:textId="35DABCA3" w:rsidR="00C97BA2" w:rsidRPr="001D441A" w:rsidRDefault="00C97BA2" w:rsidP="00C97BA2">
      <w:pPr>
        <w:spacing w:line="480" w:lineRule="auto"/>
        <w:ind w:firstLine="720"/>
        <w:rPr>
          <w:rFonts w:cs="Times New Roman"/>
          <w:lang w:val="it-IT"/>
        </w:rPr>
      </w:pPr>
      <w:bookmarkStart w:id="0" w:name="_Hlk153809744"/>
      <w:r w:rsidRPr="00C53ACC">
        <w:rPr>
          <w:rFonts w:cs="Times New Roman"/>
          <w:lang w:val="en-GB"/>
        </w:rPr>
        <w:lastRenderedPageBreak/>
        <w:t>To verify the pristine glassy nature of all these specimens, we combined scanning electron microscopy (SEM) imaging, in backscattered electron (BSE) mode, with Raman spectroscopy analysis</w:t>
      </w:r>
      <w:bookmarkEnd w:id="0"/>
      <w:r w:rsidRPr="00C53ACC">
        <w:rPr>
          <w:rFonts w:cs="Times New Roman"/>
          <w:lang w:val="en-GB"/>
        </w:rPr>
        <w:t xml:space="preserve">. </w:t>
      </w:r>
      <w:r w:rsidR="00740193">
        <w:rPr>
          <w:rFonts w:cs="Times New Roman"/>
          <w:lang w:val="en-GB"/>
        </w:rPr>
        <w:t>While SEM imaging verified the absence of bubbles and micro-sized crystals, o</w:t>
      </w:r>
      <w:r w:rsidRPr="00C53ACC">
        <w:rPr>
          <w:rFonts w:cs="Times New Roman"/>
          <w:lang w:val="en-GB"/>
        </w:rPr>
        <w:t xml:space="preserve">ur Raman results (Fig. </w:t>
      </w:r>
      <w:r w:rsidR="0057288D">
        <w:rPr>
          <w:rFonts w:cs="Times New Roman"/>
          <w:lang w:val="en-GB"/>
        </w:rPr>
        <w:t>S1</w:t>
      </w:r>
      <w:r w:rsidRPr="00C53ACC">
        <w:rPr>
          <w:rFonts w:cs="Times New Roman"/>
          <w:lang w:val="en-GB"/>
        </w:rPr>
        <w:t>) show</w:t>
      </w:r>
      <w:r w:rsidR="00740193">
        <w:rPr>
          <w:rFonts w:cs="Times New Roman"/>
          <w:lang w:val="en-GB"/>
        </w:rPr>
        <w:t>ed</w:t>
      </w:r>
      <w:r w:rsidRPr="00C53ACC">
        <w:rPr>
          <w:rFonts w:cs="Times New Roman"/>
          <w:lang w:val="en-GB"/>
        </w:rPr>
        <w:t xml:space="preserve"> that all our starting glasses </w:t>
      </w:r>
      <w:r w:rsidR="00740193">
        <w:rPr>
          <w:rFonts w:cs="Times New Roman"/>
          <w:lang w:val="en-GB"/>
        </w:rPr>
        <w:t>a</w:t>
      </w:r>
      <w:r w:rsidRPr="00C53ACC">
        <w:rPr>
          <w:rFonts w:cs="Times New Roman"/>
          <w:lang w:val="en-GB"/>
        </w:rPr>
        <w:t xml:space="preserve">re amorphous and are in good agreement with previously reported Raman spectra for similar compositions </w:t>
      </w:r>
      <w:r w:rsidRPr="00C53ACC">
        <w:rPr>
          <w:rFonts w:cs="Times New Roman"/>
          <w:lang w:val="en-GB"/>
        </w:rPr>
        <w:fldChar w:fldCharType="begin" w:fldLock="1"/>
      </w:r>
      <w:r w:rsidR="0002472C">
        <w:rPr>
          <w:rFonts w:cs="Times New Roman"/>
          <w:lang w:val="en-GB"/>
        </w:rPr>
        <w:instrText>ADDIN CSL_CITATION {"citationItems":[{"id":"ITEM-1","itemData":{"DOI":"10.2138/am.2012.3831","ISSN":"19453027","abstract":"Raman spectroscopy can measure water concentrations of hydrous silicate glasses with several advantages such as: (1) highspatial resolution of 1-2 μm2; (2) nondestructive character; and (3) easy access, without any specific sample preparation or mounting techniques. The latter reasons render Raman highly suitable for studying natural products, such as volcanic pumice and scoriae fragments. Two spectral regions can be distinguished in Raman spectra of hydrated silicate glasses: a lowwavenumber region (15-1500 cm -1), which corresponds to vibrations of the silicate network, and a highwavenumber region (3100-3750 cm-1), corresponding to the OH stretching vibrations of H2O molecules and OH groups. Behrens et al. (2006) have published empirical equations relating the area ratio between these two regions and the water content. However, the proposed internal calibrations depend on chemical composition of the glasses. In this paper, we reinvestigated the previous procedures to improve the background subtraction. Our results allow us to present a more general and linear calibration. Water concentrations up to 13 wt% can be measured for a broad range of natural silicate melts, from basalts to rhyolite (40 up to 80 wt% SiO2), using a single calibration curve with an absolute error of 0.2 wt%.","author":[{"dropping-particle":"","family":"Losq","given":"Charles","non-dropping-particle":"Le","parse-names":false,"suffix":""},{"dropping-particle":"","family":"Neuville","given":"D. R.","non-dropping-particle":"","parse-names":false,"suffix":""},{"dropping-particle":"","family":"Moretti","given":"Roberto","non-dropping-particle":"","parse-names":false,"suffix":""},{"dropping-particle":"","family":"Roux","given":"Jacques","non-dropping-particle":"","parse-names":false,"suffix":""}],"container-title":"American Mineralogist","id":"ITEM-1","issue":"5-6","issued":{"date-parts":[["2012"]]},"page":"779-790","title":"Determination of water content in silicate glasses using Raman spectrometry: Implications for the study of explosive volcanism","type":"article-journal","volume":"97"},"uris":["http://www.mendeley.com/documents/?uuid=59b582ef-bdda-4120-9f29-c3f961abb042"]},{"id":"ITEM-2","itemData":{"DOI":"10.1002/jrs.5675","ISSN":"10974555","abstract":"The physical properties of silicate melts are of critical importance for understanding magmatic and volcanic processes on Earth and other planets. Most physical properties of melts are, ultimately, a consequence of the structural organization of the melt. Robust and fully generalizable strategies for the prediction of properties of naturally occurring melts as functions of composition, temperature, and pressure remain a challenging goal. Given the structural origin of macroscopic properties, Raman spectroscopy of glasses, which provides information on melt and glass structure, may provide a useful technique to understanding and quantify variations in macroscopic melt properties. Here, with the aim of providing a generalizable model for predicting the viscosity of silicate melts, we present the results of a Raman spectroscopy campaign performed on 30 anhydrous multicomponent silicate glasses resulting from quenching of remelted and homogenized volcanic rocks and synthetic equivalents. The sample suite comprises one of the largest databases of multicomponent melts for which (a) chemical compositions and (b) physical properties (i.e., viscosity, fragility, heat capacity, and glass transition temperature) are known. Raman spectra have been collected using green light sources at wavelengths of 532 nm. Spectra were collected on the same sample suite in four independent laboratories involving instruments from different manufacturers and, thus, using different spectrometers, detectors, and analytical conditions. Our results are also compared and integrated with published data on some of the same samples derived from two others setups using green light sources with 514.5 and 532 nm wavelegths. For the same sample, the Raman spectra acquired using different setups show different intensities and intensity ratios. However, a strategy based on the ratio between the low- and high-wavenumber peaks (R) was developed to standardize the data to normalized Raman ratios (Rn) and thus to remove interlaboratory differences. Using these advances, we predict melt viscosity solely with the use of Raman spectral measurements of multicomponent silicate glasses, thus demonstrating the potential of the method in describing physical properties of silicate melts.","author":[{"dropping-particle":"","family":"Giordano","given":"D.","non-dropping-particle":"","parse-names":false,"suffix":""},{"dropping-particle":"","family":"González-García","given":"Diego","non-dropping-particle":"","parse-names":false,"suffix":""},{"dropping-particle":"","family":"Russell","given":"J. K.","non-dropping-particle":"","parse-names":false,"suffix":""},{"dropping-particle":"","family":"Raneri","given":"Simona","non-dropping-particle":"","parse-names":false,"suffix":""},{"dropping-particle":"","family":"Bersani","given":"Danilo","non-dropping-particle":"","parse-names":false,"suffix":""},{"dropping-particle":"","family":"Fornasini","given":"Laura","non-dropping-particle":"","parse-names":false,"suffix":""},{"dropping-particle":"","family":"Genova","given":"D.","non-dropping-particle":"Di","parse-names":false,"suffix":""},{"dropping-particle":"","family":"Ferrando","given":"Simona","non-dropping-particle":"","parse-names":false,"suffix":""},{"dropping-particle":"","family":"Kaliwoda","given":"Melanie","non-dropping-particle":"","parse-names":false,"suffix":""},{"dropping-particle":"","family":"Lottici","given":"Pier Paolo","non-dropping-particle":"","parse-names":false,"suffix":""},{"dropping-particle":"","family":"Smit","given":"Matthijs","non-dropping-particle":"","parse-names":false,"suffix":""},{"dropping-particle":"","family":"Dingwell","given":"D. B.","non-dropping-particle":"","parse-names":false,"suffix":""}],"container-title":"Journal of Raman Spectroscopy","id":"ITEM-2","issue":"9","issued":{"date-parts":[["2020"]]},"page":"1822-1838","title":"A calibrated database of Raman spectra for natural silicate glasses: implications for modelling melt physical properties","type":"article-journal","volume":"51"},"uris":["http://www.mendeley.com/documents/?uuid=01777972-977c-460d-ba7d-db528224104e"]}],"mendeley":{"formattedCitation":"&lt;sup&gt;8,9&lt;/sup&gt;","plainTextFormattedCitation":"8,9","previouslyFormattedCitation":"&lt;sup&gt;8,9&lt;/sup&gt;"},"properties":{"noteIndex":0},"schema":"https://github.com/citation-style-language/schema/raw/master/csl-citation.json"}</w:instrText>
      </w:r>
      <w:r w:rsidRPr="00C53ACC">
        <w:rPr>
          <w:rFonts w:cs="Times New Roman"/>
          <w:lang w:val="en-GB"/>
        </w:rPr>
        <w:fldChar w:fldCharType="separate"/>
      </w:r>
      <w:r w:rsidR="0002472C" w:rsidRPr="0002472C">
        <w:rPr>
          <w:rFonts w:cs="Times New Roman"/>
          <w:noProof/>
          <w:vertAlign w:val="superscript"/>
          <w:lang w:val="en-GB"/>
        </w:rPr>
        <w:t>8,9</w:t>
      </w:r>
      <w:r w:rsidRPr="00C53ACC">
        <w:rPr>
          <w:rFonts w:cs="Times New Roman"/>
          <w:lang w:val="en-GB"/>
        </w:rPr>
        <w:fldChar w:fldCharType="end"/>
      </w:r>
      <w:r w:rsidRPr="00C53ACC">
        <w:rPr>
          <w:rFonts w:cs="Times New Roman"/>
          <w:lang w:val="en-GB"/>
        </w:rPr>
        <w:t xml:space="preserve">. </w:t>
      </w:r>
      <w:r w:rsidR="00740193">
        <w:rPr>
          <w:rFonts w:cs="Times New Roman"/>
          <w:lang w:val="en-GB"/>
        </w:rPr>
        <w:t>This conclusion is drown from the</w:t>
      </w:r>
      <w:r w:rsidRPr="00C53ACC">
        <w:rPr>
          <w:rFonts w:cs="Times New Roman"/>
          <w:lang w:val="en-GB"/>
        </w:rPr>
        <w:t xml:space="preserve"> absence of characteristic features in the 650–690 cm</w:t>
      </w:r>
      <w:r w:rsidRPr="00C53ACC">
        <w:rPr>
          <w:rFonts w:cs="Times New Roman"/>
          <w:vertAlign w:val="superscript"/>
          <w:lang w:val="en-GB"/>
        </w:rPr>
        <w:t>−1</w:t>
      </w:r>
      <w:r w:rsidRPr="00C53ACC">
        <w:rPr>
          <w:rFonts w:cs="Times New Roman"/>
          <w:lang w:val="en-GB"/>
        </w:rPr>
        <w:t xml:space="preserve"> range,</w:t>
      </w:r>
      <w:r w:rsidR="00740193">
        <w:rPr>
          <w:rFonts w:cs="Times New Roman"/>
          <w:lang w:val="en-GB"/>
        </w:rPr>
        <w:t xml:space="preserve"> which were</w:t>
      </w:r>
      <w:r w:rsidRPr="00C53ACC">
        <w:rPr>
          <w:rFonts w:cs="Times New Roman"/>
          <w:lang w:val="en-GB"/>
        </w:rPr>
        <w:t xml:space="preserve"> previously linked to the presence of Fe-Ti-oxide nanolites </w:t>
      </w:r>
      <w:r w:rsidRPr="00C53ACC">
        <w:rPr>
          <w:rFonts w:cs="Times New Roman"/>
          <w:lang w:val="en-GB"/>
        </w:rPr>
        <w:fldChar w:fldCharType="begin" w:fldLock="1"/>
      </w:r>
      <w:r w:rsidR="0002472C">
        <w:rPr>
          <w:rFonts w:cs="Times New Roman"/>
          <w:lang w:val="en-GB"/>
        </w:rPr>
        <w:instrText>ADDIN CSL_CITATION {"citationItems":[{"id":"ITEM-1","itemData":{"DOI":"10.1126/sciadv.abb0413","ISSN":"2375-2548","PMID":"32967825","abstract":"This study shows how a few nanometer-sized crystals markedly increase the viscosity of a magma leading to explosive eruptions.","author":[{"dropping-particle":"","family":"Genova","given":"D.","non-dropping-particle":"Di","parse-names":false,"suffix":""},{"dropping-particle":"","family":"Brooker","given":"Richard A","non-dropping-particle":"","parse-names":false,"suffix":""},{"dropping-particle":"","family":"Mader","given":"Heidy M.","non-dropping-particle":"","parse-names":false,"suffix":""},{"dropping-particle":"","family":"Drewitt","given":"James W. E.","non-dropping-particle":"","parse-names":false,"suffix":""},{"dropping-particle":"","family":"Longo","given":"Alessandro","non-dropping-particle":"","parse-names":false,"suffix":""},{"dropping-particle":"","family":"Deubener","given":"Joachim","non-dropping-particle":"","parse-names":false,"suffix":""},{"dropping-particle":"","family":"Neuville","given":"D. R.","non-dropping-particle":"","parse-names":false,"suffix":""},{"dropping-particle":"","family":"Fanara","given":"Sara","non-dropping-particle":"","parse-names":false,"suffix":""},{"dropping-particle":"","family":"Shebanova","given":"Olga","non-dropping-particle":"","parse-names":false,"suffix":""},{"dropping-particle":"","family":"Anzellini","given":"Simone","non-dropping-particle":"","parse-names":false,"suffix":""},{"dropping-particle":"","family":"Arzilli","given":"Fabio","non-dropping-particle":"","parse-names":false,"suffix":""},{"dropping-particle":"","family":"Bamber","given":"Emily C","non-dropping-particle":"","parse-names":false,"suffix":""},{"dropping-particle":"","family":"Hennet","given":"Louis","non-dropping-particle":"","parse-names":false,"suffix":""},{"dropping-particle":"","family":"Spina","given":"Giuseppe","non-dropping-particle":"La","parse-names":false,"suffix":""},{"dropping-particle":"","family":"Miyajima","given":"Nobuyoshi","non-dropping-particle":"","parse-names":false,"suffix":""}],"container-title":"Science Advances","id":"ITEM-1","issue":"39","issued":{"date-parts":[["2020","9","25"]]},"title":"In situ observation of nanolite growth in volcanic melt: A driving force for explosive eruptions","type":"article-journal","volume":"6"},"uris":["http://www.mendeley.com/documents/?uuid=ac265911-5172-4bd3-b80f-528fe2c4c843"]},{"id":"ITEM-2","itemData":{"DOI":"10.1016/j.jnoncrysol.2020.120248","ISSN":"00223093","abstract":"Traditionally depicted as homogeneous materials, manmade and volcanic glasses are often subjected to nanostructuration during demixing and crystallization of their parental melt. While the controlled formation of nanocrystals has been exploited for decades in the industrial production of glass-ceramics to obtain materials with superior properties, nano-heterogeneities have been recently recognized in volcanic products erupted explosively. Here, a multi-pronged approach is adopted to highlight how the emergence of nano-heterogeneities exerts a previously unexplored influence on the viscosity of multicomponent silicate melts. Calorimetry and viscometry provide evidence of how the formation of TiO2- and FeO-bearing nanocrystals increases the effective viscosity of suspensions. Raman spectroscopy and transmission electron microscopy allow the correlation between the increase in viscosity and the degree of sample modification. This study has implications for glass and glass-ceramics manufacturing and for the development of better numerical models of volcanic eruptions, which are key for the operational assessment of volcanic risk.","author":[{"dropping-particle":"","family":"Genova","given":"D.","non-dropping-particle":"Di","parse-names":false,"suffix":""},{"dropping-particle":"","family":"Zandona","given":"A.","non-dropping-particle":"","parse-names":false,"suffix":""},{"dropping-particle":"","family":"Deubener","given":"J.","non-dropping-particle":"","parse-names":false,"suffix":""}],"container-title":"Journal of Non-Crystalline Solids","id":"ITEM-2","issue":"April","issued":{"date-parts":[["2020","10"]]},"page":"120248","publisher":"Elsevier","title":"Unravelling the effect of nano-heterogeneity on the viscosity of silicate melts: Implications for glass manufacturing and volcanic eruptions","type":"article-journal","volume":"545"},"uris":["http://www.mendeley.com/documents/?uuid=6aab638f-9fa1-4ca5-9320-812be977cd0e"]},{"id":"ITEM-3","itemData":{"DOI":"10.1016/j.chemgeo.2017.10.035","ISSN":"00092541","abstract":"The effect of iron content and iron nanolites on Raman spectra of hydrous geologically-relevant glasses is presented. Current procedures to estimate the water content using Raman spectra were tested to explore potential effects of iron content, its oxidation state, and nanolites on models' reliability. A chemical interval spanning from basalt to rhyolite, including alkali- and iron-rich compositions, with water content up to 5.6 wt% was investigated using two spectrometers. When considering nanolite-free samples, the area of the band at 3550 cm−1 linearly correlates with the sample water content regardless of chemical composition. Using this approach, data were reproduced with a root-mean-square error (RMSE) of ~ 0.15 wt%. Depending on the sample chemistry, water content, and acquisition conditions the laser-induced sample oxidation led to underestimating the water content up to ~ 90% with a long acquisition time (26 min). Normalising the water band region to the silicate band region minimises such a limitation. The area ratio between these bands linearly correlates with the water content and the use of different baseline procedures does not remove the dependence of such a correlation by the iron content and its oxidation state. With this procedure, data were reproduced with a RMSE of ~ 0.16 wt%. For both approaches, the presence of iron nanolites may result in underestimating the water content.","author":[{"dropping-particle":"","family":"Genova","given":"D.","non-dropping-particle":"Di","parse-names":false,"suffix":""},{"dropping-particle":"","family":"Sicola","given":"Stefania","non-dropping-particle":"","parse-names":false,"suffix":""},{"dropping-particle":"","family":"Romano","given":"Claudia","non-dropping-particle":"","parse-names":false,"suffix":""},{"dropping-particle":"","family":"Vona","given":"Alessandro","non-dropping-particle":"","parse-names":false,"suffix":""},{"dropping-particle":"","family":"Fanara","given":"Sara","non-dropping-particle":"","parse-names":false,"suffix":""},{"dropping-particle":"","family":"Spina","given":"Laura","non-dropping-particle":"","parse-names":false,"suffix":""}],"container-title":"Chemical Geology","id":"ITEM-3","issue":"June","issued":{"date-parts":[["2017"]]},"page":"76-86","publisher":"Elsevier","title":"Effect of iron and nanolites on Raman spectra of volcanic glasses: A reassessment of existing strategies to estimate the water content","type":"article-journal","volume":"475"},"uris":["http://www.mendeley.com/documents/?uuid=2742e6fc-4077-4607-b54a-e1a4f7846f8f"]},{"id":"ITEM-4","itemData":{"DOI":"10.1016/j.chemgeo.2018.02.036","ISSN":"00092541","abstract":"New series of alumino-silicate glasses spanning a wide range of chemical compositions (basanites, tholeiitic basalts, calcalkaline andesites, peraluminous and peralkaline rhyolites) and with water contents from 0.02 to 6.70 wt% were used for improving the method of quantification of dissolved water with a highly confocal Raman micro-spectrometer. After reconsideration of previously proposed methods for spectra acquisition and post-analysis data treatment, we define the main critical steps that allow minimizing glass matrix effects. First, we carefully assess the variation of Raman band intensities, in both water (~3000–3800 cm−1) and alumino-silicate vibration (~200–1250 cm−1) regions with focus depth of the laser beam inside the sample. Our results indicate that in the first 2–10 μm depth, the intensity increase in the alumino-silicate region is twice as high as that in the water region. Optimal focus depths, where the signal of the water band is maximum and the intensity ratio of the water band to alumino-silicate band is minimum, vary with glass composition and confocal performance of the Raman spectrometer. This influences both external and internal calibration slopes. Second, this study recognizes critical parameters related with glass density, presence of ferric iron and dissolved carbonates as mainly responsible for matrix effects on the internal calibration method. (a) We provide a procedure for correcting the effect of glass density on water internal calibration based on the observation that the integrated intensity (i.e. the area) of the alumino-silicate envelope generally drops with the increase of water content and decrease of glass density. (b) In CO2-bearing glasses, the intensity of the ν1 Raman vibration of dissolved carbonate at ~1087 cm−1 has to be subtracted from the intensity of the alumino-silicate envelope before applying the density correction. (c) Using peak-fitting, the intensity of the 850–1250 cm−1 envelope of peralkaline rhyolitic glasses is corrected for the effect of the presence of four-fold coordinated Fe3+, as revealed by the strong Raman scattering of the vibrational mode at ~980 cm−1. Following this procedure, all the studied glasses define a single calibration line in spite of their compositional variability, when using either of the two classical approaches referred to as external and internal calibration methods. The linear fits of the external and internal calibrations reproduce the whole dataset within 0.13–0.11 w…","author":[{"dropping-particle":"","family":"Schiavi","given":"Federica","non-dropping-particle":"","parse-names":false,"suffix":""},{"dropping-particle":"","family":"Bolfan-Casanova","given":"Nathalie","non-dropping-particle":"","parse-names":false,"suffix":""},{"dropping-particle":"","family":"Withers","given":"Anthony C.","non-dropping-particle":"","parse-names":false,"suffix":""},{"dropping-particle":"","family":"Médard","given":"Etienne","non-dropping-particle":"","parse-names":false,"suffix":""},{"dropping-particle":"","family":"Laumonier","given":"Mickaël","non-dropping-particle":"","parse-names":false,"suffix":""},{"dropping-particle":"","family":"Laporte","given":"Didier","non-dropping-particle":"","parse-names":false,"suffix":""},{"dropping-particle":"","family":"Flaherty","given":"Taya","non-dropping-particle":"","parse-names":false,"suffix":""},{"dropping-particle":"","family":"Gómez-Ulla","given":"Alejandra","non-dropping-particle":"","parse-names":false,"suffix":""}],"container-title":"Chemical Geology","id":"ITEM-4","issue":"September 2017","issued":{"date-parts":[["2018"]]},"page":"312-331","title":"Water quantification in silicate glasses by Raman spectroscopy: Correcting for the effects of confocality, density and ferric iron","type":"article-journal","volume":"483"},"uris":["http://www.mendeley.com/documents/?uuid=f2de46b7-7e28-4195-acc8-a0b048355db2"]}],"mendeley":{"formattedCitation":"&lt;sup&gt;10–13&lt;/sup&gt;","plainTextFormattedCitation":"10–13","previouslyFormattedCitation":"&lt;sup&gt;10–13&lt;/sup&gt;"},"properties":{"noteIndex":0},"schema":"https://github.com/citation-style-language/schema/raw/master/csl-citation.json"}</w:instrText>
      </w:r>
      <w:r w:rsidRPr="00C53ACC">
        <w:rPr>
          <w:rFonts w:cs="Times New Roman"/>
          <w:lang w:val="en-GB"/>
        </w:rPr>
        <w:fldChar w:fldCharType="separate"/>
      </w:r>
      <w:r w:rsidR="0002472C" w:rsidRPr="0002472C">
        <w:rPr>
          <w:rFonts w:cs="Times New Roman"/>
          <w:noProof/>
          <w:vertAlign w:val="superscript"/>
          <w:lang w:val="it-IT"/>
        </w:rPr>
        <w:t>10–13</w:t>
      </w:r>
      <w:r w:rsidRPr="00C53ACC">
        <w:rPr>
          <w:rFonts w:cs="Times New Roman"/>
          <w:lang w:val="en-GB"/>
        </w:rPr>
        <w:fldChar w:fldCharType="end"/>
      </w:r>
      <w:r w:rsidRPr="00C53ACC">
        <w:rPr>
          <w:rFonts w:cs="Times New Roman"/>
          <w:lang w:val="it-IT"/>
        </w:rPr>
        <w:t xml:space="preserve">. </w:t>
      </w:r>
    </w:p>
    <w:p w14:paraId="58F4CE8B" w14:textId="77777777" w:rsidR="00C97BA2" w:rsidRPr="00C53ACC" w:rsidRDefault="00C97BA2" w:rsidP="00C97BA2">
      <w:pPr>
        <w:spacing w:line="480" w:lineRule="auto"/>
        <w:rPr>
          <w:rFonts w:cs="Times New Roman"/>
          <w:lang w:val="en-GB"/>
        </w:rPr>
      </w:pPr>
      <w:r w:rsidRPr="00C53ACC">
        <w:rPr>
          <w:rFonts w:cs="Times New Roman"/>
          <w:noProof/>
          <w:lang w:val="de-DE" w:eastAsia="de-DE"/>
        </w:rPr>
        <w:drawing>
          <wp:inline distT="0" distB="0" distL="0" distR="0" wp14:anchorId="5947BD51" wp14:editId="322E9369">
            <wp:extent cx="5460521" cy="4588354"/>
            <wp:effectExtent l="0" t="0" r="6985" b="3175"/>
            <wp:docPr id="2000395887"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395887" name="Picture 1" descr="A graph of different colored lines&#10;&#10;Description automatically generated"/>
                    <pic:cNvPicPr/>
                  </pic:nvPicPr>
                  <pic:blipFill>
                    <a:blip r:embed="rId12"/>
                    <a:stretch>
                      <a:fillRect/>
                    </a:stretch>
                  </pic:blipFill>
                  <pic:spPr>
                    <a:xfrm>
                      <a:off x="0" y="0"/>
                      <a:ext cx="5479336" cy="4604164"/>
                    </a:xfrm>
                    <a:prstGeom prst="rect">
                      <a:avLst/>
                    </a:prstGeom>
                  </pic:spPr>
                </pic:pic>
              </a:graphicData>
            </a:graphic>
          </wp:inline>
        </w:drawing>
      </w:r>
    </w:p>
    <w:p w14:paraId="42A490C6" w14:textId="1F2A2826" w:rsidR="00C97BA2" w:rsidRPr="00C53ACC" w:rsidRDefault="00C97BA2" w:rsidP="00C97BA2">
      <w:pPr>
        <w:spacing w:line="240" w:lineRule="auto"/>
        <w:ind w:firstLine="720"/>
        <w:rPr>
          <w:rFonts w:cs="Times New Roman"/>
          <w:lang w:val="en-GB"/>
        </w:rPr>
      </w:pPr>
      <w:r w:rsidRPr="00E50ABE">
        <w:rPr>
          <w:rFonts w:eastAsiaTheme="minorEastAsia" w:cs="Times New Roman"/>
          <w:b/>
          <w:bCs/>
          <w:lang w:val="en-GB"/>
        </w:rPr>
        <w:t>Figure S1</w:t>
      </w:r>
      <w:r w:rsidRPr="00C53ACC">
        <w:rPr>
          <w:rFonts w:eastAsiaTheme="minorEastAsia" w:cs="Times New Roman"/>
          <w:lang w:val="en-GB"/>
        </w:rPr>
        <w:t>. Raman spectra of glassy samples before C-DSC and viscosity measurements. The shaded area in grey (660-690 cm</w:t>
      </w:r>
      <w:r w:rsidRPr="00C53ACC">
        <w:rPr>
          <w:rFonts w:eastAsiaTheme="minorEastAsia" w:cs="Times New Roman"/>
          <w:vertAlign w:val="superscript"/>
          <w:lang w:val="en-GB"/>
        </w:rPr>
        <w:t>-1</w:t>
      </w:r>
      <w:r w:rsidRPr="00C53ACC">
        <w:rPr>
          <w:rFonts w:eastAsiaTheme="minorEastAsia" w:cs="Times New Roman"/>
          <w:lang w:val="en-GB"/>
        </w:rPr>
        <w:t xml:space="preserve">) corresponds to the most prominent area commonly affected by the presence of Fe-Ti-oxides </w:t>
      </w:r>
      <w:r w:rsidRPr="00C53ACC">
        <w:rPr>
          <w:rFonts w:eastAsiaTheme="minorEastAsia" w:cs="Times New Roman"/>
          <w:lang w:val="en-GB"/>
        </w:rPr>
        <w:fldChar w:fldCharType="begin" w:fldLock="1"/>
      </w:r>
      <w:r w:rsidR="0002472C">
        <w:rPr>
          <w:rFonts w:eastAsiaTheme="minorEastAsia" w:cs="Times New Roman"/>
          <w:lang w:val="en-GB"/>
        </w:rPr>
        <w:instrText>ADDIN CSL_CITATION {"citationItems":[{"id":"ITEM-1","itemData":{"DOI":"10.1016/j.chemgeo.2020.119991","ISSN":"00092541","abstract":"The iron coordination, its oxidation state (Fe2+/Fetot.), and alkali ratio [Na/(Na + K)] greatly influence the structure and thus the viscosity of volcanic melts, which is known to play a key role in the dynamics of volcanic eruptions. Furthermore, it has been recently reported that volcanic melts can contain iron-bearing nanocrystals and this makes it difficult to isolate and quantify the chemical contribution to the viscosity of magmas. Here, we present Raman spectroscopic and differential scanning calorimetry (DSC) data on nanocrystal-free peralkaline rhyolites with different Fe2+/Fetot. (0.15–0.84) and Na/(Na + K) (0–1) molar ratios. Raman spectra are used to infer the structural changes occurring with varying iron oxidation state and alkali content, whereas the combination of Raman spectroscopy and DSC measurements allow the characterization of the anhydrous nanocrystal-free viscosity as a function of temperature. Results suggest that at similar and high Fe2+/Fetot. ratio the Raman spectral feature controlled by the iron coordination changes with Na/(Na + K). Conversely, the change of alkali content at a fixed Fe2+/Fetot. ratio results in a variation of the spectral feature that reflects the size distribution of rings of tetrahedra in the melt structure. We further discuss the implications of our findings for magma transport and estimate that the viscosity of anhydrous peralkaline rhyolites at the eruptive temperature of 750 °C can increase up to 3.5 log units when Fe2+/Fetot. and Na/(Na + K) ratios decrease contemporaneously from 0.84 to 0.15 and from 1 to 0, respectively. Finally, the comparison of our viscosity data with those from the literature suggests that the DSC-approach presented and adopted in this study is independent on chemical composition and thus can be used also to retrieve the effect of nanocrystals on the viscosity of volcanic melts. The results presented here have profound implications for the modelling of magma viscosity.","author":[{"dropping-particle":"","family":"Stabile","given":"P.","non-dropping-particle":"","parse-names":false,"suffix":""},{"dropping-particle":"","family":"Sicola","given":"S.","non-dropping-particle":"","parse-names":false,"suffix":""},{"dropping-particle":"","family":"Giuli","given":"G.","non-dropping-particle":"","parse-names":false,"suffix":""},{"dropping-particle":"","family":"Paris","given":"E.","non-dropping-particle":"","parse-names":false,"suffix":""},{"dropping-particle":"","family":"Carroll","given":"M. R.","non-dropping-particle":"","parse-names":false,"suffix":""},{"dropping-particle":"","family":"Deubener","given":"J.","non-dropping-particle":"","parse-names":false,"suffix":""},{"dropping-particle":"","family":"Genova","given":"D.","non-dropping-particle":"Di","parse-names":false,"suffix":""}],"container-title":"Chemical Geology","id":"ITEM-1","issue":"November 2020","issued":{"date-parts":[["2021"]]},"page":"119991","publisher":"Elsevier B.V.","title":"The effect of iron and alkali on the nanocrystal-free viscosity of volcanic melts: A combined Raman spectroscopy and DSC study","type":"article-journal","volume":"559"},"uris":["http://www.mendeley.com/documents/?uuid=3a0bacb9-ca54-4a6d-b769-eaf03baabd69"]},{"id":"ITEM-2","itemData":{"DOI":"10.1016/j.jnoncrysol.2020.120248","ISSN":"00223093","abstract":"Traditionally depicted as homogeneous materials, manmade and volcanic glasses are often subjected to nanostructuration during demixing and crystallization of their parental melt. While the controlled formation of nanocrystals has been exploited for decades in the industrial production of glass-ceramics to obtain materials with superior properties, nano-heterogeneities have been recently recognized in volcanic products erupted explosively. Here, a multi-pronged approach is adopted to highlight how the emergence of nano-heterogeneities exerts a previously unexplored influence on the viscosity of multicomponent silicate melts. Calorimetry and viscometry provide evidence of how the formation of TiO2- and FeO-bearing nanocrystals increases the effective viscosity of suspensions. Raman spectroscopy and transmission electron microscopy allow the correlation between the increase in viscosity and the degree of sample modification. This study has implications for glass and glass-ceramics manufacturing and for the development of better numerical models of volcanic eruptions, which are key for the operational assessment of volcanic risk.","author":[{"dropping-particle":"","family":"Genova","given":"D.","non-dropping-particle":"Di","parse-names":false,"suffix":""},{"dropping-particle":"","family":"Zandona","given":"A.","non-dropping-particle":"","parse-names":false,"suffix":""},{"dropping-particle":"","family":"Deubener","given":"J.","non-dropping-particle":"","parse-names":false,"suffix":""}],"container-title":"Journal of Non-Crystalline Solids","id":"ITEM-2","issue":"April","issued":{"date-parts":[["2020","10"]]},"page":"120248","publisher":"Elsevier","title":"Unravelling the effect of nano-heterogeneity on the viscosity of silicate melts: Implications for glass manufacturing and volcanic eruptions","type":"article-journal","volume":"545"},"uris":["http://www.mendeley.com/documents/?uuid=6aab638f-9fa1-4ca5-9320-812be977cd0e"]}],"mendeley":{"formattedCitation":"&lt;sup&gt;11,14&lt;/sup&gt;","plainTextFormattedCitation":"11,14","previouslyFormattedCitation":"&lt;sup&gt;11,14&lt;/sup&gt;"},"properties":{"noteIndex":0},"schema":"https://github.com/citation-style-language/schema/raw/master/csl-citation.json"}</w:instrText>
      </w:r>
      <w:r w:rsidRPr="00C53ACC">
        <w:rPr>
          <w:rFonts w:eastAsiaTheme="minorEastAsia" w:cs="Times New Roman"/>
          <w:lang w:val="en-GB"/>
        </w:rPr>
        <w:fldChar w:fldCharType="separate"/>
      </w:r>
      <w:r w:rsidR="0002472C" w:rsidRPr="0002472C">
        <w:rPr>
          <w:rFonts w:eastAsiaTheme="minorEastAsia" w:cs="Times New Roman"/>
          <w:noProof/>
          <w:vertAlign w:val="superscript"/>
          <w:lang w:val="en-GB"/>
        </w:rPr>
        <w:t>11,14</w:t>
      </w:r>
      <w:r w:rsidRPr="00C53ACC">
        <w:rPr>
          <w:rFonts w:eastAsiaTheme="minorEastAsia" w:cs="Times New Roman"/>
          <w:lang w:val="en-GB"/>
        </w:rPr>
        <w:fldChar w:fldCharType="end"/>
      </w:r>
      <w:r w:rsidRPr="00C53ACC">
        <w:rPr>
          <w:rFonts w:eastAsiaTheme="minorEastAsia" w:cs="Times New Roman"/>
          <w:lang w:val="en-GB"/>
        </w:rPr>
        <w:t xml:space="preserve">. </w:t>
      </w:r>
    </w:p>
    <w:p w14:paraId="0A869C40" w14:textId="37DB532D" w:rsidR="00C97BA2" w:rsidRDefault="00740193" w:rsidP="00C97BA2">
      <w:pPr>
        <w:spacing w:line="480" w:lineRule="auto"/>
        <w:ind w:firstLine="720"/>
        <w:rPr>
          <w:rFonts w:cs="Times New Roman"/>
          <w:lang w:val="en-GB"/>
        </w:rPr>
      </w:pPr>
      <w:r>
        <w:rPr>
          <w:rFonts w:cs="Times New Roman"/>
          <w:lang w:val="en-GB"/>
        </w:rPr>
        <w:lastRenderedPageBreak/>
        <w:t>Additionally, u</w:t>
      </w:r>
      <w:r w:rsidR="00C97BA2" w:rsidRPr="00C53ACC">
        <w:rPr>
          <w:rFonts w:cs="Times New Roman"/>
          <w:lang w:val="en-GB"/>
        </w:rPr>
        <w:t>sing sound velocities (</w:t>
      </w:r>
      <w:r w:rsidR="00C97BA2" w:rsidRPr="00C53ACC">
        <w:rPr>
          <w:rFonts w:cs="Times New Roman"/>
          <w:i/>
          <w:lang w:val="en-GB"/>
        </w:rPr>
        <w:t>v</w:t>
      </w:r>
      <w:r w:rsidR="00C97BA2" w:rsidRPr="00C53ACC">
        <w:rPr>
          <w:rFonts w:cs="Times New Roman"/>
          <w:i/>
          <w:vertAlign w:val="subscript"/>
          <w:lang w:val="en-GB"/>
        </w:rPr>
        <w:t>p</w:t>
      </w:r>
      <w:r w:rsidR="00C97BA2" w:rsidRPr="00C53ACC">
        <w:rPr>
          <w:rFonts w:cs="Times New Roman"/>
          <w:iCs/>
          <w:lang w:val="en-GB"/>
        </w:rPr>
        <w:t xml:space="preserve"> and </w:t>
      </w:r>
      <w:r w:rsidR="00C97BA2" w:rsidRPr="00C53ACC">
        <w:rPr>
          <w:rFonts w:cs="Times New Roman"/>
          <w:i/>
          <w:lang w:val="en-GB"/>
        </w:rPr>
        <w:t>v</w:t>
      </w:r>
      <w:r w:rsidR="00C97BA2" w:rsidRPr="00C53ACC">
        <w:rPr>
          <w:rFonts w:cs="Times New Roman"/>
          <w:i/>
          <w:vertAlign w:val="subscript"/>
          <w:lang w:val="en-GB"/>
        </w:rPr>
        <w:t>s</w:t>
      </w:r>
      <w:r w:rsidR="00C97BA2" w:rsidRPr="00C53ACC">
        <w:rPr>
          <w:rFonts w:cs="Times New Roman"/>
          <w:iCs/>
          <w:lang w:val="en-GB"/>
        </w:rPr>
        <w:t>) from BLS measurements</w:t>
      </w:r>
      <w:r w:rsidR="00C97BA2" w:rsidRPr="00C53ACC">
        <w:rPr>
          <w:rFonts w:cs="Times New Roman"/>
          <w:lang w:val="en-GB"/>
        </w:rPr>
        <w:t xml:space="preserve"> and Eq. 4, we calculated the </w:t>
      </w:r>
      <w:r w:rsidR="00C97BA2" w:rsidRPr="00C53ACC">
        <w:rPr>
          <w:rFonts w:cs="Times New Roman"/>
          <w:i/>
          <w:iCs/>
          <w:lang w:val="en-GB"/>
        </w:rPr>
        <w:t>K/G</w:t>
      </w:r>
      <w:r w:rsidR="00C97BA2" w:rsidRPr="00C53ACC">
        <w:rPr>
          <w:rFonts w:cs="Times New Roman"/>
          <w:lang w:val="en-GB"/>
        </w:rPr>
        <w:t xml:space="preserve"> ratios for all five </w:t>
      </w:r>
      <w:r>
        <w:rPr>
          <w:rFonts w:cs="Times New Roman"/>
          <w:lang w:val="en-GB"/>
        </w:rPr>
        <w:t xml:space="preserve">starting materials </w:t>
      </w:r>
      <w:r w:rsidR="00C97BA2" w:rsidRPr="00C53ACC">
        <w:rPr>
          <w:rFonts w:cs="Times New Roman"/>
          <w:lang w:val="en-GB"/>
        </w:rPr>
        <w:t xml:space="preserve">(Table </w:t>
      </w:r>
      <w:r w:rsidR="0057288D">
        <w:rPr>
          <w:rFonts w:cs="Times New Roman"/>
          <w:lang w:val="en-GB"/>
        </w:rPr>
        <w:t>S</w:t>
      </w:r>
      <w:r w:rsidR="00C97BA2" w:rsidRPr="00C53ACC">
        <w:rPr>
          <w:rFonts w:cs="Times New Roman"/>
          <w:lang w:val="en-GB"/>
        </w:rPr>
        <w:t xml:space="preserve">1). The </w:t>
      </w:r>
      <w:r w:rsidR="00C97BA2" w:rsidRPr="00C53ACC">
        <w:rPr>
          <w:rFonts w:cs="Times New Roman"/>
          <w:i/>
          <w:iCs/>
          <w:lang w:val="en-GB"/>
        </w:rPr>
        <w:t>K/G</w:t>
      </w:r>
      <w:r w:rsidR="00C97BA2" w:rsidRPr="00C53ACC">
        <w:rPr>
          <w:rFonts w:cs="Times New Roman"/>
          <w:lang w:val="en-GB"/>
        </w:rPr>
        <w:t xml:space="preserve"> ratios inversely correlate with the SiO</w:t>
      </w:r>
      <w:r w:rsidR="00C97BA2" w:rsidRPr="00C53ACC">
        <w:rPr>
          <w:rFonts w:cs="Times New Roman"/>
          <w:vertAlign w:val="subscript"/>
          <w:lang w:val="en-GB"/>
        </w:rPr>
        <w:t>2</w:t>
      </w:r>
      <w:r w:rsidR="00C97BA2" w:rsidRPr="00C53ACC">
        <w:rPr>
          <w:rFonts w:cs="Times New Roman"/>
          <w:lang w:val="en-GB"/>
        </w:rPr>
        <w:t xml:space="preserve"> wt% of the glasses, in agreement with Cassetta et al., (2021). Notably, the measured </w:t>
      </w:r>
      <w:r w:rsidR="00C97BA2" w:rsidRPr="00C53ACC">
        <w:rPr>
          <w:rFonts w:cs="Times New Roman"/>
          <w:i/>
          <w:iCs/>
          <w:lang w:val="en-GB"/>
        </w:rPr>
        <w:t>K/G</w:t>
      </w:r>
      <w:r w:rsidR="00C97BA2" w:rsidRPr="00C53ACC">
        <w:rPr>
          <w:rFonts w:cs="Times New Roman"/>
          <w:lang w:val="en-GB"/>
        </w:rPr>
        <w:t xml:space="preserve"> value of AND65 corresponds to an ideal mixing between </w:t>
      </w:r>
      <w:r w:rsidR="005F7FEB">
        <w:rPr>
          <w:rFonts w:cs="Times New Roman"/>
          <w:lang w:val="en-GB"/>
        </w:rPr>
        <w:t>its</w:t>
      </w:r>
      <w:r w:rsidR="005F7FEB" w:rsidRPr="00C53ACC">
        <w:rPr>
          <w:rFonts w:cs="Times New Roman"/>
          <w:lang w:val="en-GB"/>
        </w:rPr>
        <w:t xml:space="preserve"> </w:t>
      </w:r>
      <w:r w:rsidR="00C97BA2" w:rsidRPr="00C53ACC">
        <w:rPr>
          <w:rFonts w:cs="Times New Roman"/>
          <w:lang w:val="en-GB"/>
        </w:rPr>
        <w:t xml:space="preserve">two </w:t>
      </w:r>
      <w:r w:rsidR="005F7FEB">
        <w:rPr>
          <w:rFonts w:cs="Times New Roman"/>
          <w:lang w:val="en-GB"/>
        </w:rPr>
        <w:t xml:space="preserve">compositional </w:t>
      </w:r>
      <w:r w:rsidR="00C97BA2" w:rsidRPr="00C53ACC">
        <w:rPr>
          <w:rFonts w:cs="Times New Roman"/>
          <w:lang w:val="en-GB"/>
        </w:rPr>
        <w:t>endmembers (AND100 and AND0).</w:t>
      </w:r>
    </w:p>
    <w:p w14:paraId="681D232A" w14:textId="77777777" w:rsidR="00845BFB" w:rsidRDefault="00845BFB" w:rsidP="00C97BA2">
      <w:pPr>
        <w:spacing w:line="480" w:lineRule="auto"/>
        <w:ind w:firstLine="720"/>
        <w:rPr>
          <w:rFonts w:cs="Times New Roman"/>
          <w:lang w:val="en-GB"/>
        </w:rPr>
      </w:pPr>
    </w:p>
    <w:p w14:paraId="01D9B7C4" w14:textId="45CB44D7" w:rsidR="00C97BA2" w:rsidRPr="00845BFB" w:rsidRDefault="00845BFB" w:rsidP="00C97BA2">
      <w:pPr>
        <w:pStyle w:val="Heading2"/>
        <w:spacing w:line="480" w:lineRule="auto"/>
        <w:rPr>
          <w:rFonts w:cs="Times New Roman"/>
        </w:rPr>
      </w:pPr>
      <w:r>
        <w:rPr>
          <w:rFonts w:eastAsiaTheme="minorEastAsia" w:cs="Times New Roman"/>
          <w:lang w:val="en-GB"/>
        </w:rPr>
        <w:t>S</w:t>
      </w:r>
      <w:r w:rsidR="00573BC9" w:rsidRPr="00845BFB">
        <w:rPr>
          <w:rFonts w:eastAsiaTheme="minorEastAsia" w:cs="Times New Roman"/>
          <w:lang w:val="en-GB"/>
        </w:rPr>
        <w:t>2</w:t>
      </w:r>
      <w:r w:rsidR="00C97BA2" w:rsidRPr="00845BFB">
        <w:rPr>
          <w:rFonts w:eastAsiaTheme="minorEastAsia" w:cs="Times New Roman"/>
          <w:lang w:val="en-GB"/>
        </w:rPr>
        <w:t xml:space="preserve">.1 </w:t>
      </w:r>
      <w:r w:rsidR="00C97BA2" w:rsidRPr="00845BFB">
        <w:rPr>
          <w:rFonts w:cs="Times New Roman"/>
        </w:rPr>
        <w:t>Conventional Differential Scanning Calorimetry (C-DSC)</w:t>
      </w:r>
    </w:p>
    <w:p w14:paraId="186B96E6" w14:textId="792C5BD8" w:rsidR="00C97BA2" w:rsidRDefault="00C97BA2" w:rsidP="00C97BA2">
      <w:pPr>
        <w:spacing w:line="480" w:lineRule="auto"/>
        <w:ind w:firstLine="720"/>
        <w:rPr>
          <w:rFonts w:cs="Times New Roman"/>
          <w:lang w:val="en-GB"/>
        </w:rPr>
      </w:pPr>
      <w:r w:rsidRPr="00C53ACC">
        <w:rPr>
          <w:rFonts w:cs="Times New Roman"/>
          <w:lang w:val="en-GB"/>
        </w:rPr>
        <w:t xml:space="preserve">Table </w:t>
      </w:r>
      <w:r w:rsidR="0057288D">
        <w:rPr>
          <w:rFonts w:cs="Times New Roman"/>
          <w:lang w:val="en-GB"/>
        </w:rPr>
        <w:t>S</w:t>
      </w:r>
      <w:r w:rsidRPr="00C53ACC">
        <w:rPr>
          <w:rFonts w:cs="Times New Roman"/>
          <w:lang w:val="en-GB"/>
        </w:rPr>
        <w:t xml:space="preserve">2 lists the measured characteristic </w:t>
      </w:r>
      <w:r w:rsidRPr="00C53ACC">
        <w:rPr>
          <w:rFonts w:cs="Times New Roman"/>
          <w:i/>
          <w:iCs/>
          <w:lang w:val="en-GB"/>
        </w:rPr>
        <w:t>T</w:t>
      </w:r>
      <w:r w:rsidRPr="00C53ACC">
        <w:rPr>
          <w:rFonts w:cs="Times New Roman"/>
          <w:i/>
          <w:iCs/>
          <w:vertAlign w:val="subscript"/>
          <w:lang w:val="en-GB"/>
        </w:rPr>
        <w:t>onset</w:t>
      </w:r>
      <w:r w:rsidRPr="00C53ACC">
        <w:rPr>
          <w:rFonts w:cs="Times New Roman"/>
          <w:lang w:val="en-GB"/>
        </w:rPr>
        <w:t xml:space="preserve"> and </w:t>
      </w:r>
      <w:r w:rsidRPr="00C53ACC">
        <w:rPr>
          <w:rFonts w:cs="Times New Roman"/>
          <w:i/>
          <w:iCs/>
          <w:lang w:val="en-GB"/>
        </w:rPr>
        <w:t>T</w:t>
      </w:r>
      <w:r w:rsidRPr="00C53ACC">
        <w:rPr>
          <w:rFonts w:cs="Times New Roman"/>
          <w:i/>
          <w:iCs/>
          <w:vertAlign w:val="subscript"/>
          <w:lang w:val="en-GB"/>
        </w:rPr>
        <w:t>peak</w:t>
      </w:r>
      <w:r w:rsidRPr="00C53ACC">
        <w:rPr>
          <w:rFonts w:cs="Times New Roman"/>
          <w:lang w:val="en-GB"/>
        </w:rPr>
        <w:t xml:space="preserve"> at various matching heating-cooling rates (</w:t>
      </w:r>
      <w:r w:rsidRPr="00C53ACC">
        <w:rPr>
          <w:rFonts w:cs="Times New Roman"/>
          <w:i/>
          <w:iCs/>
          <w:lang w:val="en-GB"/>
        </w:rPr>
        <w:t>q</w:t>
      </w:r>
      <w:r w:rsidRPr="00C53ACC">
        <w:rPr>
          <w:rFonts w:cs="Times New Roman"/>
          <w:i/>
          <w:iCs/>
          <w:vertAlign w:val="subscript"/>
          <w:lang w:val="en-GB"/>
        </w:rPr>
        <w:t>h</w:t>
      </w:r>
      <w:r w:rsidRPr="00C53ACC">
        <w:rPr>
          <w:rFonts w:cs="Times New Roman"/>
          <w:i/>
          <w:iCs/>
          <w:lang w:val="en-GB"/>
        </w:rPr>
        <w:t>=q</w:t>
      </w:r>
      <w:r w:rsidRPr="00C53ACC">
        <w:rPr>
          <w:rFonts w:cs="Times New Roman"/>
          <w:i/>
          <w:iCs/>
          <w:vertAlign w:val="subscript"/>
          <w:lang w:val="en-GB"/>
        </w:rPr>
        <w:t>c</w:t>
      </w:r>
      <w:r w:rsidRPr="00C53ACC">
        <w:rPr>
          <w:rFonts w:cs="Times New Roman"/>
          <w:lang w:val="en-GB"/>
        </w:rPr>
        <w:t xml:space="preserve">) via C-DSC (10-20 </w:t>
      </w:r>
      <w:r w:rsidR="002C0EB2">
        <w:rPr>
          <w:rFonts w:cs="Times New Roman"/>
          <w:lang w:val="en-GB"/>
        </w:rPr>
        <w:t>℃</w:t>
      </w:r>
      <w:r w:rsidRPr="00C53ACC">
        <w:rPr>
          <w:rFonts w:cs="Times New Roman"/>
          <w:lang w:val="en-GB"/>
        </w:rPr>
        <w:t xml:space="preserve"> min</w:t>
      </w:r>
      <w:r w:rsidRPr="00C53ACC">
        <w:rPr>
          <w:rFonts w:cs="Times New Roman"/>
          <w:vertAlign w:val="superscript"/>
          <w:lang w:val="en-GB"/>
        </w:rPr>
        <w:t>-1</w:t>
      </w:r>
      <w:r w:rsidRPr="00C53ACC">
        <w:rPr>
          <w:rFonts w:cs="Times New Roman"/>
          <w:lang w:val="en-GB"/>
        </w:rPr>
        <w:t xml:space="preserve">) and F-DSC (1,000-10,000 </w:t>
      </w:r>
      <w:r w:rsidR="002C0EB2">
        <w:rPr>
          <w:rFonts w:cs="Times New Roman"/>
          <w:lang w:val="en-GB"/>
        </w:rPr>
        <w:t>℃</w:t>
      </w:r>
      <w:r w:rsidRPr="00C53ACC">
        <w:rPr>
          <w:rFonts w:cs="Times New Roman"/>
          <w:lang w:val="en-GB"/>
        </w:rPr>
        <w:t xml:space="preserve"> s</w:t>
      </w:r>
      <w:r w:rsidRPr="00C53ACC">
        <w:rPr>
          <w:rFonts w:cs="Times New Roman"/>
          <w:vertAlign w:val="superscript"/>
          <w:lang w:val="en-GB"/>
        </w:rPr>
        <w:t>-1</w:t>
      </w:r>
      <w:r w:rsidRPr="00C53ACC">
        <w:rPr>
          <w:rFonts w:cs="Times New Roman"/>
          <w:lang w:val="en-GB"/>
        </w:rPr>
        <w:t xml:space="preserve">). We observed that both </w:t>
      </w:r>
      <w:r w:rsidRPr="00C53ACC">
        <w:rPr>
          <w:rFonts w:cs="Times New Roman"/>
          <w:i/>
          <w:iCs/>
          <w:lang w:val="en-GB"/>
        </w:rPr>
        <w:t>T</w:t>
      </w:r>
      <w:r w:rsidRPr="00C53ACC">
        <w:rPr>
          <w:rFonts w:cs="Times New Roman"/>
          <w:i/>
          <w:iCs/>
          <w:vertAlign w:val="subscript"/>
          <w:lang w:val="en-GB"/>
        </w:rPr>
        <w:t>onset</w:t>
      </w:r>
      <w:r w:rsidRPr="00C53ACC">
        <w:rPr>
          <w:rFonts w:cs="Times New Roman"/>
          <w:lang w:val="en-GB"/>
        </w:rPr>
        <w:t xml:space="preserve"> and </w:t>
      </w:r>
      <w:r w:rsidRPr="00C53ACC">
        <w:rPr>
          <w:rFonts w:cs="Times New Roman"/>
          <w:i/>
          <w:iCs/>
          <w:lang w:val="en-GB"/>
        </w:rPr>
        <w:t>T</w:t>
      </w:r>
      <w:r w:rsidRPr="00C53ACC">
        <w:rPr>
          <w:rFonts w:cs="Times New Roman"/>
          <w:i/>
          <w:iCs/>
          <w:vertAlign w:val="subscript"/>
          <w:lang w:val="en-GB"/>
        </w:rPr>
        <w:t>peak</w:t>
      </w:r>
      <w:r w:rsidRPr="00C53ACC">
        <w:rPr>
          <w:rFonts w:cs="Times New Roman"/>
          <w:lang w:val="en-GB"/>
        </w:rPr>
        <w:t xml:space="preserve"> increase with increasing </w:t>
      </w:r>
      <w:r w:rsidRPr="00C53ACC">
        <w:rPr>
          <w:rFonts w:cs="Times New Roman"/>
          <w:i/>
          <w:iCs/>
          <w:lang w:val="en-GB"/>
        </w:rPr>
        <w:t>q</w:t>
      </w:r>
      <w:r w:rsidRPr="00C53ACC">
        <w:rPr>
          <w:rFonts w:cs="Times New Roman"/>
          <w:i/>
          <w:iCs/>
          <w:vertAlign w:val="subscript"/>
          <w:lang w:val="en-GB"/>
        </w:rPr>
        <w:t>h</w:t>
      </w:r>
      <w:r w:rsidRPr="00C53ACC">
        <w:rPr>
          <w:rFonts w:cs="Times New Roman"/>
          <w:i/>
          <w:iCs/>
          <w:lang w:val="en-GB"/>
        </w:rPr>
        <w:t>=q</w:t>
      </w:r>
      <w:r w:rsidRPr="00C53ACC">
        <w:rPr>
          <w:rFonts w:cs="Times New Roman"/>
          <w:i/>
          <w:iCs/>
          <w:vertAlign w:val="subscript"/>
          <w:lang w:val="en-GB"/>
        </w:rPr>
        <w:t>c</w:t>
      </w:r>
      <w:r w:rsidRPr="00C53ACC">
        <w:rPr>
          <w:rFonts w:cs="Times New Roman"/>
          <w:lang w:val="en-GB"/>
        </w:rPr>
        <w:t xml:space="preserve"> values (Table </w:t>
      </w:r>
      <w:r w:rsidR="0057288D">
        <w:rPr>
          <w:rFonts w:cs="Times New Roman"/>
          <w:lang w:val="en-GB"/>
        </w:rPr>
        <w:t>S</w:t>
      </w:r>
      <w:r w:rsidRPr="00C53ACC">
        <w:rPr>
          <w:rFonts w:cs="Times New Roman"/>
          <w:lang w:val="en-GB"/>
        </w:rPr>
        <w:t xml:space="preserve">2). AND0 displays the highest </w:t>
      </w:r>
      <w:r w:rsidRPr="00C53ACC">
        <w:rPr>
          <w:rFonts w:cs="Times New Roman"/>
          <w:i/>
          <w:iCs/>
          <w:lang w:val="en-GB"/>
        </w:rPr>
        <w:t>T</w:t>
      </w:r>
      <w:r w:rsidRPr="00C53ACC">
        <w:rPr>
          <w:rFonts w:cs="Times New Roman"/>
          <w:i/>
          <w:iCs/>
          <w:vertAlign w:val="subscript"/>
          <w:lang w:val="en-GB"/>
        </w:rPr>
        <w:t>onset</w:t>
      </w:r>
      <w:r w:rsidRPr="00C53ACC">
        <w:rPr>
          <w:rFonts w:cs="Times New Roman"/>
          <w:lang w:val="en-GB"/>
        </w:rPr>
        <w:t xml:space="preserve"> (737 ℃) and </w:t>
      </w:r>
      <w:r w:rsidRPr="00C53ACC">
        <w:rPr>
          <w:rFonts w:cs="Times New Roman"/>
          <w:i/>
          <w:iCs/>
          <w:lang w:val="en-GB"/>
        </w:rPr>
        <w:t>T</w:t>
      </w:r>
      <w:r w:rsidRPr="00C53ACC">
        <w:rPr>
          <w:rFonts w:cs="Times New Roman"/>
          <w:i/>
          <w:iCs/>
          <w:vertAlign w:val="subscript"/>
          <w:lang w:val="en-GB"/>
        </w:rPr>
        <w:t>peak</w:t>
      </w:r>
      <w:r w:rsidRPr="00C53ACC">
        <w:rPr>
          <w:rFonts w:cs="Times New Roman"/>
          <w:lang w:val="en-GB"/>
        </w:rPr>
        <w:t xml:space="preserve"> (782 ℃) at a heating rate of 10 </w:t>
      </w:r>
      <w:r w:rsidR="00C827B8">
        <w:rPr>
          <w:rFonts w:cs="Times New Roman"/>
          <w:lang w:val="en-GB"/>
        </w:rPr>
        <w:t>℃</w:t>
      </w:r>
      <w:r w:rsidRPr="00C53ACC">
        <w:rPr>
          <w:rFonts w:cs="Times New Roman"/>
          <w:lang w:val="en-GB"/>
        </w:rPr>
        <w:t xml:space="preserve"> min</w:t>
      </w:r>
      <w:r w:rsidRPr="00C53ACC">
        <w:rPr>
          <w:rFonts w:cs="Times New Roman"/>
          <w:vertAlign w:val="superscript"/>
          <w:lang w:val="en-GB"/>
        </w:rPr>
        <w:t>-1</w:t>
      </w:r>
      <w:r w:rsidRPr="00C53ACC">
        <w:rPr>
          <w:rFonts w:cs="Times New Roman"/>
          <w:lang w:val="en-GB"/>
        </w:rPr>
        <w:t xml:space="preserve">, while sample AND100red exhibits the lowest </w:t>
      </w:r>
      <w:r w:rsidRPr="00C53ACC">
        <w:rPr>
          <w:rFonts w:cs="Times New Roman"/>
          <w:i/>
          <w:iCs/>
          <w:lang w:val="en-GB"/>
        </w:rPr>
        <w:t>T</w:t>
      </w:r>
      <w:r w:rsidRPr="00C53ACC">
        <w:rPr>
          <w:rFonts w:cs="Times New Roman"/>
          <w:i/>
          <w:iCs/>
          <w:vertAlign w:val="subscript"/>
          <w:lang w:val="en-GB"/>
        </w:rPr>
        <w:t>onset</w:t>
      </w:r>
      <w:r w:rsidRPr="00C53ACC">
        <w:rPr>
          <w:rFonts w:cs="Times New Roman"/>
          <w:lang w:val="en-GB"/>
        </w:rPr>
        <w:t xml:space="preserve"> (645 ℃) and </w:t>
      </w:r>
      <w:r w:rsidRPr="00C53ACC">
        <w:rPr>
          <w:rFonts w:cs="Times New Roman"/>
          <w:i/>
          <w:iCs/>
          <w:lang w:val="en-GB"/>
        </w:rPr>
        <w:t>T</w:t>
      </w:r>
      <w:r w:rsidRPr="00C53ACC">
        <w:rPr>
          <w:rFonts w:cs="Times New Roman"/>
          <w:i/>
          <w:iCs/>
          <w:vertAlign w:val="subscript"/>
          <w:lang w:val="en-GB"/>
        </w:rPr>
        <w:t>peak</w:t>
      </w:r>
      <w:r w:rsidRPr="00C53ACC">
        <w:rPr>
          <w:rFonts w:cs="Times New Roman"/>
          <w:lang w:val="en-GB"/>
        </w:rPr>
        <w:t xml:space="preserve"> (694 ℃) under the same heating conditions. At the same heating rate, the </w:t>
      </w:r>
      <w:r w:rsidRPr="00C53ACC">
        <w:rPr>
          <w:rFonts w:cs="Times New Roman"/>
          <w:i/>
          <w:iCs/>
          <w:lang w:val="en-GB"/>
        </w:rPr>
        <w:t>T</w:t>
      </w:r>
      <w:r w:rsidRPr="00C53ACC">
        <w:rPr>
          <w:rFonts w:cs="Times New Roman"/>
          <w:i/>
          <w:iCs/>
          <w:vertAlign w:val="subscript"/>
          <w:lang w:val="en-GB"/>
        </w:rPr>
        <w:t>onset</w:t>
      </w:r>
      <w:r w:rsidRPr="00C53ACC">
        <w:rPr>
          <w:rFonts w:cs="Times New Roman"/>
          <w:lang w:val="en-GB"/>
        </w:rPr>
        <w:t xml:space="preserve"> and </w:t>
      </w:r>
      <w:r w:rsidRPr="00C53ACC">
        <w:rPr>
          <w:rFonts w:cs="Times New Roman"/>
          <w:i/>
          <w:iCs/>
          <w:lang w:val="en-GB"/>
        </w:rPr>
        <w:t>T</w:t>
      </w:r>
      <w:r w:rsidRPr="00C53ACC">
        <w:rPr>
          <w:rFonts w:cs="Times New Roman"/>
          <w:i/>
          <w:iCs/>
          <w:vertAlign w:val="subscript"/>
          <w:lang w:val="en-GB"/>
        </w:rPr>
        <w:t>peak</w:t>
      </w:r>
      <w:r w:rsidRPr="00C53ACC">
        <w:rPr>
          <w:rFonts w:cs="Times New Roman"/>
          <w:vertAlign w:val="subscript"/>
          <w:lang w:val="en-GB"/>
        </w:rPr>
        <w:t xml:space="preserve"> </w:t>
      </w:r>
      <w:r w:rsidRPr="00C53ACC">
        <w:rPr>
          <w:rFonts w:cs="Times New Roman"/>
          <w:lang w:val="en-GB"/>
        </w:rPr>
        <w:t xml:space="preserve">of AND100, AND100ox, and AND65 fall between AND0 and AND100red. </w:t>
      </w:r>
    </w:p>
    <w:p w14:paraId="654313BC" w14:textId="77777777" w:rsidR="004C6C21" w:rsidRDefault="004C6C21" w:rsidP="00C97BA2">
      <w:pPr>
        <w:spacing w:line="480" w:lineRule="auto"/>
        <w:ind w:firstLine="720"/>
        <w:rPr>
          <w:rFonts w:cs="Times New Roman"/>
          <w:lang w:val="en-GB"/>
        </w:rPr>
      </w:pPr>
    </w:p>
    <w:tbl>
      <w:tblPr>
        <w:tblW w:w="9360" w:type="dxa"/>
        <w:tblLook w:val="04A0" w:firstRow="1" w:lastRow="0" w:firstColumn="1" w:lastColumn="0" w:noHBand="0" w:noVBand="1"/>
      </w:tblPr>
      <w:tblGrid>
        <w:gridCol w:w="1618"/>
        <w:gridCol w:w="2056"/>
        <w:gridCol w:w="791"/>
        <w:gridCol w:w="213"/>
        <w:gridCol w:w="1796"/>
        <w:gridCol w:w="614"/>
        <w:gridCol w:w="2050"/>
        <w:gridCol w:w="222"/>
      </w:tblGrid>
      <w:tr w:rsidR="004C6C21" w:rsidRPr="004C6C21" w14:paraId="6B40BB0E" w14:textId="77777777" w:rsidTr="004C6C21">
        <w:trPr>
          <w:gridAfter w:val="1"/>
          <w:wAfter w:w="222" w:type="dxa"/>
          <w:trHeight w:val="458"/>
        </w:trPr>
        <w:tc>
          <w:tcPr>
            <w:tcW w:w="9138" w:type="dxa"/>
            <w:gridSpan w:val="7"/>
            <w:vMerge w:val="restart"/>
            <w:tcBorders>
              <w:top w:val="nil"/>
              <w:left w:val="nil"/>
              <w:bottom w:val="single" w:sz="4" w:space="0" w:color="000000"/>
              <w:right w:val="nil"/>
            </w:tcBorders>
            <w:shd w:val="clear" w:color="000000" w:fill="FFFFFF"/>
            <w:vAlign w:val="bottom"/>
            <w:hideMark/>
          </w:tcPr>
          <w:p w14:paraId="337D5C0A" w14:textId="7EC0675F"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b/>
                <w:bCs/>
                <w:color w:val="000000"/>
                <w:szCs w:val="24"/>
              </w:rPr>
              <w:t>Table S2</w:t>
            </w:r>
            <w:r w:rsidRPr="004C6C21">
              <w:rPr>
                <w:rFonts w:eastAsia="Times New Roman" w:cs="Times New Roman"/>
                <w:color w:val="000000"/>
                <w:szCs w:val="24"/>
              </w:rPr>
              <w:t>.</w:t>
            </w:r>
            <w:r>
              <w:rPr>
                <w:rFonts w:eastAsia="Times New Roman" w:cs="Times New Roman"/>
                <w:color w:val="000000"/>
                <w:szCs w:val="24"/>
              </w:rPr>
              <w:t xml:space="preserve"> </w:t>
            </w:r>
            <w:r w:rsidRPr="004C6C21">
              <w:rPr>
                <w:rFonts w:eastAsia="Times New Roman" w:cs="Times New Roman"/>
                <w:color w:val="000000"/>
                <w:szCs w:val="24"/>
              </w:rPr>
              <w:t xml:space="preserve">C-DSC, F-DSC, MP, and CC result as a function of temperature and post-experimental Mössbauer results. </w:t>
            </w:r>
          </w:p>
        </w:tc>
      </w:tr>
      <w:tr w:rsidR="004C6C21" w:rsidRPr="004C6C21" w14:paraId="2D05F2A7" w14:textId="77777777" w:rsidTr="004C6C21">
        <w:trPr>
          <w:trHeight w:val="360"/>
        </w:trPr>
        <w:tc>
          <w:tcPr>
            <w:tcW w:w="9138" w:type="dxa"/>
            <w:gridSpan w:val="7"/>
            <w:vMerge/>
            <w:tcBorders>
              <w:top w:val="nil"/>
              <w:left w:val="nil"/>
              <w:bottom w:val="single" w:sz="4" w:space="0" w:color="000000"/>
              <w:right w:val="nil"/>
            </w:tcBorders>
            <w:vAlign w:val="center"/>
            <w:hideMark/>
          </w:tcPr>
          <w:p w14:paraId="2D54F69B" w14:textId="77777777" w:rsidR="004C6C21" w:rsidRPr="004C6C21" w:rsidRDefault="004C6C21" w:rsidP="004C6C21">
            <w:pPr>
              <w:spacing w:line="240" w:lineRule="auto"/>
              <w:jc w:val="left"/>
              <w:rPr>
                <w:rFonts w:eastAsia="Times New Roman" w:cs="Times New Roman"/>
                <w:color w:val="000000"/>
                <w:szCs w:val="24"/>
              </w:rPr>
            </w:pPr>
          </w:p>
        </w:tc>
        <w:tc>
          <w:tcPr>
            <w:tcW w:w="222" w:type="dxa"/>
            <w:tcBorders>
              <w:top w:val="nil"/>
              <w:left w:val="nil"/>
              <w:bottom w:val="nil"/>
              <w:right w:val="nil"/>
            </w:tcBorders>
            <w:shd w:val="clear" w:color="auto" w:fill="auto"/>
            <w:noWrap/>
            <w:vAlign w:val="bottom"/>
            <w:hideMark/>
          </w:tcPr>
          <w:p w14:paraId="2F856F27" w14:textId="77777777" w:rsidR="004C6C21" w:rsidRPr="004C6C21" w:rsidRDefault="004C6C21" w:rsidP="004C6C21">
            <w:pPr>
              <w:spacing w:line="240" w:lineRule="auto"/>
              <w:jc w:val="left"/>
              <w:rPr>
                <w:rFonts w:eastAsia="Times New Roman" w:cs="Times New Roman"/>
                <w:color w:val="000000"/>
                <w:szCs w:val="24"/>
              </w:rPr>
            </w:pPr>
          </w:p>
        </w:tc>
      </w:tr>
      <w:tr w:rsidR="004C6C21" w:rsidRPr="004C6C21" w14:paraId="40868A31" w14:textId="77777777" w:rsidTr="004C6C21">
        <w:trPr>
          <w:trHeight w:val="360"/>
        </w:trPr>
        <w:tc>
          <w:tcPr>
            <w:tcW w:w="1618" w:type="dxa"/>
            <w:tcBorders>
              <w:top w:val="nil"/>
              <w:left w:val="nil"/>
              <w:bottom w:val="single" w:sz="8" w:space="0" w:color="auto"/>
              <w:right w:val="nil"/>
            </w:tcBorders>
            <w:shd w:val="clear" w:color="000000" w:fill="FFFFFF"/>
            <w:noWrap/>
            <w:vAlign w:val="center"/>
            <w:hideMark/>
          </w:tcPr>
          <w:p w14:paraId="583AAF15"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Sample</w:t>
            </w:r>
          </w:p>
        </w:tc>
        <w:tc>
          <w:tcPr>
            <w:tcW w:w="2056" w:type="dxa"/>
            <w:tcBorders>
              <w:top w:val="nil"/>
              <w:left w:val="nil"/>
              <w:bottom w:val="single" w:sz="8" w:space="0" w:color="auto"/>
              <w:right w:val="nil"/>
            </w:tcBorders>
            <w:shd w:val="clear" w:color="000000" w:fill="FFFFFF"/>
            <w:noWrap/>
            <w:vAlign w:val="center"/>
            <w:hideMark/>
          </w:tcPr>
          <w:p w14:paraId="5E5B9E3B"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Type</w:t>
            </w:r>
            <w:r w:rsidRPr="004C6C21">
              <w:rPr>
                <w:rFonts w:eastAsia="Times New Roman" w:cs="Times New Roman"/>
                <w:color w:val="000000"/>
                <w:szCs w:val="24"/>
                <w:vertAlign w:val="superscript"/>
              </w:rPr>
              <w:t>a</w:t>
            </w:r>
          </w:p>
        </w:tc>
        <w:tc>
          <w:tcPr>
            <w:tcW w:w="1004" w:type="dxa"/>
            <w:gridSpan w:val="2"/>
            <w:tcBorders>
              <w:top w:val="nil"/>
              <w:left w:val="nil"/>
              <w:bottom w:val="single" w:sz="8" w:space="0" w:color="auto"/>
              <w:right w:val="nil"/>
            </w:tcBorders>
            <w:shd w:val="clear" w:color="000000" w:fill="FFFFFF"/>
            <w:noWrap/>
            <w:vAlign w:val="center"/>
            <w:hideMark/>
          </w:tcPr>
          <w:p w14:paraId="7BD222F5"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i/>
                <w:iCs/>
                <w:color w:val="000000"/>
                <w:szCs w:val="24"/>
              </w:rPr>
              <w:t>T</w:t>
            </w:r>
            <w:r w:rsidRPr="004C6C21">
              <w:rPr>
                <w:rFonts w:eastAsia="Times New Roman" w:cs="Times New Roman"/>
                <w:color w:val="000000"/>
                <w:szCs w:val="24"/>
              </w:rPr>
              <w:t xml:space="preserve"> (℃)</w:t>
            </w:r>
          </w:p>
        </w:tc>
        <w:tc>
          <w:tcPr>
            <w:tcW w:w="2410" w:type="dxa"/>
            <w:gridSpan w:val="2"/>
            <w:tcBorders>
              <w:top w:val="nil"/>
              <w:left w:val="nil"/>
              <w:bottom w:val="single" w:sz="8" w:space="0" w:color="auto"/>
              <w:right w:val="nil"/>
            </w:tcBorders>
            <w:shd w:val="clear" w:color="000000" w:fill="FFFFFF"/>
            <w:noWrap/>
            <w:vAlign w:val="center"/>
            <w:hideMark/>
          </w:tcPr>
          <w:p w14:paraId="479415ED"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xml:space="preserve">log </w:t>
            </w:r>
            <w:r w:rsidRPr="004C6C21">
              <w:rPr>
                <w:rFonts w:eastAsia="Times New Roman" w:cs="Times New Roman"/>
                <w:i/>
                <w:iCs/>
                <w:color w:val="000000"/>
                <w:szCs w:val="24"/>
              </w:rPr>
              <w:t>η</w:t>
            </w:r>
            <w:r w:rsidRPr="004C6C21">
              <w:rPr>
                <w:rFonts w:eastAsia="Times New Roman" w:cs="Times New Roman"/>
                <w:color w:val="000000"/>
                <w:szCs w:val="24"/>
              </w:rPr>
              <w:t xml:space="preserve"> (</w:t>
            </w:r>
            <w:r w:rsidRPr="004C6C21">
              <w:rPr>
                <w:rFonts w:eastAsia="Times New Roman" w:cs="Times New Roman"/>
                <w:i/>
                <w:iCs/>
                <w:color w:val="000000"/>
                <w:szCs w:val="24"/>
              </w:rPr>
              <w:t>η</w:t>
            </w:r>
            <w:r w:rsidRPr="004C6C21">
              <w:rPr>
                <w:rFonts w:eastAsia="Times New Roman" w:cs="Times New Roman"/>
                <w:color w:val="000000"/>
                <w:szCs w:val="24"/>
              </w:rPr>
              <w:t xml:space="preserve"> in Pa s)</w:t>
            </w:r>
          </w:p>
        </w:tc>
        <w:tc>
          <w:tcPr>
            <w:tcW w:w="2050" w:type="dxa"/>
            <w:tcBorders>
              <w:top w:val="nil"/>
              <w:left w:val="nil"/>
              <w:bottom w:val="single" w:sz="8" w:space="0" w:color="auto"/>
              <w:right w:val="nil"/>
            </w:tcBorders>
            <w:shd w:val="clear" w:color="000000" w:fill="FFFFFF"/>
            <w:vAlign w:val="center"/>
            <w:hideMark/>
          </w:tcPr>
          <w:p w14:paraId="171A07EE"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ΔFe</w:t>
            </w:r>
            <w:r w:rsidRPr="004C6C21">
              <w:rPr>
                <w:rFonts w:eastAsia="Times New Roman" w:cs="Times New Roman"/>
                <w:szCs w:val="24"/>
                <w:vertAlign w:val="superscript"/>
              </w:rPr>
              <w:t>3+</w:t>
            </w:r>
            <w:r w:rsidRPr="004C6C21">
              <w:rPr>
                <w:rFonts w:eastAsia="Times New Roman" w:cs="Times New Roman"/>
                <w:szCs w:val="24"/>
              </w:rPr>
              <w:t>/∑Fe</w:t>
            </w:r>
            <w:r w:rsidRPr="004C6C21">
              <w:rPr>
                <w:rFonts w:eastAsia="Times New Roman" w:cs="Times New Roman"/>
                <w:szCs w:val="24"/>
                <w:vertAlign w:val="subscript"/>
              </w:rPr>
              <w:t>tot</w:t>
            </w:r>
            <w:r w:rsidRPr="004C6C21">
              <w:rPr>
                <w:rFonts w:eastAsia="Times New Roman" w:cs="Times New Roman"/>
                <w:szCs w:val="24"/>
                <w:vertAlign w:val="superscript"/>
              </w:rPr>
              <w:t>b</w:t>
            </w:r>
          </w:p>
        </w:tc>
        <w:tc>
          <w:tcPr>
            <w:tcW w:w="222" w:type="dxa"/>
            <w:vAlign w:val="center"/>
            <w:hideMark/>
          </w:tcPr>
          <w:p w14:paraId="5CAEFF57"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3ACF72AD" w14:textId="77777777" w:rsidTr="004C6C21">
        <w:trPr>
          <w:trHeight w:val="360"/>
        </w:trPr>
        <w:tc>
          <w:tcPr>
            <w:tcW w:w="1618" w:type="dxa"/>
            <w:tcBorders>
              <w:top w:val="nil"/>
              <w:left w:val="nil"/>
              <w:bottom w:val="nil"/>
              <w:right w:val="nil"/>
            </w:tcBorders>
            <w:shd w:val="clear" w:color="000000" w:fill="FFFFFF"/>
            <w:noWrap/>
            <w:vAlign w:val="bottom"/>
            <w:hideMark/>
          </w:tcPr>
          <w:p w14:paraId="04704EA0" w14:textId="77777777" w:rsidR="004C6C21" w:rsidRPr="004C6C21" w:rsidRDefault="004C6C21" w:rsidP="004C6C21">
            <w:pPr>
              <w:spacing w:line="240" w:lineRule="auto"/>
              <w:jc w:val="left"/>
              <w:rPr>
                <w:rFonts w:eastAsia="Times New Roman" w:cs="Times New Roman"/>
                <w:b/>
                <w:bCs/>
                <w:color w:val="000000"/>
                <w:szCs w:val="24"/>
              </w:rPr>
            </w:pPr>
            <w:r w:rsidRPr="004C6C21">
              <w:rPr>
                <w:rFonts w:eastAsia="Times New Roman" w:cs="Times New Roman"/>
                <w:b/>
                <w:bCs/>
                <w:color w:val="000000"/>
                <w:szCs w:val="24"/>
              </w:rPr>
              <w:t>AND100</w:t>
            </w:r>
          </w:p>
        </w:tc>
        <w:tc>
          <w:tcPr>
            <w:tcW w:w="2056" w:type="dxa"/>
            <w:tcBorders>
              <w:top w:val="nil"/>
              <w:left w:val="nil"/>
              <w:bottom w:val="nil"/>
              <w:right w:val="nil"/>
            </w:tcBorders>
            <w:shd w:val="clear" w:color="000000" w:fill="FFFFFF"/>
            <w:noWrap/>
            <w:vAlign w:val="bottom"/>
            <w:hideMark/>
          </w:tcPr>
          <w:p w14:paraId="6384F4EA"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10_on</w:t>
            </w:r>
          </w:p>
        </w:tc>
        <w:tc>
          <w:tcPr>
            <w:tcW w:w="791" w:type="dxa"/>
            <w:tcBorders>
              <w:top w:val="nil"/>
              <w:left w:val="nil"/>
              <w:bottom w:val="nil"/>
              <w:right w:val="nil"/>
            </w:tcBorders>
            <w:shd w:val="clear" w:color="000000" w:fill="FFFFFF"/>
            <w:noWrap/>
            <w:vAlign w:val="bottom"/>
            <w:hideMark/>
          </w:tcPr>
          <w:p w14:paraId="7EB495F6"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654</w:t>
            </w:r>
          </w:p>
        </w:tc>
        <w:tc>
          <w:tcPr>
            <w:tcW w:w="2009" w:type="dxa"/>
            <w:gridSpan w:val="2"/>
            <w:tcBorders>
              <w:top w:val="nil"/>
              <w:left w:val="nil"/>
              <w:bottom w:val="nil"/>
              <w:right w:val="nil"/>
            </w:tcBorders>
            <w:shd w:val="clear" w:color="000000" w:fill="FFFFFF"/>
            <w:noWrap/>
            <w:vAlign w:val="bottom"/>
            <w:hideMark/>
          </w:tcPr>
          <w:p w14:paraId="70EA003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11.98</w:t>
            </w:r>
          </w:p>
        </w:tc>
        <w:tc>
          <w:tcPr>
            <w:tcW w:w="2664" w:type="dxa"/>
            <w:gridSpan w:val="2"/>
            <w:tcBorders>
              <w:top w:val="nil"/>
              <w:left w:val="nil"/>
              <w:bottom w:val="nil"/>
              <w:right w:val="nil"/>
            </w:tcBorders>
            <w:shd w:val="clear" w:color="000000" w:fill="FFFFFF"/>
            <w:noWrap/>
            <w:vAlign w:val="bottom"/>
            <w:hideMark/>
          </w:tcPr>
          <w:p w14:paraId="5C1735F0"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0.12</w:t>
            </w:r>
          </w:p>
        </w:tc>
        <w:tc>
          <w:tcPr>
            <w:tcW w:w="222" w:type="dxa"/>
            <w:vAlign w:val="center"/>
            <w:hideMark/>
          </w:tcPr>
          <w:p w14:paraId="017D310D"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2DB19FD1" w14:textId="77777777" w:rsidTr="004C6C21">
        <w:trPr>
          <w:trHeight w:val="360"/>
        </w:trPr>
        <w:tc>
          <w:tcPr>
            <w:tcW w:w="1618" w:type="dxa"/>
            <w:tcBorders>
              <w:top w:val="nil"/>
              <w:left w:val="nil"/>
              <w:bottom w:val="nil"/>
              <w:right w:val="nil"/>
            </w:tcBorders>
            <w:shd w:val="clear" w:color="000000" w:fill="FFFFFF"/>
            <w:noWrap/>
            <w:vAlign w:val="bottom"/>
            <w:hideMark/>
          </w:tcPr>
          <w:p w14:paraId="436F1E1B"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18E2CD26"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10_pk</w:t>
            </w:r>
          </w:p>
        </w:tc>
        <w:tc>
          <w:tcPr>
            <w:tcW w:w="791" w:type="dxa"/>
            <w:tcBorders>
              <w:top w:val="nil"/>
              <w:left w:val="nil"/>
              <w:bottom w:val="nil"/>
              <w:right w:val="nil"/>
            </w:tcBorders>
            <w:shd w:val="clear" w:color="000000" w:fill="FFFFFF"/>
            <w:noWrap/>
            <w:vAlign w:val="bottom"/>
            <w:hideMark/>
          </w:tcPr>
          <w:p w14:paraId="4FE4EE64"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715</w:t>
            </w:r>
          </w:p>
        </w:tc>
        <w:tc>
          <w:tcPr>
            <w:tcW w:w="2009" w:type="dxa"/>
            <w:gridSpan w:val="2"/>
            <w:tcBorders>
              <w:top w:val="nil"/>
              <w:left w:val="nil"/>
              <w:bottom w:val="nil"/>
              <w:right w:val="nil"/>
            </w:tcBorders>
            <w:shd w:val="clear" w:color="000000" w:fill="FFFFFF"/>
            <w:noWrap/>
            <w:vAlign w:val="bottom"/>
            <w:hideMark/>
          </w:tcPr>
          <w:p w14:paraId="1C9A460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10.62</w:t>
            </w:r>
          </w:p>
        </w:tc>
        <w:tc>
          <w:tcPr>
            <w:tcW w:w="2664" w:type="dxa"/>
            <w:gridSpan w:val="2"/>
            <w:tcBorders>
              <w:top w:val="nil"/>
              <w:left w:val="nil"/>
              <w:bottom w:val="nil"/>
              <w:right w:val="nil"/>
            </w:tcBorders>
            <w:shd w:val="clear" w:color="000000" w:fill="FFFFFF"/>
            <w:noWrap/>
            <w:vAlign w:val="bottom"/>
            <w:hideMark/>
          </w:tcPr>
          <w:p w14:paraId="657D29E5"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0.12</w:t>
            </w:r>
          </w:p>
        </w:tc>
        <w:tc>
          <w:tcPr>
            <w:tcW w:w="222" w:type="dxa"/>
            <w:vAlign w:val="center"/>
            <w:hideMark/>
          </w:tcPr>
          <w:p w14:paraId="0DBD2E9B"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764ED6F7" w14:textId="77777777" w:rsidTr="004C6C21">
        <w:trPr>
          <w:trHeight w:val="360"/>
        </w:trPr>
        <w:tc>
          <w:tcPr>
            <w:tcW w:w="1618" w:type="dxa"/>
            <w:tcBorders>
              <w:top w:val="nil"/>
              <w:left w:val="nil"/>
              <w:bottom w:val="nil"/>
              <w:right w:val="nil"/>
            </w:tcBorders>
            <w:shd w:val="clear" w:color="000000" w:fill="FFFFFF"/>
            <w:noWrap/>
            <w:vAlign w:val="bottom"/>
            <w:hideMark/>
          </w:tcPr>
          <w:p w14:paraId="124CCE8C"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279C9E7D"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10bis_on</w:t>
            </w:r>
          </w:p>
        </w:tc>
        <w:tc>
          <w:tcPr>
            <w:tcW w:w="791" w:type="dxa"/>
            <w:tcBorders>
              <w:top w:val="nil"/>
              <w:left w:val="nil"/>
              <w:bottom w:val="nil"/>
              <w:right w:val="nil"/>
            </w:tcBorders>
            <w:shd w:val="clear" w:color="000000" w:fill="FFFFFF"/>
            <w:noWrap/>
            <w:vAlign w:val="bottom"/>
            <w:hideMark/>
          </w:tcPr>
          <w:p w14:paraId="3E78DBC8"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654</w:t>
            </w:r>
          </w:p>
        </w:tc>
        <w:tc>
          <w:tcPr>
            <w:tcW w:w="2009" w:type="dxa"/>
            <w:gridSpan w:val="2"/>
            <w:tcBorders>
              <w:top w:val="nil"/>
              <w:left w:val="nil"/>
              <w:bottom w:val="nil"/>
              <w:right w:val="nil"/>
            </w:tcBorders>
            <w:shd w:val="clear" w:color="000000" w:fill="FFFFFF"/>
            <w:noWrap/>
            <w:vAlign w:val="bottom"/>
            <w:hideMark/>
          </w:tcPr>
          <w:p w14:paraId="3D944E3D"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11.98</w:t>
            </w:r>
          </w:p>
        </w:tc>
        <w:tc>
          <w:tcPr>
            <w:tcW w:w="2664" w:type="dxa"/>
            <w:gridSpan w:val="2"/>
            <w:tcBorders>
              <w:top w:val="nil"/>
              <w:left w:val="nil"/>
              <w:bottom w:val="nil"/>
              <w:right w:val="nil"/>
            </w:tcBorders>
            <w:shd w:val="clear" w:color="000000" w:fill="FFFFFF"/>
            <w:noWrap/>
            <w:vAlign w:val="bottom"/>
            <w:hideMark/>
          </w:tcPr>
          <w:p w14:paraId="7D8A580B"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0.16</w:t>
            </w:r>
          </w:p>
        </w:tc>
        <w:tc>
          <w:tcPr>
            <w:tcW w:w="222" w:type="dxa"/>
            <w:vAlign w:val="center"/>
            <w:hideMark/>
          </w:tcPr>
          <w:p w14:paraId="3F608EB0"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59B30029" w14:textId="77777777" w:rsidTr="004C6C21">
        <w:trPr>
          <w:trHeight w:val="360"/>
        </w:trPr>
        <w:tc>
          <w:tcPr>
            <w:tcW w:w="1618" w:type="dxa"/>
            <w:tcBorders>
              <w:top w:val="nil"/>
              <w:left w:val="nil"/>
              <w:bottom w:val="nil"/>
              <w:right w:val="nil"/>
            </w:tcBorders>
            <w:shd w:val="clear" w:color="000000" w:fill="FFFFFF"/>
            <w:noWrap/>
            <w:vAlign w:val="bottom"/>
            <w:hideMark/>
          </w:tcPr>
          <w:p w14:paraId="4999CA8D"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2BFC50C6"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10bis_pk</w:t>
            </w:r>
          </w:p>
        </w:tc>
        <w:tc>
          <w:tcPr>
            <w:tcW w:w="791" w:type="dxa"/>
            <w:tcBorders>
              <w:top w:val="nil"/>
              <w:left w:val="nil"/>
              <w:bottom w:val="nil"/>
              <w:right w:val="nil"/>
            </w:tcBorders>
            <w:shd w:val="clear" w:color="000000" w:fill="FFFFFF"/>
            <w:noWrap/>
            <w:vAlign w:val="bottom"/>
            <w:hideMark/>
          </w:tcPr>
          <w:p w14:paraId="09B395B3"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695</w:t>
            </w:r>
          </w:p>
        </w:tc>
        <w:tc>
          <w:tcPr>
            <w:tcW w:w="2009" w:type="dxa"/>
            <w:gridSpan w:val="2"/>
            <w:tcBorders>
              <w:top w:val="nil"/>
              <w:left w:val="nil"/>
              <w:bottom w:val="nil"/>
              <w:right w:val="nil"/>
            </w:tcBorders>
            <w:shd w:val="clear" w:color="000000" w:fill="FFFFFF"/>
            <w:noWrap/>
            <w:vAlign w:val="bottom"/>
            <w:hideMark/>
          </w:tcPr>
          <w:p w14:paraId="4982985E"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10.62</w:t>
            </w:r>
          </w:p>
        </w:tc>
        <w:tc>
          <w:tcPr>
            <w:tcW w:w="2664" w:type="dxa"/>
            <w:gridSpan w:val="2"/>
            <w:tcBorders>
              <w:top w:val="nil"/>
              <w:left w:val="nil"/>
              <w:bottom w:val="nil"/>
              <w:right w:val="nil"/>
            </w:tcBorders>
            <w:shd w:val="clear" w:color="000000" w:fill="FFFFFF"/>
            <w:noWrap/>
            <w:vAlign w:val="bottom"/>
            <w:hideMark/>
          </w:tcPr>
          <w:p w14:paraId="321C2BA9"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0.16</w:t>
            </w:r>
          </w:p>
        </w:tc>
        <w:tc>
          <w:tcPr>
            <w:tcW w:w="222" w:type="dxa"/>
            <w:vAlign w:val="center"/>
            <w:hideMark/>
          </w:tcPr>
          <w:p w14:paraId="7DC3C03E"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3B76B6D1" w14:textId="77777777" w:rsidTr="004C6C21">
        <w:trPr>
          <w:trHeight w:val="360"/>
        </w:trPr>
        <w:tc>
          <w:tcPr>
            <w:tcW w:w="1618" w:type="dxa"/>
            <w:tcBorders>
              <w:top w:val="nil"/>
              <w:left w:val="nil"/>
              <w:bottom w:val="nil"/>
              <w:right w:val="nil"/>
            </w:tcBorders>
            <w:shd w:val="clear" w:color="000000" w:fill="FFFFFF"/>
            <w:noWrap/>
            <w:vAlign w:val="bottom"/>
            <w:hideMark/>
          </w:tcPr>
          <w:p w14:paraId="431A05A1"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5856B812"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20_on</w:t>
            </w:r>
          </w:p>
        </w:tc>
        <w:tc>
          <w:tcPr>
            <w:tcW w:w="791" w:type="dxa"/>
            <w:tcBorders>
              <w:top w:val="nil"/>
              <w:left w:val="nil"/>
              <w:bottom w:val="nil"/>
              <w:right w:val="nil"/>
            </w:tcBorders>
            <w:shd w:val="clear" w:color="000000" w:fill="FFFFFF"/>
            <w:noWrap/>
            <w:vAlign w:val="bottom"/>
            <w:hideMark/>
          </w:tcPr>
          <w:p w14:paraId="11E0686D"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675</w:t>
            </w:r>
          </w:p>
        </w:tc>
        <w:tc>
          <w:tcPr>
            <w:tcW w:w="2009" w:type="dxa"/>
            <w:gridSpan w:val="2"/>
            <w:tcBorders>
              <w:top w:val="nil"/>
              <w:left w:val="nil"/>
              <w:bottom w:val="nil"/>
              <w:right w:val="nil"/>
            </w:tcBorders>
            <w:shd w:val="clear" w:color="000000" w:fill="FFFFFF"/>
            <w:noWrap/>
            <w:vAlign w:val="bottom"/>
            <w:hideMark/>
          </w:tcPr>
          <w:p w14:paraId="6912E7ED"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11.68</w:t>
            </w:r>
          </w:p>
        </w:tc>
        <w:tc>
          <w:tcPr>
            <w:tcW w:w="2664" w:type="dxa"/>
            <w:gridSpan w:val="2"/>
            <w:tcBorders>
              <w:top w:val="nil"/>
              <w:left w:val="nil"/>
              <w:bottom w:val="nil"/>
              <w:right w:val="nil"/>
            </w:tcBorders>
            <w:shd w:val="clear" w:color="000000" w:fill="FFFFFF"/>
            <w:noWrap/>
            <w:vAlign w:val="bottom"/>
            <w:hideMark/>
          </w:tcPr>
          <w:p w14:paraId="15585022"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0.05</w:t>
            </w:r>
          </w:p>
        </w:tc>
        <w:tc>
          <w:tcPr>
            <w:tcW w:w="222" w:type="dxa"/>
            <w:vAlign w:val="center"/>
            <w:hideMark/>
          </w:tcPr>
          <w:p w14:paraId="7806E471"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3959DFA8" w14:textId="77777777" w:rsidTr="004C6C21">
        <w:trPr>
          <w:trHeight w:val="360"/>
        </w:trPr>
        <w:tc>
          <w:tcPr>
            <w:tcW w:w="1618" w:type="dxa"/>
            <w:tcBorders>
              <w:top w:val="nil"/>
              <w:left w:val="nil"/>
              <w:bottom w:val="nil"/>
              <w:right w:val="nil"/>
            </w:tcBorders>
            <w:shd w:val="clear" w:color="000000" w:fill="FFFFFF"/>
            <w:noWrap/>
            <w:vAlign w:val="bottom"/>
            <w:hideMark/>
          </w:tcPr>
          <w:p w14:paraId="54503BD4"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25140DEE"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20_pk</w:t>
            </w:r>
          </w:p>
        </w:tc>
        <w:tc>
          <w:tcPr>
            <w:tcW w:w="791" w:type="dxa"/>
            <w:tcBorders>
              <w:top w:val="nil"/>
              <w:left w:val="nil"/>
              <w:bottom w:val="nil"/>
              <w:right w:val="nil"/>
            </w:tcBorders>
            <w:shd w:val="clear" w:color="000000" w:fill="FFFFFF"/>
            <w:noWrap/>
            <w:vAlign w:val="bottom"/>
            <w:hideMark/>
          </w:tcPr>
          <w:p w14:paraId="0D673C1B"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724</w:t>
            </w:r>
          </w:p>
        </w:tc>
        <w:tc>
          <w:tcPr>
            <w:tcW w:w="2009" w:type="dxa"/>
            <w:gridSpan w:val="2"/>
            <w:tcBorders>
              <w:top w:val="nil"/>
              <w:left w:val="nil"/>
              <w:bottom w:val="nil"/>
              <w:right w:val="nil"/>
            </w:tcBorders>
            <w:shd w:val="clear" w:color="000000" w:fill="FFFFFF"/>
            <w:noWrap/>
            <w:vAlign w:val="bottom"/>
            <w:hideMark/>
          </w:tcPr>
          <w:p w14:paraId="4C7986B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10.32</w:t>
            </w:r>
          </w:p>
        </w:tc>
        <w:tc>
          <w:tcPr>
            <w:tcW w:w="2664" w:type="dxa"/>
            <w:gridSpan w:val="2"/>
            <w:tcBorders>
              <w:top w:val="nil"/>
              <w:left w:val="nil"/>
              <w:bottom w:val="nil"/>
              <w:right w:val="nil"/>
            </w:tcBorders>
            <w:shd w:val="clear" w:color="000000" w:fill="FFFFFF"/>
            <w:noWrap/>
            <w:vAlign w:val="bottom"/>
            <w:hideMark/>
          </w:tcPr>
          <w:p w14:paraId="6D31E914"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0.05</w:t>
            </w:r>
          </w:p>
        </w:tc>
        <w:tc>
          <w:tcPr>
            <w:tcW w:w="222" w:type="dxa"/>
            <w:vAlign w:val="center"/>
            <w:hideMark/>
          </w:tcPr>
          <w:p w14:paraId="2EC792DC"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24CF8168" w14:textId="77777777" w:rsidTr="004C6C21">
        <w:trPr>
          <w:trHeight w:val="360"/>
        </w:trPr>
        <w:tc>
          <w:tcPr>
            <w:tcW w:w="1618" w:type="dxa"/>
            <w:tcBorders>
              <w:top w:val="nil"/>
              <w:left w:val="nil"/>
              <w:bottom w:val="nil"/>
              <w:right w:val="nil"/>
            </w:tcBorders>
            <w:shd w:val="clear" w:color="000000" w:fill="FFFFFF"/>
            <w:noWrap/>
            <w:vAlign w:val="bottom"/>
            <w:hideMark/>
          </w:tcPr>
          <w:p w14:paraId="47E612C9"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606B924B"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F-DSC</w:t>
            </w:r>
            <w:r w:rsidRPr="004C6C21">
              <w:rPr>
                <w:rFonts w:eastAsia="Times New Roman" w:cs="Times New Roman"/>
                <w:szCs w:val="24"/>
                <w:vertAlign w:val="subscript"/>
              </w:rPr>
              <w:t>1000_on</w:t>
            </w:r>
          </w:p>
        </w:tc>
        <w:tc>
          <w:tcPr>
            <w:tcW w:w="791" w:type="dxa"/>
            <w:tcBorders>
              <w:top w:val="nil"/>
              <w:left w:val="nil"/>
              <w:bottom w:val="nil"/>
              <w:right w:val="nil"/>
            </w:tcBorders>
            <w:shd w:val="clear" w:color="000000" w:fill="FFFFFF"/>
            <w:noWrap/>
            <w:vAlign w:val="bottom"/>
            <w:hideMark/>
          </w:tcPr>
          <w:p w14:paraId="19D828F5"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796</w:t>
            </w:r>
          </w:p>
        </w:tc>
        <w:tc>
          <w:tcPr>
            <w:tcW w:w="2009" w:type="dxa"/>
            <w:gridSpan w:val="2"/>
            <w:tcBorders>
              <w:top w:val="nil"/>
              <w:left w:val="nil"/>
              <w:bottom w:val="nil"/>
              <w:right w:val="nil"/>
            </w:tcBorders>
            <w:shd w:val="clear" w:color="000000" w:fill="FFFFFF"/>
            <w:noWrap/>
            <w:vAlign w:val="bottom"/>
            <w:hideMark/>
          </w:tcPr>
          <w:p w14:paraId="14A7ED16"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8.40</w:t>
            </w:r>
          </w:p>
        </w:tc>
        <w:tc>
          <w:tcPr>
            <w:tcW w:w="2664" w:type="dxa"/>
            <w:gridSpan w:val="2"/>
            <w:tcBorders>
              <w:top w:val="nil"/>
              <w:left w:val="nil"/>
              <w:bottom w:val="nil"/>
              <w:right w:val="nil"/>
            </w:tcBorders>
            <w:shd w:val="clear" w:color="000000" w:fill="FFFFFF"/>
            <w:noWrap/>
            <w:vAlign w:val="bottom"/>
            <w:hideMark/>
          </w:tcPr>
          <w:p w14:paraId="093F33AC"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w:t>
            </w:r>
          </w:p>
        </w:tc>
        <w:tc>
          <w:tcPr>
            <w:tcW w:w="222" w:type="dxa"/>
            <w:vAlign w:val="center"/>
            <w:hideMark/>
          </w:tcPr>
          <w:p w14:paraId="58ADF652"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389B0581" w14:textId="77777777" w:rsidTr="004C6C21">
        <w:trPr>
          <w:trHeight w:val="360"/>
        </w:trPr>
        <w:tc>
          <w:tcPr>
            <w:tcW w:w="1618" w:type="dxa"/>
            <w:tcBorders>
              <w:top w:val="nil"/>
              <w:left w:val="nil"/>
              <w:bottom w:val="nil"/>
              <w:right w:val="nil"/>
            </w:tcBorders>
            <w:shd w:val="clear" w:color="000000" w:fill="FFFFFF"/>
            <w:noWrap/>
            <w:vAlign w:val="bottom"/>
            <w:hideMark/>
          </w:tcPr>
          <w:p w14:paraId="47A42F8C"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00C0F39E"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F-DSC</w:t>
            </w:r>
            <w:r w:rsidRPr="004C6C21">
              <w:rPr>
                <w:rFonts w:eastAsia="Times New Roman" w:cs="Times New Roman"/>
                <w:szCs w:val="24"/>
                <w:vertAlign w:val="subscript"/>
              </w:rPr>
              <w:t>1000_pk</w:t>
            </w:r>
          </w:p>
        </w:tc>
        <w:tc>
          <w:tcPr>
            <w:tcW w:w="791" w:type="dxa"/>
            <w:tcBorders>
              <w:top w:val="nil"/>
              <w:left w:val="nil"/>
              <w:bottom w:val="nil"/>
              <w:right w:val="nil"/>
            </w:tcBorders>
            <w:shd w:val="clear" w:color="000000" w:fill="FFFFFF"/>
            <w:noWrap/>
            <w:vAlign w:val="bottom"/>
            <w:hideMark/>
          </w:tcPr>
          <w:p w14:paraId="054E9B24"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867</w:t>
            </w:r>
          </w:p>
        </w:tc>
        <w:tc>
          <w:tcPr>
            <w:tcW w:w="2009" w:type="dxa"/>
            <w:gridSpan w:val="2"/>
            <w:tcBorders>
              <w:top w:val="nil"/>
              <w:left w:val="nil"/>
              <w:bottom w:val="nil"/>
              <w:right w:val="nil"/>
            </w:tcBorders>
            <w:shd w:val="clear" w:color="000000" w:fill="FFFFFF"/>
            <w:noWrap/>
            <w:vAlign w:val="bottom"/>
            <w:hideMark/>
          </w:tcPr>
          <w:p w14:paraId="33A26409"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6.85</w:t>
            </w:r>
          </w:p>
        </w:tc>
        <w:tc>
          <w:tcPr>
            <w:tcW w:w="2664" w:type="dxa"/>
            <w:gridSpan w:val="2"/>
            <w:tcBorders>
              <w:top w:val="nil"/>
              <w:left w:val="nil"/>
              <w:bottom w:val="nil"/>
              <w:right w:val="nil"/>
            </w:tcBorders>
            <w:shd w:val="clear" w:color="000000" w:fill="FFFFFF"/>
            <w:noWrap/>
            <w:vAlign w:val="bottom"/>
            <w:hideMark/>
          </w:tcPr>
          <w:p w14:paraId="77E475D4"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w:t>
            </w:r>
          </w:p>
        </w:tc>
        <w:tc>
          <w:tcPr>
            <w:tcW w:w="222" w:type="dxa"/>
            <w:vAlign w:val="center"/>
            <w:hideMark/>
          </w:tcPr>
          <w:p w14:paraId="12894EA7"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3572005C" w14:textId="77777777" w:rsidTr="004C6C21">
        <w:trPr>
          <w:trHeight w:val="360"/>
        </w:trPr>
        <w:tc>
          <w:tcPr>
            <w:tcW w:w="1618" w:type="dxa"/>
            <w:tcBorders>
              <w:top w:val="nil"/>
              <w:left w:val="nil"/>
              <w:bottom w:val="nil"/>
              <w:right w:val="nil"/>
            </w:tcBorders>
            <w:shd w:val="clear" w:color="000000" w:fill="FFFFFF"/>
            <w:noWrap/>
            <w:vAlign w:val="bottom"/>
            <w:hideMark/>
          </w:tcPr>
          <w:p w14:paraId="2E2EFF7B"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5C0BCE73"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F-DSC</w:t>
            </w:r>
            <w:r w:rsidRPr="004C6C21">
              <w:rPr>
                <w:rFonts w:eastAsia="Times New Roman" w:cs="Times New Roman"/>
                <w:szCs w:val="24"/>
                <w:vertAlign w:val="subscript"/>
              </w:rPr>
              <w:t>10000_on_#1</w:t>
            </w:r>
          </w:p>
        </w:tc>
        <w:tc>
          <w:tcPr>
            <w:tcW w:w="791" w:type="dxa"/>
            <w:tcBorders>
              <w:top w:val="nil"/>
              <w:left w:val="nil"/>
              <w:bottom w:val="nil"/>
              <w:right w:val="nil"/>
            </w:tcBorders>
            <w:shd w:val="clear" w:color="000000" w:fill="FFFFFF"/>
            <w:noWrap/>
            <w:vAlign w:val="bottom"/>
            <w:hideMark/>
          </w:tcPr>
          <w:p w14:paraId="4BFBF788"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851</w:t>
            </w:r>
          </w:p>
        </w:tc>
        <w:tc>
          <w:tcPr>
            <w:tcW w:w="2009" w:type="dxa"/>
            <w:gridSpan w:val="2"/>
            <w:tcBorders>
              <w:top w:val="nil"/>
              <w:left w:val="nil"/>
              <w:bottom w:val="nil"/>
              <w:right w:val="nil"/>
            </w:tcBorders>
            <w:shd w:val="clear" w:color="000000" w:fill="FFFFFF"/>
            <w:noWrap/>
            <w:vAlign w:val="bottom"/>
            <w:hideMark/>
          </w:tcPr>
          <w:p w14:paraId="1C53E983"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7.40</w:t>
            </w:r>
          </w:p>
        </w:tc>
        <w:tc>
          <w:tcPr>
            <w:tcW w:w="2664" w:type="dxa"/>
            <w:gridSpan w:val="2"/>
            <w:tcBorders>
              <w:top w:val="nil"/>
              <w:left w:val="nil"/>
              <w:bottom w:val="nil"/>
              <w:right w:val="nil"/>
            </w:tcBorders>
            <w:shd w:val="clear" w:color="000000" w:fill="FFFFFF"/>
            <w:noWrap/>
            <w:vAlign w:val="bottom"/>
            <w:hideMark/>
          </w:tcPr>
          <w:p w14:paraId="5A31F68B"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w:t>
            </w:r>
          </w:p>
        </w:tc>
        <w:tc>
          <w:tcPr>
            <w:tcW w:w="222" w:type="dxa"/>
            <w:vAlign w:val="center"/>
            <w:hideMark/>
          </w:tcPr>
          <w:p w14:paraId="49CC15ED"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6422DC80" w14:textId="77777777" w:rsidTr="004C6C21">
        <w:trPr>
          <w:trHeight w:val="360"/>
        </w:trPr>
        <w:tc>
          <w:tcPr>
            <w:tcW w:w="1618" w:type="dxa"/>
            <w:tcBorders>
              <w:top w:val="nil"/>
              <w:left w:val="nil"/>
              <w:bottom w:val="nil"/>
              <w:right w:val="nil"/>
            </w:tcBorders>
            <w:shd w:val="clear" w:color="000000" w:fill="FFFFFF"/>
            <w:noWrap/>
            <w:vAlign w:val="bottom"/>
            <w:hideMark/>
          </w:tcPr>
          <w:p w14:paraId="7184AC66"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lastRenderedPageBreak/>
              <w:t> </w:t>
            </w:r>
          </w:p>
        </w:tc>
        <w:tc>
          <w:tcPr>
            <w:tcW w:w="2056" w:type="dxa"/>
            <w:tcBorders>
              <w:top w:val="nil"/>
              <w:left w:val="nil"/>
              <w:bottom w:val="nil"/>
              <w:right w:val="nil"/>
            </w:tcBorders>
            <w:shd w:val="clear" w:color="000000" w:fill="FFFFFF"/>
            <w:noWrap/>
            <w:vAlign w:val="bottom"/>
            <w:hideMark/>
          </w:tcPr>
          <w:p w14:paraId="09D6C33D"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F-DSC</w:t>
            </w:r>
            <w:r w:rsidRPr="004C6C21">
              <w:rPr>
                <w:rFonts w:eastAsia="Times New Roman" w:cs="Times New Roman"/>
                <w:szCs w:val="24"/>
                <w:vertAlign w:val="subscript"/>
              </w:rPr>
              <w:t>10000_on_#2</w:t>
            </w:r>
          </w:p>
        </w:tc>
        <w:tc>
          <w:tcPr>
            <w:tcW w:w="791" w:type="dxa"/>
            <w:tcBorders>
              <w:top w:val="nil"/>
              <w:left w:val="nil"/>
              <w:bottom w:val="nil"/>
              <w:right w:val="nil"/>
            </w:tcBorders>
            <w:shd w:val="clear" w:color="000000" w:fill="FFFFFF"/>
            <w:noWrap/>
            <w:vAlign w:val="bottom"/>
            <w:hideMark/>
          </w:tcPr>
          <w:p w14:paraId="0F0CAA25"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858</w:t>
            </w:r>
          </w:p>
        </w:tc>
        <w:tc>
          <w:tcPr>
            <w:tcW w:w="2009" w:type="dxa"/>
            <w:gridSpan w:val="2"/>
            <w:tcBorders>
              <w:top w:val="nil"/>
              <w:left w:val="nil"/>
              <w:bottom w:val="nil"/>
              <w:right w:val="nil"/>
            </w:tcBorders>
            <w:shd w:val="clear" w:color="000000" w:fill="FFFFFF"/>
            <w:noWrap/>
            <w:vAlign w:val="bottom"/>
            <w:hideMark/>
          </w:tcPr>
          <w:p w14:paraId="73E7FCA5"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7.40</w:t>
            </w:r>
          </w:p>
        </w:tc>
        <w:tc>
          <w:tcPr>
            <w:tcW w:w="2664" w:type="dxa"/>
            <w:gridSpan w:val="2"/>
            <w:tcBorders>
              <w:top w:val="nil"/>
              <w:left w:val="nil"/>
              <w:bottom w:val="nil"/>
              <w:right w:val="nil"/>
            </w:tcBorders>
            <w:shd w:val="clear" w:color="000000" w:fill="FFFFFF"/>
            <w:noWrap/>
            <w:vAlign w:val="bottom"/>
            <w:hideMark/>
          </w:tcPr>
          <w:p w14:paraId="25D4306B"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w:t>
            </w:r>
          </w:p>
        </w:tc>
        <w:tc>
          <w:tcPr>
            <w:tcW w:w="222" w:type="dxa"/>
            <w:vAlign w:val="center"/>
            <w:hideMark/>
          </w:tcPr>
          <w:p w14:paraId="585230B1"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0620D0AD" w14:textId="77777777" w:rsidTr="004C6C21">
        <w:trPr>
          <w:trHeight w:val="360"/>
        </w:trPr>
        <w:tc>
          <w:tcPr>
            <w:tcW w:w="1618" w:type="dxa"/>
            <w:tcBorders>
              <w:top w:val="nil"/>
              <w:left w:val="nil"/>
              <w:bottom w:val="nil"/>
              <w:right w:val="nil"/>
            </w:tcBorders>
            <w:shd w:val="clear" w:color="000000" w:fill="FFFFFF"/>
            <w:noWrap/>
            <w:vAlign w:val="bottom"/>
            <w:hideMark/>
          </w:tcPr>
          <w:p w14:paraId="2872116A"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3B12CD19"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F-DSC</w:t>
            </w:r>
            <w:r w:rsidRPr="004C6C21">
              <w:rPr>
                <w:rFonts w:eastAsia="Times New Roman" w:cs="Times New Roman"/>
                <w:szCs w:val="24"/>
                <w:vertAlign w:val="subscript"/>
              </w:rPr>
              <w:t>10000_on_#3</w:t>
            </w:r>
          </w:p>
        </w:tc>
        <w:tc>
          <w:tcPr>
            <w:tcW w:w="791" w:type="dxa"/>
            <w:tcBorders>
              <w:top w:val="nil"/>
              <w:left w:val="nil"/>
              <w:bottom w:val="nil"/>
              <w:right w:val="nil"/>
            </w:tcBorders>
            <w:shd w:val="clear" w:color="000000" w:fill="FFFFFF"/>
            <w:noWrap/>
            <w:vAlign w:val="bottom"/>
            <w:hideMark/>
          </w:tcPr>
          <w:p w14:paraId="5B531DC2"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864</w:t>
            </w:r>
          </w:p>
        </w:tc>
        <w:tc>
          <w:tcPr>
            <w:tcW w:w="2009" w:type="dxa"/>
            <w:gridSpan w:val="2"/>
            <w:tcBorders>
              <w:top w:val="nil"/>
              <w:left w:val="nil"/>
              <w:bottom w:val="nil"/>
              <w:right w:val="nil"/>
            </w:tcBorders>
            <w:shd w:val="clear" w:color="000000" w:fill="FFFFFF"/>
            <w:noWrap/>
            <w:vAlign w:val="bottom"/>
            <w:hideMark/>
          </w:tcPr>
          <w:p w14:paraId="1EA987FA"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7.40</w:t>
            </w:r>
          </w:p>
        </w:tc>
        <w:tc>
          <w:tcPr>
            <w:tcW w:w="2664" w:type="dxa"/>
            <w:gridSpan w:val="2"/>
            <w:tcBorders>
              <w:top w:val="nil"/>
              <w:left w:val="nil"/>
              <w:bottom w:val="nil"/>
              <w:right w:val="nil"/>
            </w:tcBorders>
            <w:shd w:val="clear" w:color="000000" w:fill="FFFFFF"/>
            <w:noWrap/>
            <w:vAlign w:val="bottom"/>
            <w:hideMark/>
          </w:tcPr>
          <w:p w14:paraId="68D235E5"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w:t>
            </w:r>
          </w:p>
        </w:tc>
        <w:tc>
          <w:tcPr>
            <w:tcW w:w="222" w:type="dxa"/>
            <w:vAlign w:val="center"/>
            <w:hideMark/>
          </w:tcPr>
          <w:p w14:paraId="636A753F"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01227F13" w14:textId="77777777" w:rsidTr="004C6C21">
        <w:trPr>
          <w:trHeight w:val="360"/>
        </w:trPr>
        <w:tc>
          <w:tcPr>
            <w:tcW w:w="1618" w:type="dxa"/>
            <w:tcBorders>
              <w:top w:val="nil"/>
              <w:left w:val="nil"/>
              <w:bottom w:val="nil"/>
              <w:right w:val="nil"/>
            </w:tcBorders>
            <w:shd w:val="clear" w:color="000000" w:fill="FFFFFF"/>
            <w:noWrap/>
            <w:vAlign w:val="bottom"/>
            <w:hideMark/>
          </w:tcPr>
          <w:p w14:paraId="33F227B5"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6BEA20B2"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F-DSC</w:t>
            </w:r>
            <w:r w:rsidRPr="004C6C21">
              <w:rPr>
                <w:rFonts w:eastAsia="Times New Roman" w:cs="Times New Roman"/>
                <w:szCs w:val="24"/>
                <w:vertAlign w:val="subscript"/>
              </w:rPr>
              <w:t>10000_on_#4</w:t>
            </w:r>
          </w:p>
        </w:tc>
        <w:tc>
          <w:tcPr>
            <w:tcW w:w="791" w:type="dxa"/>
            <w:tcBorders>
              <w:top w:val="nil"/>
              <w:left w:val="nil"/>
              <w:bottom w:val="nil"/>
              <w:right w:val="nil"/>
            </w:tcBorders>
            <w:shd w:val="clear" w:color="000000" w:fill="FFFFFF"/>
            <w:noWrap/>
            <w:vAlign w:val="bottom"/>
            <w:hideMark/>
          </w:tcPr>
          <w:p w14:paraId="0FF5339E"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886</w:t>
            </w:r>
          </w:p>
        </w:tc>
        <w:tc>
          <w:tcPr>
            <w:tcW w:w="2009" w:type="dxa"/>
            <w:gridSpan w:val="2"/>
            <w:tcBorders>
              <w:top w:val="nil"/>
              <w:left w:val="nil"/>
              <w:bottom w:val="nil"/>
              <w:right w:val="nil"/>
            </w:tcBorders>
            <w:shd w:val="clear" w:color="000000" w:fill="FFFFFF"/>
            <w:noWrap/>
            <w:vAlign w:val="bottom"/>
            <w:hideMark/>
          </w:tcPr>
          <w:p w14:paraId="4CC9FE0D"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7.40</w:t>
            </w:r>
          </w:p>
        </w:tc>
        <w:tc>
          <w:tcPr>
            <w:tcW w:w="2664" w:type="dxa"/>
            <w:gridSpan w:val="2"/>
            <w:tcBorders>
              <w:top w:val="nil"/>
              <w:left w:val="nil"/>
              <w:bottom w:val="nil"/>
              <w:right w:val="nil"/>
            </w:tcBorders>
            <w:shd w:val="clear" w:color="000000" w:fill="FFFFFF"/>
            <w:noWrap/>
            <w:vAlign w:val="bottom"/>
            <w:hideMark/>
          </w:tcPr>
          <w:p w14:paraId="7C2427C3"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w:t>
            </w:r>
          </w:p>
        </w:tc>
        <w:tc>
          <w:tcPr>
            <w:tcW w:w="222" w:type="dxa"/>
            <w:vAlign w:val="center"/>
            <w:hideMark/>
          </w:tcPr>
          <w:p w14:paraId="12166B63"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29390FCA" w14:textId="77777777" w:rsidTr="004C6C21">
        <w:trPr>
          <w:trHeight w:val="360"/>
        </w:trPr>
        <w:tc>
          <w:tcPr>
            <w:tcW w:w="1618" w:type="dxa"/>
            <w:tcBorders>
              <w:top w:val="nil"/>
              <w:left w:val="nil"/>
              <w:bottom w:val="nil"/>
              <w:right w:val="nil"/>
            </w:tcBorders>
            <w:shd w:val="clear" w:color="000000" w:fill="FFFFFF"/>
            <w:noWrap/>
            <w:vAlign w:val="bottom"/>
            <w:hideMark/>
          </w:tcPr>
          <w:p w14:paraId="2371A1AB"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5953E594"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F-DSC</w:t>
            </w:r>
            <w:r w:rsidRPr="004C6C21">
              <w:rPr>
                <w:rFonts w:eastAsia="Times New Roman" w:cs="Times New Roman"/>
                <w:szCs w:val="24"/>
                <w:vertAlign w:val="subscript"/>
              </w:rPr>
              <w:t>10000_on_#5</w:t>
            </w:r>
          </w:p>
        </w:tc>
        <w:tc>
          <w:tcPr>
            <w:tcW w:w="791" w:type="dxa"/>
            <w:tcBorders>
              <w:top w:val="nil"/>
              <w:left w:val="nil"/>
              <w:bottom w:val="nil"/>
              <w:right w:val="nil"/>
            </w:tcBorders>
            <w:shd w:val="clear" w:color="000000" w:fill="FFFFFF"/>
            <w:noWrap/>
            <w:vAlign w:val="bottom"/>
            <w:hideMark/>
          </w:tcPr>
          <w:p w14:paraId="029B368C"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890</w:t>
            </w:r>
          </w:p>
        </w:tc>
        <w:tc>
          <w:tcPr>
            <w:tcW w:w="2009" w:type="dxa"/>
            <w:gridSpan w:val="2"/>
            <w:tcBorders>
              <w:top w:val="nil"/>
              <w:left w:val="nil"/>
              <w:bottom w:val="nil"/>
              <w:right w:val="nil"/>
            </w:tcBorders>
            <w:shd w:val="clear" w:color="000000" w:fill="FFFFFF"/>
            <w:noWrap/>
            <w:vAlign w:val="bottom"/>
            <w:hideMark/>
          </w:tcPr>
          <w:p w14:paraId="17885781"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7.40</w:t>
            </w:r>
          </w:p>
        </w:tc>
        <w:tc>
          <w:tcPr>
            <w:tcW w:w="2664" w:type="dxa"/>
            <w:gridSpan w:val="2"/>
            <w:tcBorders>
              <w:top w:val="nil"/>
              <w:left w:val="nil"/>
              <w:bottom w:val="nil"/>
              <w:right w:val="nil"/>
            </w:tcBorders>
            <w:shd w:val="clear" w:color="000000" w:fill="FFFFFF"/>
            <w:noWrap/>
            <w:vAlign w:val="bottom"/>
            <w:hideMark/>
          </w:tcPr>
          <w:p w14:paraId="64919DA5" w14:textId="77777777" w:rsidR="004C6C21" w:rsidRPr="004C6C21" w:rsidRDefault="004C6C21" w:rsidP="004C6C21">
            <w:pPr>
              <w:spacing w:line="240" w:lineRule="auto"/>
              <w:jc w:val="center"/>
              <w:rPr>
                <w:rFonts w:eastAsia="Times New Roman" w:cs="Times New Roman"/>
                <w:szCs w:val="24"/>
              </w:rPr>
            </w:pPr>
            <w:r w:rsidRPr="004C6C21">
              <w:rPr>
                <w:rFonts w:eastAsia="Times New Roman" w:cs="Times New Roman"/>
                <w:szCs w:val="24"/>
              </w:rPr>
              <w:t>-</w:t>
            </w:r>
          </w:p>
        </w:tc>
        <w:tc>
          <w:tcPr>
            <w:tcW w:w="222" w:type="dxa"/>
            <w:vAlign w:val="center"/>
            <w:hideMark/>
          </w:tcPr>
          <w:p w14:paraId="4159B31C"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395A9E1C" w14:textId="77777777" w:rsidTr="004C6C21">
        <w:trPr>
          <w:trHeight w:val="360"/>
        </w:trPr>
        <w:tc>
          <w:tcPr>
            <w:tcW w:w="1618" w:type="dxa"/>
            <w:tcBorders>
              <w:top w:val="nil"/>
              <w:left w:val="nil"/>
              <w:bottom w:val="nil"/>
              <w:right w:val="nil"/>
            </w:tcBorders>
            <w:shd w:val="clear" w:color="000000" w:fill="FFFFFF"/>
            <w:noWrap/>
            <w:vAlign w:val="bottom"/>
            <w:hideMark/>
          </w:tcPr>
          <w:p w14:paraId="0D1F9153"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0F16E7EF"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MP</w:t>
            </w:r>
            <w:r w:rsidRPr="004C6C21">
              <w:rPr>
                <w:rFonts w:eastAsia="Times New Roman" w:cs="Times New Roman"/>
                <w:szCs w:val="24"/>
                <w:vertAlign w:val="subscript"/>
              </w:rPr>
              <w:t>660_0</w:t>
            </w:r>
          </w:p>
        </w:tc>
        <w:tc>
          <w:tcPr>
            <w:tcW w:w="791" w:type="dxa"/>
            <w:tcBorders>
              <w:top w:val="nil"/>
              <w:left w:val="nil"/>
              <w:bottom w:val="nil"/>
              <w:right w:val="nil"/>
            </w:tcBorders>
            <w:shd w:val="clear" w:color="000000" w:fill="FFFFFF"/>
            <w:noWrap/>
            <w:vAlign w:val="bottom"/>
            <w:hideMark/>
          </w:tcPr>
          <w:p w14:paraId="7CCC79F0"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657</w:t>
            </w:r>
          </w:p>
        </w:tc>
        <w:tc>
          <w:tcPr>
            <w:tcW w:w="2009" w:type="dxa"/>
            <w:gridSpan w:val="2"/>
            <w:tcBorders>
              <w:top w:val="nil"/>
              <w:left w:val="nil"/>
              <w:bottom w:val="nil"/>
              <w:right w:val="nil"/>
            </w:tcBorders>
            <w:shd w:val="clear" w:color="000000" w:fill="FFFFFF"/>
            <w:noWrap/>
            <w:vAlign w:val="bottom"/>
            <w:hideMark/>
          </w:tcPr>
          <w:p w14:paraId="4B6EDC48"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12.00</w:t>
            </w:r>
          </w:p>
        </w:tc>
        <w:tc>
          <w:tcPr>
            <w:tcW w:w="2664" w:type="dxa"/>
            <w:gridSpan w:val="2"/>
            <w:tcBorders>
              <w:top w:val="nil"/>
              <w:left w:val="nil"/>
              <w:bottom w:val="nil"/>
              <w:right w:val="nil"/>
            </w:tcBorders>
            <w:shd w:val="clear" w:color="000000" w:fill="FFFFFF"/>
            <w:noWrap/>
            <w:vAlign w:val="bottom"/>
            <w:hideMark/>
          </w:tcPr>
          <w:p w14:paraId="770585CD"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29EB0CE6"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18EA851F" w14:textId="77777777" w:rsidTr="004C6C21">
        <w:trPr>
          <w:trHeight w:val="360"/>
        </w:trPr>
        <w:tc>
          <w:tcPr>
            <w:tcW w:w="1618" w:type="dxa"/>
            <w:tcBorders>
              <w:top w:val="nil"/>
              <w:left w:val="nil"/>
              <w:bottom w:val="nil"/>
              <w:right w:val="nil"/>
            </w:tcBorders>
            <w:shd w:val="clear" w:color="000000" w:fill="FFFFFF"/>
            <w:noWrap/>
            <w:vAlign w:val="bottom"/>
            <w:hideMark/>
          </w:tcPr>
          <w:p w14:paraId="647067BE"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4748E07B"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MP</w:t>
            </w:r>
            <w:r w:rsidRPr="004C6C21">
              <w:rPr>
                <w:rFonts w:eastAsia="Times New Roman" w:cs="Times New Roman"/>
                <w:szCs w:val="24"/>
                <w:vertAlign w:val="subscript"/>
              </w:rPr>
              <w:t>660_90</w:t>
            </w:r>
          </w:p>
        </w:tc>
        <w:tc>
          <w:tcPr>
            <w:tcW w:w="791" w:type="dxa"/>
            <w:tcBorders>
              <w:top w:val="nil"/>
              <w:left w:val="nil"/>
              <w:bottom w:val="nil"/>
              <w:right w:val="nil"/>
            </w:tcBorders>
            <w:shd w:val="clear" w:color="000000" w:fill="FFFFFF"/>
            <w:noWrap/>
            <w:vAlign w:val="bottom"/>
            <w:hideMark/>
          </w:tcPr>
          <w:p w14:paraId="51D89D35"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660</w:t>
            </w:r>
          </w:p>
        </w:tc>
        <w:tc>
          <w:tcPr>
            <w:tcW w:w="2009" w:type="dxa"/>
            <w:gridSpan w:val="2"/>
            <w:tcBorders>
              <w:top w:val="nil"/>
              <w:left w:val="nil"/>
              <w:bottom w:val="nil"/>
              <w:right w:val="nil"/>
            </w:tcBorders>
            <w:shd w:val="clear" w:color="000000" w:fill="FFFFFF"/>
            <w:noWrap/>
            <w:vAlign w:val="bottom"/>
            <w:hideMark/>
          </w:tcPr>
          <w:p w14:paraId="7E13E1E0"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12.70</w:t>
            </w:r>
          </w:p>
        </w:tc>
        <w:tc>
          <w:tcPr>
            <w:tcW w:w="2664" w:type="dxa"/>
            <w:gridSpan w:val="2"/>
            <w:tcBorders>
              <w:top w:val="nil"/>
              <w:left w:val="nil"/>
              <w:bottom w:val="nil"/>
              <w:right w:val="nil"/>
            </w:tcBorders>
            <w:shd w:val="clear" w:color="auto" w:fill="auto"/>
            <w:noWrap/>
            <w:vAlign w:val="center"/>
            <w:hideMark/>
          </w:tcPr>
          <w:p w14:paraId="5BCD5698"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0.06</w:t>
            </w:r>
          </w:p>
        </w:tc>
        <w:tc>
          <w:tcPr>
            <w:tcW w:w="222" w:type="dxa"/>
            <w:vAlign w:val="center"/>
            <w:hideMark/>
          </w:tcPr>
          <w:p w14:paraId="6F7FE7BF"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5FB154BB" w14:textId="77777777" w:rsidTr="004C6C21">
        <w:trPr>
          <w:trHeight w:val="360"/>
        </w:trPr>
        <w:tc>
          <w:tcPr>
            <w:tcW w:w="1618" w:type="dxa"/>
            <w:tcBorders>
              <w:top w:val="nil"/>
              <w:left w:val="nil"/>
              <w:bottom w:val="nil"/>
              <w:right w:val="nil"/>
            </w:tcBorders>
            <w:shd w:val="clear" w:color="000000" w:fill="FFFFFF"/>
            <w:noWrap/>
            <w:vAlign w:val="bottom"/>
            <w:hideMark/>
          </w:tcPr>
          <w:p w14:paraId="7801BE1D"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75E76627"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MP</w:t>
            </w:r>
            <w:r w:rsidRPr="004C6C21">
              <w:rPr>
                <w:rFonts w:eastAsia="Times New Roman" w:cs="Times New Roman"/>
                <w:szCs w:val="24"/>
                <w:vertAlign w:val="subscript"/>
              </w:rPr>
              <w:t>723_0</w:t>
            </w:r>
          </w:p>
        </w:tc>
        <w:tc>
          <w:tcPr>
            <w:tcW w:w="791" w:type="dxa"/>
            <w:tcBorders>
              <w:top w:val="nil"/>
              <w:left w:val="nil"/>
              <w:bottom w:val="nil"/>
              <w:right w:val="nil"/>
            </w:tcBorders>
            <w:shd w:val="clear" w:color="000000" w:fill="FFFFFF"/>
            <w:noWrap/>
            <w:vAlign w:val="bottom"/>
            <w:hideMark/>
          </w:tcPr>
          <w:p w14:paraId="4946DDAE"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720</w:t>
            </w:r>
          </w:p>
        </w:tc>
        <w:tc>
          <w:tcPr>
            <w:tcW w:w="2009" w:type="dxa"/>
            <w:gridSpan w:val="2"/>
            <w:tcBorders>
              <w:top w:val="nil"/>
              <w:left w:val="nil"/>
              <w:bottom w:val="nil"/>
              <w:right w:val="nil"/>
            </w:tcBorders>
            <w:shd w:val="clear" w:color="000000" w:fill="FFFFFF"/>
            <w:noWrap/>
            <w:vAlign w:val="bottom"/>
            <w:hideMark/>
          </w:tcPr>
          <w:p w14:paraId="3EB32B43"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11.04</w:t>
            </w:r>
          </w:p>
        </w:tc>
        <w:tc>
          <w:tcPr>
            <w:tcW w:w="2664" w:type="dxa"/>
            <w:gridSpan w:val="2"/>
            <w:tcBorders>
              <w:top w:val="nil"/>
              <w:left w:val="nil"/>
              <w:bottom w:val="nil"/>
              <w:right w:val="nil"/>
            </w:tcBorders>
            <w:shd w:val="clear" w:color="000000" w:fill="FFFFFF"/>
            <w:noWrap/>
            <w:vAlign w:val="bottom"/>
            <w:hideMark/>
          </w:tcPr>
          <w:p w14:paraId="7A8F7504"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6C8905D3"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4C6D295C" w14:textId="77777777" w:rsidTr="004C6C21">
        <w:trPr>
          <w:trHeight w:val="360"/>
        </w:trPr>
        <w:tc>
          <w:tcPr>
            <w:tcW w:w="1618" w:type="dxa"/>
            <w:tcBorders>
              <w:top w:val="nil"/>
              <w:left w:val="nil"/>
              <w:bottom w:val="nil"/>
              <w:right w:val="nil"/>
            </w:tcBorders>
            <w:shd w:val="clear" w:color="000000" w:fill="FFFFFF"/>
            <w:noWrap/>
            <w:vAlign w:val="bottom"/>
            <w:hideMark/>
          </w:tcPr>
          <w:p w14:paraId="310C651F"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43903246"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MP</w:t>
            </w:r>
            <w:r w:rsidRPr="004C6C21">
              <w:rPr>
                <w:rFonts w:eastAsia="Times New Roman" w:cs="Times New Roman"/>
                <w:szCs w:val="24"/>
                <w:vertAlign w:val="subscript"/>
              </w:rPr>
              <w:t>723_60</w:t>
            </w:r>
          </w:p>
        </w:tc>
        <w:tc>
          <w:tcPr>
            <w:tcW w:w="791" w:type="dxa"/>
            <w:tcBorders>
              <w:top w:val="nil"/>
              <w:left w:val="nil"/>
              <w:bottom w:val="nil"/>
              <w:right w:val="nil"/>
            </w:tcBorders>
            <w:shd w:val="clear" w:color="000000" w:fill="FFFFFF"/>
            <w:noWrap/>
            <w:vAlign w:val="bottom"/>
            <w:hideMark/>
          </w:tcPr>
          <w:p w14:paraId="0DE5835F"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723</w:t>
            </w:r>
          </w:p>
        </w:tc>
        <w:tc>
          <w:tcPr>
            <w:tcW w:w="2009" w:type="dxa"/>
            <w:gridSpan w:val="2"/>
            <w:tcBorders>
              <w:top w:val="nil"/>
              <w:left w:val="nil"/>
              <w:bottom w:val="nil"/>
              <w:right w:val="nil"/>
            </w:tcBorders>
            <w:shd w:val="clear" w:color="000000" w:fill="FFFFFF"/>
            <w:noWrap/>
            <w:vAlign w:val="bottom"/>
            <w:hideMark/>
          </w:tcPr>
          <w:p w14:paraId="38ED821E"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11.90</w:t>
            </w:r>
          </w:p>
        </w:tc>
        <w:tc>
          <w:tcPr>
            <w:tcW w:w="2664" w:type="dxa"/>
            <w:gridSpan w:val="2"/>
            <w:tcBorders>
              <w:top w:val="nil"/>
              <w:left w:val="nil"/>
              <w:bottom w:val="nil"/>
              <w:right w:val="nil"/>
            </w:tcBorders>
            <w:shd w:val="clear" w:color="000000" w:fill="FFFFFF"/>
            <w:noWrap/>
            <w:vAlign w:val="bottom"/>
            <w:hideMark/>
          </w:tcPr>
          <w:p w14:paraId="0AA591FE"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0.15</w:t>
            </w:r>
          </w:p>
        </w:tc>
        <w:tc>
          <w:tcPr>
            <w:tcW w:w="222" w:type="dxa"/>
            <w:vAlign w:val="center"/>
            <w:hideMark/>
          </w:tcPr>
          <w:p w14:paraId="0CDE6FA1"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3A603635" w14:textId="77777777" w:rsidTr="004C6C21">
        <w:trPr>
          <w:trHeight w:val="360"/>
        </w:trPr>
        <w:tc>
          <w:tcPr>
            <w:tcW w:w="1618" w:type="dxa"/>
            <w:tcBorders>
              <w:top w:val="nil"/>
              <w:left w:val="nil"/>
              <w:bottom w:val="nil"/>
              <w:right w:val="nil"/>
            </w:tcBorders>
            <w:shd w:val="clear" w:color="000000" w:fill="FFFFFF"/>
            <w:noWrap/>
            <w:vAlign w:val="bottom"/>
            <w:hideMark/>
          </w:tcPr>
          <w:p w14:paraId="12D89F44"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1B62BC50"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MP</w:t>
            </w:r>
            <w:r w:rsidRPr="004C6C21">
              <w:rPr>
                <w:rFonts w:eastAsia="Times New Roman" w:cs="Times New Roman"/>
                <w:szCs w:val="24"/>
                <w:vertAlign w:val="subscript"/>
              </w:rPr>
              <w:t>808_0</w:t>
            </w:r>
          </w:p>
        </w:tc>
        <w:tc>
          <w:tcPr>
            <w:tcW w:w="791" w:type="dxa"/>
            <w:tcBorders>
              <w:top w:val="nil"/>
              <w:left w:val="nil"/>
              <w:bottom w:val="nil"/>
              <w:right w:val="nil"/>
            </w:tcBorders>
            <w:shd w:val="clear" w:color="000000" w:fill="FFFFFF"/>
            <w:noWrap/>
            <w:vAlign w:val="bottom"/>
            <w:hideMark/>
          </w:tcPr>
          <w:p w14:paraId="35DEFCEA"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807</w:t>
            </w:r>
          </w:p>
        </w:tc>
        <w:tc>
          <w:tcPr>
            <w:tcW w:w="2009" w:type="dxa"/>
            <w:gridSpan w:val="2"/>
            <w:tcBorders>
              <w:top w:val="nil"/>
              <w:left w:val="nil"/>
              <w:bottom w:val="nil"/>
              <w:right w:val="nil"/>
            </w:tcBorders>
            <w:shd w:val="clear" w:color="000000" w:fill="FFFFFF"/>
            <w:noWrap/>
            <w:vAlign w:val="bottom"/>
            <w:hideMark/>
          </w:tcPr>
          <w:p w14:paraId="46996B28"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9.74</w:t>
            </w:r>
          </w:p>
        </w:tc>
        <w:tc>
          <w:tcPr>
            <w:tcW w:w="2664" w:type="dxa"/>
            <w:gridSpan w:val="2"/>
            <w:tcBorders>
              <w:top w:val="nil"/>
              <w:left w:val="nil"/>
              <w:bottom w:val="nil"/>
              <w:right w:val="nil"/>
            </w:tcBorders>
            <w:shd w:val="clear" w:color="000000" w:fill="FFFFFF"/>
            <w:noWrap/>
            <w:vAlign w:val="bottom"/>
            <w:hideMark/>
          </w:tcPr>
          <w:p w14:paraId="06B0C8AF"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470F8B4F"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49F5A7C1" w14:textId="77777777" w:rsidTr="004C6C21">
        <w:trPr>
          <w:trHeight w:val="360"/>
        </w:trPr>
        <w:tc>
          <w:tcPr>
            <w:tcW w:w="1618" w:type="dxa"/>
            <w:tcBorders>
              <w:top w:val="nil"/>
              <w:left w:val="nil"/>
              <w:bottom w:val="nil"/>
              <w:right w:val="nil"/>
            </w:tcBorders>
            <w:shd w:val="clear" w:color="000000" w:fill="FFFFFF"/>
            <w:noWrap/>
            <w:vAlign w:val="bottom"/>
            <w:hideMark/>
          </w:tcPr>
          <w:p w14:paraId="180C674C"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2EE3927F"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MP</w:t>
            </w:r>
            <w:r w:rsidRPr="004C6C21">
              <w:rPr>
                <w:rFonts w:eastAsia="Times New Roman" w:cs="Times New Roman"/>
                <w:szCs w:val="24"/>
                <w:vertAlign w:val="subscript"/>
              </w:rPr>
              <w:t>808_60</w:t>
            </w:r>
          </w:p>
        </w:tc>
        <w:tc>
          <w:tcPr>
            <w:tcW w:w="791" w:type="dxa"/>
            <w:tcBorders>
              <w:top w:val="nil"/>
              <w:left w:val="nil"/>
              <w:bottom w:val="nil"/>
              <w:right w:val="nil"/>
            </w:tcBorders>
            <w:shd w:val="clear" w:color="000000" w:fill="FFFFFF"/>
            <w:noWrap/>
            <w:vAlign w:val="bottom"/>
            <w:hideMark/>
          </w:tcPr>
          <w:p w14:paraId="6B77DB5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808</w:t>
            </w:r>
          </w:p>
        </w:tc>
        <w:tc>
          <w:tcPr>
            <w:tcW w:w="2009" w:type="dxa"/>
            <w:gridSpan w:val="2"/>
            <w:tcBorders>
              <w:top w:val="nil"/>
              <w:left w:val="nil"/>
              <w:bottom w:val="nil"/>
              <w:right w:val="nil"/>
            </w:tcBorders>
            <w:shd w:val="clear" w:color="000000" w:fill="FFFFFF"/>
            <w:noWrap/>
            <w:vAlign w:val="bottom"/>
            <w:hideMark/>
          </w:tcPr>
          <w:p w14:paraId="70268433"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10.17</w:t>
            </w:r>
          </w:p>
        </w:tc>
        <w:tc>
          <w:tcPr>
            <w:tcW w:w="2664" w:type="dxa"/>
            <w:gridSpan w:val="2"/>
            <w:tcBorders>
              <w:top w:val="nil"/>
              <w:left w:val="nil"/>
              <w:bottom w:val="nil"/>
              <w:right w:val="nil"/>
            </w:tcBorders>
            <w:shd w:val="clear" w:color="000000" w:fill="FFFFFF"/>
            <w:noWrap/>
            <w:vAlign w:val="bottom"/>
            <w:hideMark/>
          </w:tcPr>
          <w:p w14:paraId="10AA9270"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0.19</w:t>
            </w:r>
          </w:p>
        </w:tc>
        <w:tc>
          <w:tcPr>
            <w:tcW w:w="222" w:type="dxa"/>
            <w:vAlign w:val="center"/>
            <w:hideMark/>
          </w:tcPr>
          <w:p w14:paraId="7AC09A8A"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0F98C0D4" w14:textId="77777777" w:rsidTr="004C6C21">
        <w:trPr>
          <w:trHeight w:val="360"/>
        </w:trPr>
        <w:tc>
          <w:tcPr>
            <w:tcW w:w="1618" w:type="dxa"/>
            <w:tcBorders>
              <w:top w:val="nil"/>
              <w:left w:val="nil"/>
              <w:bottom w:val="nil"/>
              <w:right w:val="nil"/>
            </w:tcBorders>
            <w:shd w:val="clear" w:color="000000" w:fill="FFFFFF"/>
            <w:noWrap/>
            <w:vAlign w:val="bottom"/>
            <w:hideMark/>
          </w:tcPr>
          <w:p w14:paraId="70316842"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3279A151"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CC</w:t>
            </w:r>
          </w:p>
        </w:tc>
        <w:tc>
          <w:tcPr>
            <w:tcW w:w="791" w:type="dxa"/>
            <w:tcBorders>
              <w:top w:val="nil"/>
              <w:left w:val="nil"/>
              <w:bottom w:val="nil"/>
              <w:right w:val="nil"/>
            </w:tcBorders>
            <w:shd w:val="clear" w:color="000000" w:fill="FFFFFF"/>
            <w:noWrap/>
            <w:vAlign w:val="bottom"/>
            <w:hideMark/>
          </w:tcPr>
          <w:p w14:paraId="7F2E6548"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1435</w:t>
            </w:r>
          </w:p>
        </w:tc>
        <w:tc>
          <w:tcPr>
            <w:tcW w:w="2009" w:type="dxa"/>
            <w:gridSpan w:val="2"/>
            <w:tcBorders>
              <w:top w:val="nil"/>
              <w:left w:val="nil"/>
              <w:bottom w:val="nil"/>
              <w:right w:val="nil"/>
            </w:tcBorders>
            <w:shd w:val="clear" w:color="000000" w:fill="FFFFFF"/>
            <w:noWrap/>
            <w:vAlign w:val="bottom"/>
            <w:hideMark/>
          </w:tcPr>
          <w:p w14:paraId="31F07896"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2.03</w:t>
            </w:r>
          </w:p>
        </w:tc>
        <w:tc>
          <w:tcPr>
            <w:tcW w:w="2664" w:type="dxa"/>
            <w:gridSpan w:val="2"/>
            <w:tcBorders>
              <w:top w:val="nil"/>
              <w:left w:val="nil"/>
              <w:bottom w:val="nil"/>
              <w:right w:val="nil"/>
            </w:tcBorders>
            <w:shd w:val="clear" w:color="000000" w:fill="FFFFFF"/>
            <w:noWrap/>
            <w:vAlign w:val="bottom"/>
            <w:hideMark/>
          </w:tcPr>
          <w:p w14:paraId="714EEF0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 </w:t>
            </w:r>
          </w:p>
        </w:tc>
        <w:tc>
          <w:tcPr>
            <w:tcW w:w="222" w:type="dxa"/>
            <w:vAlign w:val="center"/>
            <w:hideMark/>
          </w:tcPr>
          <w:p w14:paraId="7C34C5E4"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5BBFBC08" w14:textId="77777777" w:rsidTr="004C6C21">
        <w:trPr>
          <w:trHeight w:val="360"/>
        </w:trPr>
        <w:tc>
          <w:tcPr>
            <w:tcW w:w="1618" w:type="dxa"/>
            <w:tcBorders>
              <w:top w:val="nil"/>
              <w:left w:val="nil"/>
              <w:bottom w:val="nil"/>
              <w:right w:val="nil"/>
            </w:tcBorders>
            <w:shd w:val="clear" w:color="000000" w:fill="FFFFFF"/>
            <w:noWrap/>
            <w:vAlign w:val="bottom"/>
            <w:hideMark/>
          </w:tcPr>
          <w:p w14:paraId="722A4860"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5B277007"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CC</w:t>
            </w:r>
          </w:p>
        </w:tc>
        <w:tc>
          <w:tcPr>
            <w:tcW w:w="791" w:type="dxa"/>
            <w:tcBorders>
              <w:top w:val="nil"/>
              <w:left w:val="nil"/>
              <w:bottom w:val="nil"/>
              <w:right w:val="nil"/>
            </w:tcBorders>
            <w:shd w:val="clear" w:color="000000" w:fill="FFFFFF"/>
            <w:noWrap/>
            <w:vAlign w:val="bottom"/>
            <w:hideMark/>
          </w:tcPr>
          <w:p w14:paraId="13019EC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1405</w:t>
            </w:r>
          </w:p>
        </w:tc>
        <w:tc>
          <w:tcPr>
            <w:tcW w:w="2009" w:type="dxa"/>
            <w:gridSpan w:val="2"/>
            <w:tcBorders>
              <w:top w:val="nil"/>
              <w:left w:val="nil"/>
              <w:bottom w:val="nil"/>
              <w:right w:val="nil"/>
            </w:tcBorders>
            <w:shd w:val="clear" w:color="000000" w:fill="FFFFFF"/>
            <w:noWrap/>
            <w:vAlign w:val="bottom"/>
            <w:hideMark/>
          </w:tcPr>
          <w:p w14:paraId="4034F0CA"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2.19</w:t>
            </w:r>
          </w:p>
        </w:tc>
        <w:tc>
          <w:tcPr>
            <w:tcW w:w="2664" w:type="dxa"/>
            <w:gridSpan w:val="2"/>
            <w:tcBorders>
              <w:top w:val="nil"/>
              <w:left w:val="nil"/>
              <w:bottom w:val="nil"/>
              <w:right w:val="nil"/>
            </w:tcBorders>
            <w:shd w:val="clear" w:color="000000" w:fill="FFFFFF"/>
            <w:noWrap/>
            <w:vAlign w:val="bottom"/>
            <w:hideMark/>
          </w:tcPr>
          <w:p w14:paraId="4A064D93"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 </w:t>
            </w:r>
          </w:p>
        </w:tc>
        <w:tc>
          <w:tcPr>
            <w:tcW w:w="222" w:type="dxa"/>
            <w:vAlign w:val="center"/>
            <w:hideMark/>
          </w:tcPr>
          <w:p w14:paraId="6EDAD239"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7BA10933" w14:textId="77777777" w:rsidTr="004C6C21">
        <w:trPr>
          <w:trHeight w:val="360"/>
        </w:trPr>
        <w:tc>
          <w:tcPr>
            <w:tcW w:w="1618" w:type="dxa"/>
            <w:tcBorders>
              <w:top w:val="nil"/>
              <w:left w:val="nil"/>
              <w:bottom w:val="nil"/>
              <w:right w:val="nil"/>
            </w:tcBorders>
            <w:shd w:val="clear" w:color="000000" w:fill="FFFFFF"/>
            <w:noWrap/>
            <w:vAlign w:val="bottom"/>
            <w:hideMark/>
          </w:tcPr>
          <w:p w14:paraId="659D6B53"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632B48FC"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CC</w:t>
            </w:r>
          </w:p>
        </w:tc>
        <w:tc>
          <w:tcPr>
            <w:tcW w:w="791" w:type="dxa"/>
            <w:tcBorders>
              <w:top w:val="nil"/>
              <w:left w:val="nil"/>
              <w:bottom w:val="nil"/>
              <w:right w:val="nil"/>
            </w:tcBorders>
            <w:shd w:val="clear" w:color="000000" w:fill="FFFFFF"/>
            <w:noWrap/>
            <w:vAlign w:val="bottom"/>
            <w:hideMark/>
          </w:tcPr>
          <w:p w14:paraId="0E9BD2BA"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1355</w:t>
            </w:r>
          </w:p>
        </w:tc>
        <w:tc>
          <w:tcPr>
            <w:tcW w:w="2009" w:type="dxa"/>
            <w:gridSpan w:val="2"/>
            <w:tcBorders>
              <w:top w:val="nil"/>
              <w:left w:val="nil"/>
              <w:bottom w:val="nil"/>
              <w:right w:val="nil"/>
            </w:tcBorders>
            <w:shd w:val="clear" w:color="000000" w:fill="FFFFFF"/>
            <w:noWrap/>
            <w:vAlign w:val="bottom"/>
            <w:hideMark/>
          </w:tcPr>
          <w:p w14:paraId="0AEFE19F"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2.45</w:t>
            </w:r>
          </w:p>
        </w:tc>
        <w:tc>
          <w:tcPr>
            <w:tcW w:w="2664" w:type="dxa"/>
            <w:gridSpan w:val="2"/>
            <w:tcBorders>
              <w:top w:val="nil"/>
              <w:left w:val="nil"/>
              <w:bottom w:val="nil"/>
              <w:right w:val="nil"/>
            </w:tcBorders>
            <w:shd w:val="clear" w:color="000000" w:fill="FFFFFF"/>
            <w:noWrap/>
            <w:vAlign w:val="bottom"/>
            <w:hideMark/>
          </w:tcPr>
          <w:p w14:paraId="2FAF3F25"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711632A0"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7C4F688F" w14:textId="77777777" w:rsidTr="004C6C21">
        <w:trPr>
          <w:trHeight w:val="360"/>
        </w:trPr>
        <w:tc>
          <w:tcPr>
            <w:tcW w:w="1618" w:type="dxa"/>
            <w:tcBorders>
              <w:top w:val="nil"/>
              <w:left w:val="nil"/>
              <w:bottom w:val="nil"/>
              <w:right w:val="nil"/>
            </w:tcBorders>
            <w:shd w:val="clear" w:color="000000" w:fill="FFFFFF"/>
            <w:noWrap/>
            <w:vAlign w:val="bottom"/>
            <w:hideMark/>
          </w:tcPr>
          <w:p w14:paraId="6BEAEB13"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2E493A5B"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CC</w:t>
            </w:r>
          </w:p>
        </w:tc>
        <w:tc>
          <w:tcPr>
            <w:tcW w:w="791" w:type="dxa"/>
            <w:tcBorders>
              <w:top w:val="nil"/>
              <w:left w:val="nil"/>
              <w:bottom w:val="nil"/>
              <w:right w:val="nil"/>
            </w:tcBorders>
            <w:shd w:val="clear" w:color="000000" w:fill="FFFFFF"/>
            <w:noWrap/>
            <w:vAlign w:val="bottom"/>
            <w:hideMark/>
          </w:tcPr>
          <w:p w14:paraId="4A5071AD"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1306</w:t>
            </w:r>
          </w:p>
        </w:tc>
        <w:tc>
          <w:tcPr>
            <w:tcW w:w="2009" w:type="dxa"/>
            <w:gridSpan w:val="2"/>
            <w:tcBorders>
              <w:top w:val="nil"/>
              <w:left w:val="nil"/>
              <w:bottom w:val="nil"/>
              <w:right w:val="nil"/>
            </w:tcBorders>
            <w:shd w:val="clear" w:color="000000" w:fill="FFFFFF"/>
            <w:noWrap/>
            <w:vAlign w:val="bottom"/>
            <w:hideMark/>
          </w:tcPr>
          <w:p w14:paraId="0B25D1AB"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2.75</w:t>
            </w:r>
          </w:p>
        </w:tc>
        <w:tc>
          <w:tcPr>
            <w:tcW w:w="2664" w:type="dxa"/>
            <w:gridSpan w:val="2"/>
            <w:tcBorders>
              <w:top w:val="nil"/>
              <w:left w:val="nil"/>
              <w:bottom w:val="nil"/>
              <w:right w:val="nil"/>
            </w:tcBorders>
            <w:shd w:val="clear" w:color="000000" w:fill="FFFFFF"/>
            <w:noWrap/>
            <w:vAlign w:val="bottom"/>
            <w:hideMark/>
          </w:tcPr>
          <w:p w14:paraId="44E93C1A"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42B38703"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352CCADC" w14:textId="77777777" w:rsidTr="004C6C21">
        <w:trPr>
          <w:trHeight w:val="360"/>
        </w:trPr>
        <w:tc>
          <w:tcPr>
            <w:tcW w:w="1618" w:type="dxa"/>
            <w:tcBorders>
              <w:top w:val="nil"/>
              <w:left w:val="nil"/>
              <w:bottom w:val="nil"/>
              <w:right w:val="nil"/>
            </w:tcBorders>
            <w:shd w:val="clear" w:color="000000" w:fill="FFFFFF"/>
            <w:noWrap/>
            <w:vAlign w:val="bottom"/>
            <w:hideMark/>
          </w:tcPr>
          <w:p w14:paraId="0D6B3A6D"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65AD2077"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CC</w:t>
            </w:r>
          </w:p>
        </w:tc>
        <w:tc>
          <w:tcPr>
            <w:tcW w:w="791" w:type="dxa"/>
            <w:tcBorders>
              <w:top w:val="nil"/>
              <w:left w:val="nil"/>
              <w:bottom w:val="nil"/>
              <w:right w:val="nil"/>
            </w:tcBorders>
            <w:shd w:val="clear" w:color="000000" w:fill="FFFFFF"/>
            <w:noWrap/>
            <w:vAlign w:val="bottom"/>
            <w:hideMark/>
          </w:tcPr>
          <w:p w14:paraId="3DC37043"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1255</w:t>
            </w:r>
          </w:p>
        </w:tc>
        <w:tc>
          <w:tcPr>
            <w:tcW w:w="2009" w:type="dxa"/>
            <w:gridSpan w:val="2"/>
            <w:tcBorders>
              <w:top w:val="nil"/>
              <w:left w:val="nil"/>
              <w:bottom w:val="nil"/>
              <w:right w:val="nil"/>
            </w:tcBorders>
            <w:shd w:val="clear" w:color="000000" w:fill="FFFFFF"/>
            <w:noWrap/>
            <w:vAlign w:val="bottom"/>
            <w:hideMark/>
          </w:tcPr>
          <w:p w14:paraId="0DB69DEC"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3.09</w:t>
            </w:r>
          </w:p>
        </w:tc>
        <w:tc>
          <w:tcPr>
            <w:tcW w:w="2664" w:type="dxa"/>
            <w:gridSpan w:val="2"/>
            <w:tcBorders>
              <w:top w:val="nil"/>
              <w:left w:val="nil"/>
              <w:bottom w:val="nil"/>
              <w:right w:val="nil"/>
            </w:tcBorders>
            <w:shd w:val="clear" w:color="000000" w:fill="FFFFFF"/>
            <w:noWrap/>
            <w:vAlign w:val="bottom"/>
            <w:hideMark/>
          </w:tcPr>
          <w:p w14:paraId="31D52992"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59A8A0C7"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6D1DC248" w14:textId="77777777" w:rsidTr="004C6C21">
        <w:trPr>
          <w:trHeight w:val="360"/>
        </w:trPr>
        <w:tc>
          <w:tcPr>
            <w:tcW w:w="1618" w:type="dxa"/>
            <w:tcBorders>
              <w:top w:val="nil"/>
              <w:left w:val="nil"/>
              <w:bottom w:val="nil"/>
              <w:right w:val="nil"/>
            </w:tcBorders>
            <w:shd w:val="clear" w:color="000000" w:fill="FFFFFF"/>
            <w:noWrap/>
            <w:vAlign w:val="bottom"/>
            <w:hideMark/>
          </w:tcPr>
          <w:p w14:paraId="126F283A"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4D66E56D"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CC</w:t>
            </w:r>
          </w:p>
        </w:tc>
        <w:tc>
          <w:tcPr>
            <w:tcW w:w="791" w:type="dxa"/>
            <w:tcBorders>
              <w:top w:val="nil"/>
              <w:left w:val="nil"/>
              <w:bottom w:val="nil"/>
              <w:right w:val="nil"/>
            </w:tcBorders>
            <w:shd w:val="clear" w:color="000000" w:fill="FFFFFF"/>
            <w:noWrap/>
            <w:vAlign w:val="bottom"/>
            <w:hideMark/>
          </w:tcPr>
          <w:p w14:paraId="7F7C74D0"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1226</w:t>
            </w:r>
          </w:p>
        </w:tc>
        <w:tc>
          <w:tcPr>
            <w:tcW w:w="2009" w:type="dxa"/>
            <w:gridSpan w:val="2"/>
            <w:tcBorders>
              <w:top w:val="nil"/>
              <w:left w:val="nil"/>
              <w:bottom w:val="nil"/>
              <w:right w:val="nil"/>
            </w:tcBorders>
            <w:shd w:val="clear" w:color="000000" w:fill="FFFFFF"/>
            <w:noWrap/>
            <w:vAlign w:val="bottom"/>
            <w:hideMark/>
          </w:tcPr>
          <w:p w14:paraId="649A572E"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3.29</w:t>
            </w:r>
          </w:p>
        </w:tc>
        <w:tc>
          <w:tcPr>
            <w:tcW w:w="2664" w:type="dxa"/>
            <w:gridSpan w:val="2"/>
            <w:tcBorders>
              <w:top w:val="nil"/>
              <w:left w:val="nil"/>
              <w:bottom w:val="nil"/>
              <w:right w:val="nil"/>
            </w:tcBorders>
            <w:shd w:val="clear" w:color="000000" w:fill="FFFFFF"/>
            <w:noWrap/>
            <w:vAlign w:val="bottom"/>
            <w:hideMark/>
          </w:tcPr>
          <w:p w14:paraId="100F773A"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3C5D94AF"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029812CA" w14:textId="77777777" w:rsidTr="004C6C21">
        <w:trPr>
          <w:trHeight w:val="360"/>
        </w:trPr>
        <w:tc>
          <w:tcPr>
            <w:tcW w:w="1618" w:type="dxa"/>
            <w:tcBorders>
              <w:top w:val="nil"/>
              <w:left w:val="nil"/>
              <w:bottom w:val="nil"/>
              <w:right w:val="nil"/>
            </w:tcBorders>
            <w:shd w:val="clear" w:color="000000" w:fill="FFFFFF"/>
            <w:noWrap/>
            <w:vAlign w:val="bottom"/>
            <w:hideMark/>
          </w:tcPr>
          <w:p w14:paraId="29B333A7"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5AD14BEF"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CC</w:t>
            </w:r>
          </w:p>
        </w:tc>
        <w:tc>
          <w:tcPr>
            <w:tcW w:w="791" w:type="dxa"/>
            <w:tcBorders>
              <w:top w:val="nil"/>
              <w:left w:val="nil"/>
              <w:bottom w:val="nil"/>
              <w:right w:val="nil"/>
            </w:tcBorders>
            <w:shd w:val="clear" w:color="000000" w:fill="FFFFFF"/>
            <w:noWrap/>
            <w:vAlign w:val="bottom"/>
            <w:hideMark/>
          </w:tcPr>
          <w:p w14:paraId="2A5AE77E"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1206</w:t>
            </w:r>
          </w:p>
        </w:tc>
        <w:tc>
          <w:tcPr>
            <w:tcW w:w="2009" w:type="dxa"/>
            <w:gridSpan w:val="2"/>
            <w:tcBorders>
              <w:top w:val="nil"/>
              <w:left w:val="nil"/>
              <w:bottom w:val="nil"/>
              <w:right w:val="nil"/>
            </w:tcBorders>
            <w:shd w:val="clear" w:color="000000" w:fill="FFFFFF"/>
            <w:noWrap/>
            <w:vAlign w:val="bottom"/>
            <w:hideMark/>
          </w:tcPr>
          <w:p w14:paraId="7C6F942D"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3.44</w:t>
            </w:r>
          </w:p>
        </w:tc>
        <w:tc>
          <w:tcPr>
            <w:tcW w:w="2664" w:type="dxa"/>
            <w:gridSpan w:val="2"/>
            <w:tcBorders>
              <w:top w:val="nil"/>
              <w:left w:val="nil"/>
              <w:bottom w:val="nil"/>
              <w:right w:val="nil"/>
            </w:tcBorders>
            <w:shd w:val="clear" w:color="000000" w:fill="FFFFFF"/>
            <w:noWrap/>
            <w:vAlign w:val="bottom"/>
            <w:hideMark/>
          </w:tcPr>
          <w:p w14:paraId="5F948685"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5FF9860A"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3F9ED0E5" w14:textId="77777777" w:rsidTr="004C6C21">
        <w:trPr>
          <w:trHeight w:val="360"/>
        </w:trPr>
        <w:tc>
          <w:tcPr>
            <w:tcW w:w="1618" w:type="dxa"/>
            <w:tcBorders>
              <w:top w:val="nil"/>
              <w:left w:val="nil"/>
              <w:bottom w:val="nil"/>
              <w:right w:val="nil"/>
            </w:tcBorders>
            <w:shd w:val="clear" w:color="000000" w:fill="FFFFFF"/>
            <w:noWrap/>
            <w:vAlign w:val="bottom"/>
            <w:hideMark/>
          </w:tcPr>
          <w:p w14:paraId="1F158B1A"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1886355F"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CC</w:t>
            </w:r>
          </w:p>
        </w:tc>
        <w:tc>
          <w:tcPr>
            <w:tcW w:w="791" w:type="dxa"/>
            <w:tcBorders>
              <w:top w:val="nil"/>
              <w:left w:val="nil"/>
              <w:bottom w:val="nil"/>
              <w:right w:val="nil"/>
            </w:tcBorders>
            <w:shd w:val="clear" w:color="000000" w:fill="FFFFFF"/>
            <w:noWrap/>
            <w:vAlign w:val="bottom"/>
            <w:hideMark/>
          </w:tcPr>
          <w:p w14:paraId="6FBA4E95"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1182</w:t>
            </w:r>
          </w:p>
        </w:tc>
        <w:tc>
          <w:tcPr>
            <w:tcW w:w="2009" w:type="dxa"/>
            <w:gridSpan w:val="2"/>
            <w:tcBorders>
              <w:top w:val="nil"/>
              <w:left w:val="nil"/>
              <w:bottom w:val="nil"/>
              <w:right w:val="nil"/>
            </w:tcBorders>
            <w:shd w:val="clear" w:color="000000" w:fill="FFFFFF"/>
            <w:noWrap/>
            <w:vAlign w:val="bottom"/>
            <w:hideMark/>
          </w:tcPr>
          <w:p w14:paraId="5965987F"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3.62</w:t>
            </w:r>
          </w:p>
        </w:tc>
        <w:tc>
          <w:tcPr>
            <w:tcW w:w="2664" w:type="dxa"/>
            <w:gridSpan w:val="2"/>
            <w:tcBorders>
              <w:top w:val="nil"/>
              <w:left w:val="nil"/>
              <w:bottom w:val="nil"/>
              <w:right w:val="nil"/>
            </w:tcBorders>
            <w:shd w:val="clear" w:color="000000" w:fill="FFFFFF"/>
            <w:noWrap/>
            <w:vAlign w:val="bottom"/>
            <w:hideMark/>
          </w:tcPr>
          <w:p w14:paraId="29982F68"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4E5F7881"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1F9BE3B7" w14:textId="77777777" w:rsidTr="004C6C21">
        <w:trPr>
          <w:trHeight w:val="360"/>
        </w:trPr>
        <w:tc>
          <w:tcPr>
            <w:tcW w:w="1618" w:type="dxa"/>
            <w:tcBorders>
              <w:top w:val="nil"/>
              <w:left w:val="nil"/>
              <w:bottom w:val="nil"/>
              <w:right w:val="nil"/>
            </w:tcBorders>
            <w:shd w:val="clear" w:color="000000" w:fill="FFFFFF"/>
            <w:noWrap/>
            <w:vAlign w:val="bottom"/>
            <w:hideMark/>
          </w:tcPr>
          <w:p w14:paraId="4AC0A779"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5BE5B555"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CC</w:t>
            </w:r>
          </w:p>
        </w:tc>
        <w:tc>
          <w:tcPr>
            <w:tcW w:w="791" w:type="dxa"/>
            <w:tcBorders>
              <w:top w:val="nil"/>
              <w:left w:val="nil"/>
              <w:bottom w:val="nil"/>
              <w:right w:val="nil"/>
            </w:tcBorders>
            <w:shd w:val="clear" w:color="000000" w:fill="FFFFFF"/>
            <w:noWrap/>
            <w:vAlign w:val="bottom"/>
            <w:hideMark/>
          </w:tcPr>
          <w:p w14:paraId="166A58B2"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1152</w:t>
            </w:r>
          </w:p>
        </w:tc>
        <w:tc>
          <w:tcPr>
            <w:tcW w:w="2009" w:type="dxa"/>
            <w:gridSpan w:val="2"/>
            <w:tcBorders>
              <w:top w:val="nil"/>
              <w:left w:val="nil"/>
              <w:bottom w:val="nil"/>
              <w:right w:val="nil"/>
            </w:tcBorders>
            <w:shd w:val="clear" w:color="000000" w:fill="FFFFFF"/>
            <w:noWrap/>
            <w:vAlign w:val="bottom"/>
            <w:hideMark/>
          </w:tcPr>
          <w:p w14:paraId="08D95DD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3.87</w:t>
            </w:r>
          </w:p>
        </w:tc>
        <w:tc>
          <w:tcPr>
            <w:tcW w:w="2664" w:type="dxa"/>
            <w:gridSpan w:val="2"/>
            <w:tcBorders>
              <w:top w:val="nil"/>
              <w:left w:val="nil"/>
              <w:bottom w:val="nil"/>
              <w:right w:val="nil"/>
            </w:tcBorders>
            <w:shd w:val="clear" w:color="000000" w:fill="FFFFFF"/>
            <w:noWrap/>
            <w:vAlign w:val="bottom"/>
            <w:hideMark/>
          </w:tcPr>
          <w:p w14:paraId="15F1A4ED"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7250C4D4"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01110A13" w14:textId="77777777" w:rsidTr="004C6C21">
        <w:trPr>
          <w:trHeight w:val="360"/>
        </w:trPr>
        <w:tc>
          <w:tcPr>
            <w:tcW w:w="1618" w:type="dxa"/>
            <w:tcBorders>
              <w:top w:val="nil"/>
              <w:left w:val="nil"/>
              <w:bottom w:val="nil"/>
              <w:right w:val="nil"/>
            </w:tcBorders>
            <w:shd w:val="clear" w:color="000000" w:fill="FFFFFF"/>
            <w:noWrap/>
            <w:vAlign w:val="bottom"/>
            <w:hideMark/>
          </w:tcPr>
          <w:p w14:paraId="3A7BB022" w14:textId="77777777" w:rsidR="004C6C21" w:rsidRPr="004C6C21" w:rsidRDefault="004C6C21" w:rsidP="004C6C21">
            <w:pPr>
              <w:spacing w:line="240" w:lineRule="auto"/>
              <w:jc w:val="left"/>
              <w:rPr>
                <w:rFonts w:eastAsia="Times New Roman" w:cs="Times New Roman"/>
                <w:b/>
                <w:bCs/>
                <w:color w:val="000000"/>
                <w:szCs w:val="24"/>
              </w:rPr>
            </w:pPr>
            <w:r w:rsidRPr="004C6C21">
              <w:rPr>
                <w:rFonts w:eastAsia="Times New Roman" w:cs="Times New Roman"/>
                <w:b/>
                <w:bCs/>
                <w:color w:val="000000"/>
                <w:szCs w:val="24"/>
              </w:rPr>
              <w:t>AND100ox</w:t>
            </w:r>
          </w:p>
        </w:tc>
        <w:tc>
          <w:tcPr>
            <w:tcW w:w="2056" w:type="dxa"/>
            <w:tcBorders>
              <w:top w:val="nil"/>
              <w:left w:val="nil"/>
              <w:bottom w:val="nil"/>
              <w:right w:val="nil"/>
            </w:tcBorders>
            <w:shd w:val="clear" w:color="000000" w:fill="FFFFFF"/>
            <w:noWrap/>
            <w:vAlign w:val="bottom"/>
            <w:hideMark/>
          </w:tcPr>
          <w:p w14:paraId="3620DB39"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10_on</w:t>
            </w:r>
          </w:p>
        </w:tc>
        <w:tc>
          <w:tcPr>
            <w:tcW w:w="791" w:type="dxa"/>
            <w:tcBorders>
              <w:top w:val="nil"/>
              <w:left w:val="nil"/>
              <w:bottom w:val="nil"/>
              <w:right w:val="nil"/>
            </w:tcBorders>
            <w:shd w:val="clear" w:color="000000" w:fill="FFFFFF"/>
            <w:noWrap/>
            <w:vAlign w:val="bottom"/>
            <w:hideMark/>
          </w:tcPr>
          <w:p w14:paraId="2586EF80"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662</w:t>
            </w:r>
          </w:p>
        </w:tc>
        <w:tc>
          <w:tcPr>
            <w:tcW w:w="2009" w:type="dxa"/>
            <w:gridSpan w:val="2"/>
            <w:tcBorders>
              <w:top w:val="nil"/>
              <w:left w:val="nil"/>
              <w:bottom w:val="nil"/>
              <w:right w:val="nil"/>
            </w:tcBorders>
            <w:shd w:val="clear" w:color="000000" w:fill="FFFFFF"/>
            <w:noWrap/>
            <w:vAlign w:val="bottom"/>
            <w:hideMark/>
          </w:tcPr>
          <w:p w14:paraId="449EDA84"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11.98</w:t>
            </w:r>
          </w:p>
        </w:tc>
        <w:tc>
          <w:tcPr>
            <w:tcW w:w="2664" w:type="dxa"/>
            <w:gridSpan w:val="2"/>
            <w:tcBorders>
              <w:top w:val="nil"/>
              <w:left w:val="nil"/>
              <w:bottom w:val="nil"/>
              <w:right w:val="nil"/>
            </w:tcBorders>
            <w:shd w:val="clear" w:color="000000" w:fill="FFFFFF"/>
            <w:noWrap/>
            <w:vAlign w:val="bottom"/>
            <w:hideMark/>
          </w:tcPr>
          <w:p w14:paraId="1D31CBB4"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0.02</w:t>
            </w:r>
          </w:p>
        </w:tc>
        <w:tc>
          <w:tcPr>
            <w:tcW w:w="222" w:type="dxa"/>
            <w:vAlign w:val="center"/>
            <w:hideMark/>
          </w:tcPr>
          <w:p w14:paraId="1A607263"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3F4468EE" w14:textId="77777777" w:rsidTr="004C6C21">
        <w:trPr>
          <w:trHeight w:val="360"/>
        </w:trPr>
        <w:tc>
          <w:tcPr>
            <w:tcW w:w="1618" w:type="dxa"/>
            <w:tcBorders>
              <w:top w:val="nil"/>
              <w:left w:val="nil"/>
              <w:bottom w:val="nil"/>
              <w:right w:val="nil"/>
            </w:tcBorders>
            <w:shd w:val="clear" w:color="000000" w:fill="FFFFFF"/>
            <w:noWrap/>
            <w:vAlign w:val="bottom"/>
            <w:hideMark/>
          </w:tcPr>
          <w:p w14:paraId="05BC20AC"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1D3E0895"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10_pk</w:t>
            </w:r>
          </w:p>
        </w:tc>
        <w:tc>
          <w:tcPr>
            <w:tcW w:w="791" w:type="dxa"/>
            <w:tcBorders>
              <w:top w:val="nil"/>
              <w:left w:val="nil"/>
              <w:bottom w:val="nil"/>
              <w:right w:val="nil"/>
            </w:tcBorders>
            <w:shd w:val="clear" w:color="000000" w:fill="FFFFFF"/>
            <w:noWrap/>
            <w:vAlign w:val="bottom"/>
            <w:hideMark/>
          </w:tcPr>
          <w:p w14:paraId="6FDBED89"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702</w:t>
            </w:r>
          </w:p>
        </w:tc>
        <w:tc>
          <w:tcPr>
            <w:tcW w:w="2009" w:type="dxa"/>
            <w:gridSpan w:val="2"/>
            <w:tcBorders>
              <w:top w:val="nil"/>
              <w:left w:val="nil"/>
              <w:bottom w:val="nil"/>
              <w:right w:val="nil"/>
            </w:tcBorders>
            <w:shd w:val="clear" w:color="000000" w:fill="FFFFFF"/>
            <w:noWrap/>
            <w:vAlign w:val="bottom"/>
            <w:hideMark/>
          </w:tcPr>
          <w:p w14:paraId="6334A48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10.62</w:t>
            </w:r>
          </w:p>
        </w:tc>
        <w:tc>
          <w:tcPr>
            <w:tcW w:w="2664" w:type="dxa"/>
            <w:gridSpan w:val="2"/>
            <w:tcBorders>
              <w:top w:val="nil"/>
              <w:left w:val="nil"/>
              <w:bottom w:val="nil"/>
              <w:right w:val="nil"/>
            </w:tcBorders>
            <w:shd w:val="clear" w:color="000000" w:fill="FFFFFF"/>
            <w:noWrap/>
            <w:vAlign w:val="bottom"/>
            <w:hideMark/>
          </w:tcPr>
          <w:p w14:paraId="7598CC18"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0.02</w:t>
            </w:r>
          </w:p>
        </w:tc>
        <w:tc>
          <w:tcPr>
            <w:tcW w:w="222" w:type="dxa"/>
            <w:vAlign w:val="center"/>
            <w:hideMark/>
          </w:tcPr>
          <w:p w14:paraId="01DABAFF"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14E358D9" w14:textId="77777777" w:rsidTr="004C6C21">
        <w:trPr>
          <w:trHeight w:val="360"/>
        </w:trPr>
        <w:tc>
          <w:tcPr>
            <w:tcW w:w="1618" w:type="dxa"/>
            <w:tcBorders>
              <w:top w:val="nil"/>
              <w:left w:val="nil"/>
              <w:bottom w:val="nil"/>
              <w:right w:val="nil"/>
            </w:tcBorders>
            <w:shd w:val="clear" w:color="000000" w:fill="FFFFFF"/>
            <w:noWrap/>
            <w:vAlign w:val="bottom"/>
            <w:hideMark/>
          </w:tcPr>
          <w:p w14:paraId="3E7A5751" w14:textId="77777777" w:rsidR="004C6C21" w:rsidRPr="004C6C21" w:rsidRDefault="004C6C21" w:rsidP="004C6C21">
            <w:pPr>
              <w:spacing w:line="240" w:lineRule="auto"/>
              <w:jc w:val="left"/>
              <w:rPr>
                <w:rFonts w:eastAsia="Times New Roman" w:cs="Times New Roman"/>
                <w:b/>
                <w:bCs/>
                <w:szCs w:val="24"/>
              </w:rPr>
            </w:pPr>
            <w:r w:rsidRPr="004C6C21">
              <w:rPr>
                <w:rFonts w:eastAsia="Times New Roman" w:cs="Times New Roman"/>
                <w:b/>
                <w:bCs/>
                <w:szCs w:val="24"/>
              </w:rPr>
              <w:t>AND100red</w:t>
            </w:r>
          </w:p>
        </w:tc>
        <w:tc>
          <w:tcPr>
            <w:tcW w:w="2056" w:type="dxa"/>
            <w:tcBorders>
              <w:top w:val="nil"/>
              <w:left w:val="nil"/>
              <w:bottom w:val="nil"/>
              <w:right w:val="nil"/>
            </w:tcBorders>
            <w:shd w:val="clear" w:color="000000" w:fill="FFFFFF"/>
            <w:noWrap/>
            <w:vAlign w:val="bottom"/>
            <w:hideMark/>
          </w:tcPr>
          <w:p w14:paraId="76749BA2"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10_on</w:t>
            </w:r>
          </w:p>
        </w:tc>
        <w:tc>
          <w:tcPr>
            <w:tcW w:w="791" w:type="dxa"/>
            <w:tcBorders>
              <w:top w:val="nil"/>
              <w:left w:val="nil"/>
              <w:bottom w:val="nil"/>
              <w:right w:val="nil"/>
            </w:tcBorders>
            <w:shd w:val="clear" w:color="000000" w:fill="FFFFFF"/>
            <w:noWrap/>
            <w:vAlign w:val="bottom"/>
            <w:hideMark/>
          </w:tcPr>
          <w:p w14:paraId="7283948D"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645</w:t>
            </w:r>
          </w:p>
        </w:tc>
        <w:tc>
          <w:tcPr>
            <w:tcW w:w="2009" w:type="dxa"/>
            <w:gridSpan w:val="2"/>
            <w:tcBorders>
              <w:top w:val="nil"/>
              <w:left w:val="nil"/>
              <w:bottom w:val="nil"/>
              <w:right w:val="nil"/>
            </w:tcBorders>
            <w:shd w:val="clear" w:color="000000" w:fill="FFFFFF"/>
            <w:noWrap/>
            <w:vAlign w:val="bottom"/>
            <w:hideMark/>
          </w:tcPr>
          <w:p w14:paraId="3CE6EB6B"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11.98</w:t>
            </w:r>
          </w:p>
        </w:tc>
        <w:tc>
          <w:tcPr>
            <w:tcW w:w="2664" w:type="dxa"/>
            <w:gridSpan w:val="2"/>
            <w:tcBorders>
              <w:top w:val="nil"/>
              <w:left w:val="nil"/>
              <w:bottom w:val="nil"/>
              <w:right w:val="nil"/>
            </w:tcBorders>
            <w:shd w:val="clear" w:color="000000" w:fill="FFFFFF"/>
            <w:noWrap/>
            <w:vAlign w:val="bottom"/>
            <w:hideMark/>
          </w:tcPr>
          <w:p w14:paraId="01E24E01"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0.02</w:t>
            </w:r>
          </w:p>
        </w:tc>
        <w:tc>
          <w:tcPr>
            <w:tcW w:w="222" w:type="dxa"/>
            <w:vAlign w:val="center"/>
            <w:hideMark/>
          </w:tcPr>
          <w:p w14:paraId="61D71F94"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31E196AB" w14:textId="77777777" w:rsidTr="004C6C21">
        <w:trPr>
          <w:trHeight w:val="360"/>
        </w:trPr>
        <w:tc>
          <w:tcPr>
            <w:tcW w:w="1618" w:type="dxa"/>
            <w:tcBorders>
              <w:top w:val="nil"/>
              <w:left w:val="nil"/>
              <w:bottom w:val="nil"/>
              <w:right w:val="nil"/>
            </w:tcBorders>
            <w:shd w:val="clear" w:color="000000" w:fill="FFFFFF"/>
            <w:noWrap/>
            <w:vAlign w:val="bottom"/>
            <w:hideMark/>
          </w:tcPr>
          <w:p w14:paraId="70D42C69"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16B89F19"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10_pk</w:t>
            </w:r>
          </w:p>
        </w:tc>
        <w:tc>
          <w:tcPr>
            <w:tcW w:w="791" w:type="dxa"/>
            <w:tcBorders>
              <w:top w:val="nil"/>
              <w:left w:val="nil"/>
              <w:bottom w:val="nil"/>
              <w:right w:val="nil"/>
            </w:tcBorders>
            <w:shd w:val="clear" w:color="000000" w:fill="FFFFFF"/>
            <w:noWrap/>
            <w:vAlign w:val="bottom"/>
            <w:hideMark/>
          </w:tcPr>
          <w:p w14:paraId="43BC4BBD"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694</w:t>
            </w:r>
          </w:p>
        </w:tc>
        <w:tc>
          <w:tcPr>
            <w:tcW w:w="2009" w:type="dxa"/>
            <w:gridSpan w:val="2"/>
            <w:tcBorders>
              <w:top w:val="nil"/>
              <w:left w:val="nil"/>
              <w:bottom w:val="nil"/>
              <w:right w:val="nil"/>
            </w:tcBorders>
            <w:shd w:val="clear" w:color="000000" w:fill="FFFFFF"/>
            <w:noWrap/>
            <w:vAlign w:val="bottom"/>
            <w:hideMark/>
          </w:tcPr>
          <w:p w14:paraId="29B25A58"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10.62</w:t>
            </w:r>
          </w:p>
        </w:tc>
        <w:tc>
          <w:tcPr>
            <w:tcW w:w="2664" w:type="dxa"/>
            <w:gridSpan w:val="2"/>
            <w:tcBorders>
              <w:top w:val="nil"/>
              <w:left w:val="nil"/>
              <w:bottom w:val="nil"/>
              <w:right w:val="nil"/>
            </w:tcBorders>
            <w:shd w:val="clear" w:color="000000" w:fill="FFFFFF"/>
            <w:noWrap/>
            <w:vAlign w:val="bottom"/>
            <w:hideMark/>
          </w:tcPr>
          <w:p w14:paraId="3A409CCA"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0.02</w:t>
            </w:r>
          </w:p>
        </w:tc>
        <w:tc>
          <w:tcPr>
            <w:tcW w:w="222" w:type="dxa"/>
            <w:vAlign w:val="center"/>
            <w:hideMark/>
          </w:tcPr>
          <w:p w14:paraId="5BCBBB69"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04368DB2" w14:textId="77777777" w:rsidTr="004C6C21">
        <w:trPr>
          <w:trHeight w:val="360"/>
        </w:trPr>
        <w:tc>
          <w:tcPr>
            <w:tcW w:w="1618" w:type="dxa"/>
            <w:tcBorders>
              <w:top w:val="nil"/>
              <w:left w:val="nil"/>
              <w:bottom w:val="nil"/>
              <w:right w:val="nil"/>
            </w:tcBorders>
            <w:shd w:val="clear" w:color="auto" w:fill="auto"/>
            <w:noWrap/>
            <w:vAlign w:val="bottom"/>
            <w:hideMark/>
          </w:tcPr>
          <w:p w14:paraId="365DEAB3" w14:textId="77777777" w:rsidR="004C6C21" w:rsidRPr="004C6C21" w:rsidRDefault="004C6C21" w:rsidP="004C6C21">
            <w:pPr>
              <w:spacing w:line="240" w:lineRule="auto"/>
              <w:jc w:val="center"/>
              <w:rPr>
                <w:rFonts w:eastAsia="Times New Roman" w:cs="Times New Roman"/>
                <w:color w:val="000000"/>
                <w:szCs w:val="24"/>
              </w:rPr>
            </w:pPr>
          </w:p>
        </w:tc>
        <w:tc>
          <w:tcPr>
            <w:tcW w:w="2056" w:type="dxa"/>
            <w:tcBorders>
              <w:top w:val="nil"/>
              <w:left w:val="nil"/>
              <w:bottom w:val="nil"/>
              <w:right w:val="nil"/>
            </w:tcBorders>
            <w:shd w:val="clear" w:color="000000" w:fill="FFFFFF"/>
            <w:noWrap/>
            <w:vAlign w:val="bottom"/>
            <w:hideMark/>
          </w:tcPr>
          <w:p w14:paraId="4C01A0EE"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20_pk</w:t>
            </w:r>
          </w:p>
        </w:tc>
        <w:tc>
          <w:tcPr>
            <w:tcW w:w="791" w:type="dxa"/>
            <w:tcBorders>
              <w:top w:val="nil"/>
              <w:left w:val="nil"/>
              <w:bottom w:val="nil"/>
              <w:right w:val="nil"/>
            </w:tcBorders>
            <w:shd w:val="clear" w:color="000000" w:fill="FFFFFF"/>
            <w:noWrap/>
            <w:vAlign w:val="bottom"/>
            <w:hideMark/>
          </w:tcPr>
          <w:p w14:paraId="7587A45F" w14:textId="77777777" w:rsidR="004C6C21" w:rsidRPr="004C6C21" w:rsidRDefault="004C6C21" w:rsidP="004C6C21">
            <w:pPr>
              <w:spacing w:line="240" w:lineRule="auto"/>
              <w:jc w:val="center"/>
              <w:rPr>
                <w:rFonts w:ascii="Calibri" w:eastAsia="Times New Roman" w:hAnsi="Calibri" w:cs="Calibri"/>
                <w:color w:val="000000"/>
                <w:szCs w:val="24"/>
              </w:rPr>
            </w:pPr>
            <w:r w:rsidRPr="004C6C21">
              <w:rPr>
                <w:rFonts w:ascii="Calibri" w:eastAsia="Times New Roman" w:hAnsi="Calibri" w:cs="Calibri"/>
                <w:color w:val="000000"/>
                <w:szCs w:val="24"/>
              </w:rPr>
              <w:t>652</w:t>
            </w:r>
          </w:p>
        </w:tc>
        <w:tc>
          <w:tcPr>
            <w:tcW w:w="2009" w:type="dxa"/>
            <w:gridSpan w:val="2"/>
            <w:tcBorders>
              <w:top w:val="nil"/>
              <w:left w:val="nil"/>
              <w:bottom w:val="nil"/>
              <w:right w:val="nil"/>
            </w:tcBorders>
            <w:shd w:val="clear" w:color="000000" w:fill="FFFFFF"/>
            <w:noWrap/>
            <w:vAlign w:val="bottom"/>
            <w:hideMark/>
          </w:tcPr>
          <w:p w14:paraId="6FB9CF83" w14:textId="77777777" w:rsidR="004C6C21" w:rsidRPr="004C6C21" w:rsidRDefault="004C6C21" w:rsidP="004C6C21">
            <w:pPr>
              <w:spacing w:line="240" w:lineRule="auto"/>
              <w:jc w:val="center"/>
              <w:rPr>
                <w:rFonts w:ascii="Calibri" w:eastAsia="Times New Roman" w:hAnsi="Calibri" w:cs="Calibri"/>
                <w:color w:val="000000"/>
                <w:szCs w:val="24"/>
              </w:rPr>
            </w:pPr>
            <w:r w:rsidRPr="004C6C21">
              <w:rPr>
                <w:rFonts w:ascii="Calibri" w:eastAsia="Times New Roman" w:hAnsi="Calibri" w:cs="Calibri"/>
                <w:color w:val="000000"/>
                <w:szCs w:val="24"/>
              </w:rPr>
              <w:t>11.68</w:t>
            </w:r>
          </w:p>
        </w:tc>
        <w:tc>
          <w:tcPr>
            <w:tcW w:w="2664" w:type="dxa"/>
            <w:gridSpan w:val="2"/>
            <w:tcBorders>
              <w:top w:val="nil"/>
              <w:left w:val="nil"/>
              <w:bottom w:val="nil"/>
              <w:right w:val="nil"/>
            </w:tcBorders>
            <w:shd w:val="clear" w:color="000000" w:fill="FFFFFF"/>
            <w:noWrap/>
            <w:vAlign w:val="bottom"/>
            <w:hideMark/>
          </w:tcPr>
          <w:p w14:paraId="465AD04C" w14:textId="77777777" w:rsidR="004C6C21" w:rsidRPr="004C6C21" w:rsidRDefault="004C6C21" w:rsidP="004C6C21">
            <w:pPr>
              <w:spacing w:line="240" w:lineRule="auto"/>
              <w:jc w:val="center"/>
              <w:rPr>
                <w:rFonts w:ascii="Calibri" w:eastAsia="Times New Roman" w:hAnsi="Calibri" w:cs="Calibri"/>
                <w:color w:val="000000"/>
                <w:szCs w:val="24"/>
              </w:rPr>
            </w:pPr>
            <w:r w:rsidRPr="004C6C21">
              <w:rPr>
                <w:rFonts w:ascii="Calibri" w:eastAsia="Times New Roman" w:hAnsi="Calibri" w:cs="Calibri"/>
                <w:color w:val="000000"/>
                <w:szCs w:val="24"/>
              </w:rPr>
              <w:t>0.02</w:t>
            </w:r>
          </w:p>
        </w:tc>
        <w:tc>
          <w:tcPr>
            <w:tcW w:w="222" w:type="dxa"/>
            <w:vAlign w:val="center"/>
            <w:hideMark/>
          </w:tcPr>
          <w:p w14:paraId="24F5C941"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742F9100" w14:textId="77777777" w:rsidTr="004C6C21">
        <w:trPr>
          <w:trHeight w:val="360"/>
        </w:trPr>
        <w:tc>
          <w:tcPr>
            <w:tcW w:w="1618" w:type="dxa"/>
            <w:tcBorders>
              <w:top w:val="nil"/>
              <w:left w:val="nil"/>
              <w:bottom w:val="nil"/>
              <w:right w:val="nil"/>
            </w:tcBorders>
            <w:shd w:val="clear" w:color="000000" w:fill="FFFFFF"/>
            <w:noWrap/>
            <w:vAlign w:val="bottom"/>
            <w:hideMark/>
          </w:tcPr>
          <w:p w14:paraId="3BE6994A" w14:textId="77777777" w:rsidR="004C6C21" w:rsidRPr="004C6C21" w:rsidRDefault="004C6C21" w:rsidP="004C6C21">
            <w:pPr>
              <w:spacing w:line="240" w:lineRule="auto"/>
              <w:jc w:val="left"/>
              <w:rPr>
                <w:rFonts w:eastAsia="Times New Roman" w:cs="Times New Roman"/>
                <w:b/>
                <w:bCs/>
                <w:szCs w:val="24"/>
              </w:rPr>
            </w:pPr>
            <w:r w:rsidRPr="004C6C21">
              <w:rPr>
                <w:rFonts w:eastAsia="Times New Roman" w:cs="Times New Roman"/>
                <w:b/>
                <w:bCs/>
                <w:szCs w:val="24"/>
              </w:rPr>
              <w:t>AND65</w:t>
            </w:r>
          </w:p>
        </w:tc>
        <w:tc>
          <w:tcPr>
            <w:tcW w:w="2056" w:type="dxa"/>
            <w:tcBorders>
              <w:top w:val="nil"/>
              <w:left w:val="nil"/>
              <w:bottom w:val="nil"/>
              <w:right w:val="nil"/>
            </w:tcBorders>
            <w:shd w:val="clear" w:color="000000" w:fill="FFFFFF"/>
            <w:noWrap/>
            <w:vAlign w:val="bottom"/>
            <w:hideMark/>
          </w:tcPr>
          <w:p w14:paraId="18938B7E"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10_on</w:t>
            </w:r>
          </w:p>
        </w:tc>
        <w:tc>
          <w:tcPr>
            <w:tcW w:w="791" w:type="dxa"/>
            <w:tcBorders>
              <w:top w:val="nil"/>
              <w:left w:val="nil"/>
              <w:bottom w:val="nil"/>
              <w:right w:val="nil"/>
            </w:tcBorders>
            <w:shd w:val="clear" w:color="000000" w:fill="FFFFFF"/>
            <w:noWrap/>
            <w:vAlign w:val="bottom"/>
            <w:hideMark/>
          </w:tcPr>
          <w:p w14:paraId="6F5B31EB"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696</w:t>
            </w:r>
          </w:p>
        </w:tc>
        <w:tc>
          <w:tcPr>
            <w:tcW w:w="2009" w:type="dxa"/>
            <w:gridSpan w:val="2"/>
            <w:tcBorders>
              <w:top w:val="nil"/>
              <w:left w:val="nil"/>
              <w:bottom w:val="nil"/>
              <w:right w:val="nil"/>
            </w:tcBorders>
            <w:shd w:val="clear" w:color="000000" w:fill="FFFFFF"/>
            <w:noWrap/>
            <w:vAlign w:val="bottom"/>
            <w:hideMark/>
          </w:tcPr>
          <w:p w14:paraId="1896F9B6"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11.98</w:t>
            </w:r>
          </w:p>
        </w:tc>
        <w:tc>
          <w:tcPr>
            <w:tcW w:w="2664" w:type="dxa"/>
            <w:gridSpan w:val="2"/>
            <w:tcBorders>
              <w:top w:val="nil"/>
              <w:left w:val="nil"/>
              <w:bottom w:val="nil"/>
              <w:right w:val="nil"/>
            </w:tcBorders>
            <w:shd w:val="clear" w:color="000000" w:fill="FFFFFF"/>
            <w:noWrap/>
            <w:vAlign w:val="bottom"/>
            <w:hideMark/>
          </w:tcPr>
          <w:p w14:paraId="72F67FF9"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0.02</w:t>
            </w:r>
          </w:p>
        </w:tc>
        <w:tc>
          <w:tcPr>
            <w:tcW w:w="222" w:type="dxa"/>
            <w:vAlign w:val="center"/>
            <w:hideMark/>
          </w:tcPr>
          <w:p w14:paraId="759870E2"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0570401A" w14:textId="77777777" w:rsidTr="004C6C21">
        <w:trPr>
          <w:trHeight w:val="360"/>
        </w:trPr>
        <w:tc>
          <w:tcPr>
            <w:tcW w:w="1618" w:type="dxa"/>
            <w:tcBorders>
              <w:top w:val="nil"/>
              <w:left w:val="nil"/>
              <w:bottom w:val="nil"/>
              <w:right w:val="nil"/>
            </w:tcBorders>
            <w:shd w:val="clear" w:color="000000" w:fill="FFFFFF"/>
            <w:noWrap/>
            <w:vAlign w:val="bottom"/>
            <w:hideMark/>
          </w:tcPr>
          <w:p w14:paraId="5FDA936D"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5F56A220"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F-DSC</w:t>
            </w:r>
            <w:r w:rsidRPr="004C6C21">
              <w:rPr>
                <w:rFonts w:eastAsia="Times New Roman" w:cs="Times New Roman"/>
                <w:szCs w:val="24"/>
                <w:vertAlign w:val="subscript"/>
              </w:rPr>
              <w:t>1000_on</w:t>
            </w:r>
          </w:p>
        </w:tc>
        <w:tc>
          <w:tcPr>
            <w:tcW w:w="791" w:type="dxa"/>
            <w:tcBorders>
              <w:top w:val="nil"/>
              <w:left w:val="nil"/>
              <w:bottom w:val="nil"/>
              <w:right w:val="nil"/>
            </w:tcBorders>
            <w:shd w:val="clear" w:color="000000" w:fill="FFFFFF"/>
            <w:noWrap/>
            <w:vAlign w:val="bottom"/>
            <w:hideMark/>
          </w:tcPr>
          <w:p w14:paraId="19968430"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847</w:t>
            </w:r>
          </w:p>
        </w:tc>
        <w:tc>
          <w:tcPr>
            <w:tcW w:w="2009" w:type="dxa"/>
            <w:gridSpan w:val="2"/>
            <w:tcBorders>
              <w:top w:val="nil"/>
              <w:left w:val="nil"/>
              <w:bottom w:val="nil"/>
              <w:right w:val="nil"/>
            </w:tcBorders>
            <w:shd w:val="clear" w:color="000000" w:fill="FFFFFF"/>
            <w:noWrap/>
            <w:vAlign w:val="bottom"/>
            <w:hideMark/>
          </w:tcPr>
          <w:p w14:paraId="3E59E1C1"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8.20</w:t>
            </w:r>
          </w:p>
        </w:tc>
        <w:tc>
          <w:tcPr>
            <w:tcW w:w="2664" w:type="dxa"/>
            <w:gridSpan w:val="2"/>
            <w:tcBorders>
              <w:top w:val="nil"/>
              <w:left w:val="nil"/>
              <w:bottom w:val="nil"/>
              <w:right w:val="nil"/>
            </w:tcBorders>
            <w:shd w:val="clear" w:color="000000" w:fill="FFFFFF"/>
            <w:noWrap/>
            <w:vAlign w:val="bottom"/>
            <w:hideMark/>
          </w:tcPr>
          <w:p w14:paraId="19368B6C"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5C8F6DB2"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5AFE6789" w14:textId="77777777" w:rsidTr="004C6C21">
        <w:trPr>
          <w:trHeight w:val="360"/>
        </w:trPr>
        <w:tc>
          <w:tcPr>
            <w:tcW w:w="1618" w:type="dxa"/>
            <w:tcBorders>
              <w:top w:val="nil"/>
              <w:left w:val="nil"/>
              <w:bottom w:val="nil"/>
              <w:right w:val="nil"/>
            </w:tcBorders>
            <w:shd w:val="clear" w:color="000000" w:fill="FFFFFF"/>
            <w:noWrap/>
            <w:vAlign w:val="bottom"/>
            <w:hideMark/>
          </w:tcPr>
          <w:p w14:paraId="3E57D147"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4A047499"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F-DSC</w:t>
            </w:r>
            <w:r w:rsidRPr="004C6C21">
              <w:rPr>
                <w:rFonts w:eastAsia="Times New Roman" w:cs="Times New Roman"/>
                <w:szCs w:val="24"/>
                <w:vertAlign w:val="subscript"/>
              </w:rPr>
              <w:t>1000_pk</w:t>
            </w:r>
          </w:p>
        </w:tc>
        <w:tc>
          <w:tcPr>
            <w:tcW w:w="791" w:type="dxa"/>
            <w:tcBorders>
              <w:top w:val="nil"/>
              <w:left w:val="nil"/>
              <w:bottom w:val="nil"/>
              <w:right w:val="nil"/>
            </w:tcBorders>
            <w:shd w:val="clear" w:color="000000" w:fill="FFFFFF"/>
            <w:noWrap/>
            <w:vAlign w:val="bottom"/>
            <w:hideMark/>
          </w:tcPr>
          <w:p w14:paraId="27F9E953"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929</w:t>
            </w:r>
          </w:p>
        </w:tc>
        <w:tc>
          <w:tcPr>
            <w:tcW w:w="2009" w:type="dxa"/>
            <w:gridSpan w:val="2"/>
            <w:tcBorders>
              <w:top w:val="nil"/>
              <w:left w:val="nil"/>
              <w:bottom w:val="nil"/>
              <w:right w:val="nil"/>
            </w:tcBorders>
            <w:shd w:val="clear" w:color="000000" w:fill="FFFFFF"/>
            <w:noWrap/>
            <w:vAlign w:val="bottom"/>
            <w:hideMark/>
          </w:tcPr>
          <w:p w14:paraId="3978E38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6.84</w:t>
            </w:r>
          </w:p>
        </w:tc>
        <w:tc>
          <w:tcPr>
            <w:tcW w:w="2664" w:type="dxa"/>
            <w:gridSpan w:val="2"/>
            <w:tcBorders>
              <w:top w:val="nil"/>
              <w:left w:val="nil"/>
              <w:bottom w:val="nil"/>
              <w:right w:val="nil"/>
            </w:tcBorders>
            <w:shd w:val="clear" w:color="000000" w:fill="FFFFFF"/>
            <w:noWrap/>
            <w:vAlign w:val="bottom"/>
            <w:hideMark/>
          </w:tcPr>
          <w:p w14:paraId="6DBD8BBB"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1BA66F09"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4BD91072" w14:textId="77777777" w:rsidTr="004C6C21">
        <w:trPr>
          <w:trHeight w:val="360"/>
        </w:trPr>
        <w:tc>
          <w:tcPr>
            <w:tcW w:w="1618" w:type="dxa"/>
            <w:tcBorders>
              <w:top w:val="nil"/>
              <w:left w:val="nil"/>
              <w:bottom w:val="nil"/>
              <w:right w:val="nil"/>
            </w:tcBorders>
            <w:shd w:val="clear" w:color="000000" w:fill="FFFFFF"/>
            <w:noWrap/>
            <w:vAlign w:val="bottom"/>
            <w:hideMark/>
          </w:tcPr>
          <w:p w14:paraId="6CD6E69B"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0B59C179"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MP</w:t>
            </w:r>
            <w:r w:rsidRPr="004C6C21">
              <w:rPr>
                <w:rFonts w:eastAsia="Times New Roman" w:cs="Times New Roman"/>
                <w:color w:val="000000"/>
                <w:szCs w:val="24"/>
                <w:vertAlign w:val="subscript"/>
              </w:rPr>
              <w:t>695</w:t>
            </w:r>
          </w:p>
        </w:tc>
        <w:tc>
          <w:tcPr>
            <w:tcW w:w="791" w:type="dxa"/>
            <w:tcBorders>
              <w:top w:val="nil"/>
              <w:left w:val="nil"/>
              <w:bottom w:val="nil"/>
              <w:right w:val="nil"/>
            </w:tcBorders>
            <w:shd w:val="clear" w:color="000000" w:fill="FFFFFF"/>
            <w:noWrap/>
            <w:vAlign w:val="bottom"/>
            <w:hideMark/>
          </w:tcPr>
          <w:p w14:paraId="0D5FE77F"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695</w:t>
            </w:r>
          </w:p>
        </w:tc>
        <w:tc>
          <w:tcPr>
            <w:tcW w:w="2009" w:type="dxa"/>
            <w:gridSpan w:val="2"/>
            <w:tcBorders>
              <w:top w:val="nil"/>
              <w:left w:val="nil"/>
              <w:bottom w:val="nil"/>
              <w:right w:val="nil"/>
            </w:tcBorders>
            <w:shd w:val="clear" w:color="000000" w:fill="FFFFFF"/>
            <w:noWrap/>
            <w:vAlign w:val="bottom"/>
            <w:hideMark/>
          </w:tcPr>
          <w:p w14:paraId="3340B0E1"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12.13</w:t>
            </w:r>
          </w:p>
        </w:tc>
        <w:tc>
          <w:tcPr>
            <w:tcW w:w="2664" w:type="dxa"/>
            <w:gridSpan w:val="2"/>
            <w:tcBorders>
              <w:top w:val="nil"/>
              <w:left w:val="nil"/>
              <w:bottom w:val="nil"/>
              <w:right w:val="nil"/>
            </w:tcBorders>
            <w:shd w:val="clear" w:color="000000" w:fill="FFFFFF"/>
            <w:noWrap/>
            <w:vAlign w:val="bottom"/>
            <w:hideMark/>
          </w:tcPr>
          <w:p w14:paraId="53CE74FD"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0.03</w:t>
            </w:r>
          </w:p>
        </w:tc>
        <w:tc>
          <w:tcPr>
            <w:tcW w:w="222" w:type="dxa"/>
            <w:vAlign w:val="center"/>
            <w:hideMark/>
          </w:tcPr>
          <w:p w14:paraId="326AF22A"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63014A12" w14:textId="77777777" w:rsidTr="004C6C21">
        <w:trPr>
          <w:trHeight w:val="360"/>
        </w:trPr>
        <w:tc>
          <w:tcPr>
            <w:tcW w:w="1618" w:type="dxa"/>
            <w:tcBorders>
              <w:top w:val="nil"/>
              <w:left w:val="nil"/>
              <w:bottom w:val="nil"/>
              <w:right w:val="nil"/>
            </w:tcBorders>
            <w:shd w:val="clear" w:color="000000" w:fill="FFFFFF"/>
            <w:noWrap/>
            <w:vAlign w:val="bottom"/>
            <w:hideMark/>
          </w:tcPr>
          <w:p w14:paraId="6158C16D"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25014E89"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MP</w:t>
            </w:r>
            <w:r w:rsidRPr="004C6C21">
              <w:rPr>
                <w:rFonts w:eastAsia="Times New Roman" w:cs="Times New Roman"/>
                <w:color w:val="000000"/>
                <w:szCs w:val="24"/>
                <w:vertAlign w:val="subscript"/>
              </w:rPr>
              <w:t>711</w:t>
            </w:r>
          </w:p>
        </w:tc>
        <w:tc>
          <w:tcPr>
            <w:tcW w:w="791" w:type="dxa"/>
            <w:tcBorders>
              <w:top w:val="nil"/>
              <w:left w:val="nil"/>
              <w:bottom w:val="nil"/>
              <w:right w:val="nil"/>
            </w:tcBorders>
            <w:shd w:val="clear" w:color="000000" w:fill="FFFFFF"/>
            <w:noWrap/>
            <w:vAlign w:val="bottom"/>
            <w:hideMark/>
          </w:tcPr>
          <w:p w14:paraId="3E2EB2BD"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711</w:t>
            </w:r>
          </w:p>
        </w:tc>
        <w:tc>
          <w:tcPr>
            <w:tcW w:w="2009" w:type="dxa"/>
            <w:gridSpan w:val="2"/>
            <w:tcBorders>
              <w:top w:val="nil"/>
              <w:left w:val="nil"/>
              <w:bottom w:val="nil"/>
              <w:right w:val="nil"/>
            </w:tcBorders>
            <w:shd w:val="clear" w:color="000000" w:fill="FFFFFF"/>
            <w:noWrap/>
            <w:vAlign w:val="bottom"/>
            <w:hideMark/>
          </w:tcPr>
          <w:p w14:paraId="208BD5C1"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11.66</w:t>
            </w:r>
          </w:p>
        </w:tc>
        <w:tc>
          <w:tcPr>
            <w:tcW w:w="2664" w:type="dxa"/>
            <w:gridSpan w:val="2"/>
            <w:tcBorders>
              <w:top w:val="nil"/>
              <w:left w:val="nil"/>
              <w:bottom w:val="nil"/>
              <w:right w:val="nil"/>
            </w:tcBorders>
            <w:shd w:val="clear" w:color="000000" w:fill="FFFFFF"/>
            <w:noWrap/>
            <w:vAlign w:val="bottom"/>
            <w:hideMark/>
          </w:tcPr>
          <w:p w14:paraId="2F93FF7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0.01</w:t>
            </w:r>
          </w:p>
        </w:tc>
        <w:tc>
          <w:tcPr>
            <w:tcW w:w="222" w:type="dxa"/>
            <w:vAlign w:val="center"/>
            <w:hideMark/>
          </w:tcPr>
          <w:p w14:paraId="5BBC5477"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469B2B26" w14:textId="77777777" w:rsidTr="004C6C21">
        <w:trPr>
          <w:trHeight w:val="360"/>
        </w:trPr>
        <w:tc>
          <w:tcPr>
            <w:tcW w:w="1618" w:type="dxa"/>
            <w:tcBorders>
              <w:top w:val="nil"/>
              <w:left w:val="nil"/>
              <w:bottom w:val="nil"/>
              <w:right w:val="nil"/>
            </w:tcBorders>
            <w:shd w:val="clear" w:color="000000" w:fill="FFFFFF"/>
            <w:noWrap/>
            <w:vAlign w:val="bottom"/>
            <w:hideMark/>
          </w:tcPr>
          <w:p w14:paraId="43838382"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2758EC71"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MP</w:t>
            </w:r>
            <w:r w:rsidRPr="004C6C21">
              <w:rPr>
                <w:rFonts w:eastAsia="Times New Roman" w:cs="Times New Roman"/>
                <w:color w:val="000000"/>
                <w:szCs w:val="24"/>
                <w:vertAlign w:val="subscript"/>
              </w:rPr>
              <w:t>761</w:t>
            </w:r>
          </w:p>
        </w:tc>
        <w:tc>
          <w:tcPr>
            <w:tcW w:w="791" w:type="dxa"/>
            <w:tcBorders>
              <w:top w:val="nil"/>
              <w:left w:val="nil"/>
              <w:bottom w:val="nil"/>
              <w:right w:val="nil"/>
            </w:tcBorders>
            <w:shd w:val="clear" w:color="000000" w:fill="FFFFFF"/>
            <w:noWrap/>
            <w:vAlign w:val="bottom"/>
            <w:hideMark/>
          </w:tcPr>
          <w:p w14:paraId="19737934"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761</w:t>
            </w:r>
          </w:p>
        </w:tc>
        <w:tc>
          <w:tcPr>
            <w:tcW w:w="2009" w:type="dxa"/>
            <w:gridSpan w:val="2"/>
            <w:tcBorders>
              <w:top w:val="nil"/>
              <w:left w:val="nil"/>
              <w:bottom w:val="nil"/>
              <w:right w:val="nil"/>
            </w:tcBorders>
            <w:shd w:val="clear" w:color="000000" w:fill="FFFFFF"/>
            <w:noWrap/>
            <w:vAlign w:val="bottom"/>
            <w:hideMark/>
          </w:tcPr>
          <w:p w14:paraId="7DFD84AC"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10.23</w:t>
            </w:r>
          </w:p>
        </w:tc>
        <w:tc>
          <w:tcPr>
            <w:tcW w:w="2664" w:type="dxa"/>
            <w:gridSpan w:val="2"/>
            <w:tcBorders>
              <w:top w:val="nil"/>
              <w:left w:val="nil"/>
              <w:bottom w:val="nil"/>
              <w:right w:val="nil"/>
            </w:tcBorders>
            <w:shd w:val="clear" w:color="000000" w:fill="FFFFFF"/>
            <w:noWrap/>
            <w:vAlign w:val="bottom"/>
            <w:hideMark/>
          </w:tcPr>
          <w:p w14:paraId="01D7B0F3"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0.01</w:t>
            </w:r>
          </w:p>
        </w:tc>
        <w:tc>
          <w:tcPr>
            <w:tcW w:w="222" w:type="dxa"/>
            <w:vAlign w:val="center"/>
            <w:hideMark/>
          </w:tcPr>
          <w:p w14:paraId="4AAC147F"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617E7C19" w14:textId="77777777" w:rsidTr="004C6C21">
        <w:trPr>
          <w:trHeight w:val="360"/>
        </w:trPr>
        <w:tc>
          <w:tcPr>
            <w:tcW w:w="1618" w:type="dxa"/>
            <w:tcBorders>
              <w:top w:val="nil"/>
              <w:left w:val="nil"/>
              <w:bottom w:val="nil"/>
              <w:right w:val="nil"/>
            </w:tcBorders>
            <w:shd w:val="clear" w:color="000000" w:fill="FFFFFF"/>
            <w:noWrap/>
            <w:vAlign w:val="bottom"/>
            <w:hideMark/>
          </w:tcPr>
          <w:p w14:paraId="49D32792" w14:textId="77777777" w:rsidR="004C6C21" w:rsidRPr="004C6C21" w:rsidRDefault="004C6C21" w:rsidP="004C6C21">
            <w:pPr>
              <w:spacing w:line="240" w:lineRule="auto"/>
              <w:jc w:val="left"/>
              <w:rPr>
                <w:rFonts w:eastAsia="Times New Roman" w:cs="Times New Roman"/>
                <w:b/>
                <w:bCs/>
                <w:color w:val="000000"/>
                <w:szCs w:val="24"/>
              </w:rPr>
            </w:pPr>
            <w:r w:rsidRPr="004C6C21">
              <w:rPr>
                <w:rFonts w:eastAsia="Times New Roman" w:cs="Times New Roman"/>
                <w:b/>
                <w:bCs/>
                <w:color w:val="000000"/>
                <w:szCs w:val="24"/>
              </w:rPr>
              <w:t>AND0</w:t>
            </w:r>
          </w:p>
        </w:tc>
        <w:tc>
          <w:tcPr>
            <w:tcW w:w="2056" w:type="dxa"/>
            <w:tcBorders>
              <w:top w:val="nil"/>
              <w:left w:val="nil"/>
              <w:bottom w:val="nil"/>
              <w:right w:val="nil"/>
            </w:tcBorders>
            <w:shd w:val="clear" w:color="000000" w:fill="FFFFFF"/>
            <w:noWrap/>
            <w:vAlign w:val="bottom"/>
            <w:hideMark/>
          </w:tcPr>
          <w:p w14:paraId="44A1F2EA"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10_on</w:t>
            </w:r>
          </w:p>
        </w:tc>
        <w:tc>
          <w:tcPr>
            <w:tcW w:w="791" w:type="dxa"/>
            <w:tcBorders>
              <w:top w:val="nil"/>
              <w:left w:val="nil"/>
              <w:bottom w:val="nil"/>
              <w:right w:val="nil"/>
            </w:tcBorders>
            <w:shd w:val="clear" w:color="000000" w:fill="FFFFFF"/>
            <w:noWrap/>
            <w:vAlign w:val="bottom"/>
            <w:hideMark/>
          </w:tcPr>
          <w:p w14:paraId="13F0E3E9"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737</w:t>
            </w:r>
          </w:p>
        </w:tc>
        <w:tc>
          <w:tcPr>
            <w:tcW w:w="2009" w:type="dxa"/>
            <w:gridSpan w:val="2"/>
            <w:tcBorders>
              <w:top w:val="nil"/>
              <w:left w:val="nil"/>
              <w:bottom w:val="nil"/>
              <w:right w:val="nil"/>
            </w:tcBorders>
            <w:shd w:val="clear" w:color="000000" w:fill="FFFFFF"/>
            <w:noWrap/>
            <w:vAlign w:val="bottom"/>
            <w:hideMark/>
          </w:tcPr>
          <w:p w14:paraId="1B642083"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11.98</w:t>
            </w:r>
          </w:p>
        </w:tc>
        <w:tc>
          <w:tcPr>
            <w:tcW w:w="2664" w:type="dxa"/>
            <w:gridSpan w:val="2"/>
            <w:tcBorders>
              <w:top w:val="nil"/>
              <w:left w:val="nil"/>
              <w:bottom w:val="nil"/>
              <w:right w:val="nil"/>
            </w:tcBorders>
            <w:shd w:val="clear" w:color="000000" w:fill="FFFFFF"/>
            <w:noWrap/>
            <w:vAlign w:val="bottom"/>
            <w:hideMark/>
          </w:tcPr>
          <w:p w14:paraId="6B400446"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11F0E499"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4BF7514C" w14:textId="77777777" w:rsidTr="004C6C21">
        <w:trPr>
          <w:trHeight w:val="360"/>
        </w:trPr>
        <w:tc>
          <w:tcPr>
            <w:tcW w:w="1618" w:type="dxa"/>
            <w:tcBorders>
              <w:top w:val="nil"/>
              <w:left w:val="nil"/>
              <w:bottom w:val="nil"/>
              <w:right w:val="nil"/>
            </w:tcBorders>
            <w:shd w:val="clear" w:color="000000" w:fill="FFFFFF"/>
            <w:noWrap/>
            <w:vAlign w:val="bottom"/>
            <w:hideMark/>
          </w:tcPr>
          <w:p w14:paraId="4C6BC5F7"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5D966A5F"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10_pk</w:t>
            </w:r>
          </w:p>
        </w:tc>
        <w:tc>
          <w:tcPr>
            <w:tcW w:w="791" w:type="dxa"/>
            <w:tcBorders>
              <w:top w:val="nil"/>
              <w:left w:val="nil"/>
              <w:bottom w:val="nil"/>
              <w:right w:val="nil"/>
            </w:tcBorders>
            <w:shd w:val="clear" w:color="000000" w:fill="FFFFFF"/>
            <w:noWrap/>
            <w:vAlign w:val="bottom"/>
            <w:hideMark/>
          </w:tcPr>
          <w:p w14:paraId="6E7BAFF3"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782</w:t>
            </w:r>
          </w:p>
        </w:tc>
        <w:tc>
          <w:tcPr>
            <w:tcW w:w="2009" w:type="dxa"/>
            <w:gridSpan w:val="2"/>
            <w:tcBorders>
              <w:top w:val="nil"/>
              <w:left w:val="nil"/>
              <w:bottom w:val="nil"/>
              <w:right w:val="nil"/>
            </w:tcBorders>
            <w:shd w:val="clear" w:color="000000" w:fill="FFFFFF"/>
            <w:noWrap/>
            <w:vAlign w:val="bottom"/>
            <w:hideMark/>
          </w:tcPr>
          <w:p w14:paraId="1A19FDA2"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10.62</w:t>
            </w:r>
          </w:p>
        </w:tc>
        <w:tc>
          <w:tcPr>
            <w:tcW w:w="2664" w:type="dxa"/>
            <w:gridSpan w:val="2"/>
            <w:tcBorders>
              <w:top w:val="nil"/>
              <w:left w:val="nil"/>
              <w:bottom w:val="nil"/>
              <w:right w:val="nil"/>
            </w:tcBorders>
            <w:shd w:val="clear" w:color="000000" w:fill="FFFFFF"/>
            <w:noWrap/>
            <w:vAlign w:val="bottom"/>
            <w:hideMark/>
          </w:tcPr>
          <w:p w14:paraId="7223E92B"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66B51519"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1D3281C7" w14:textId="77777777" w:rsidTr="004C6C21">
        <w:trPr>
          <w:trHeight w:val="360"/>
        </w:trPr>
        <w:tc>
          <w:tcPr>
            <w:tcW w:w="1618" w:type="dxa"/>
            <w:tcBorders>
              <w:top w:val="nil"/>
              <w:left w:val="nil"/>
              <w:bottom w:val="nil"/>
              <w:right w:val="nil"/>
            </w:tcBorders>
            <w:shd w:val="clear" w:color="000000" w:fill="FFFFFF"/>
            <w:noWrap/>
            <w:vAlign w:val="bottom"/>
            <w:hideMark/>
          </w:tcPr>
          <w:p w14:paraId="69F6BC0E"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3999510F"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20_on</w:t>
            </w:r>
          </w:p>
        </w:tc>
        <w:tc>
          <w:tcPr>
            <w:tcW w:w="791" w:type="dxa"/>
            <w:tcBorders>
              <w:top w:val="nil"/>
              <w:left w:val="nil"/>
              <w:bottom w:val="nil"/>
              <w:right w:val="nil"/>
            </w:tcBorders>
            <w:shd w:val="clear" w:color="000000" w:fill="FFFFFF"/>
            <w:noWrap/>
            <w:vAlign w:val="bottom"/>
            <w:hideMark/>
          </w:tcPr>
          <w:p w14:paraId="49C77C79"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747</w:t>
            </w:r>
          </w:p>
        </w:tc>
        <w:tc>
          <w:tcPr>
            <w:tcW w:w="2009" w:type="dxa"/>
            <w:gridSpan w:val="2"/>
            <w:tcBorders>
              <w:top w:val="nil"/>
              <w:left w:val="nil"/>
              <w:bottom w:val="nil"/>
              <w:right w:val="nil"/>
            </w:tcBorders>
            <w:shd w:val="clear" w:color="000000" w:fill="FFFFFF"/>
            <w:noWrap/>
            <w:vAlign w:val="bottom"/>
            <w:hideMark/>
          </w:tcPr>
          <w:p w14:paraId="04FF0780"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11.68</w:t>
            </w:r>
          </w:p>
        </w:tc>
        <w:tc>
          <w:tcPr>
            <w:tcW w:w="2664" w:type="dxa"/>
            <w:gridSpan w:val="2"/>
            <w:tcBorders>
              <w:top w:val="nil"/>
              <w:left w:val="nil"/>
              <w:bottom w:val="nil"/>
              <w:right w:val="nil"/>
            </w:tcBorders>
            <w:shd w:val="clear" w:color="000000" w:fill="FFFFFF"/>
            <w:noWrap/>
            <w:vAlign w:val="bottom"/>
            <w:hideMark/>
          </w:tcPr>
          <w:p w14:paraId="46CF6F4C"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1EEDA07C"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55F6BD7C" w14:textId="77777777" w:rsidTr="004C6C21">
        <w:trPr>
          <w:trHeight w:val="360"/>
        </w:trPr>
        <w:tc>
          <w:tcPr>
            <w:tcW w:w="1618" w:type="dxa"/>
            <w:tcBorders>
              <w:top w:val="nil"/>
              <w:left w:val="nil"/>
              <w:bottom w:val="nil"/>
              <w:right w:val="nil"/>
            </w:tcBorders>
            <w:shd w:val="clear" w:color="000000" w:fill="FFFFFF"/>
            <w:noWrap/>
            <w:vAlign w:val="bottom"/>
            <w:hideMark/>
          </w:tcPr>
          <w:p w14:paraId="35A962C5"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3E3EF13D"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C-DSC</w:t>
            </w:r>
            <w:r w:rsidRPr="004C6C21">
              <w:rPr>
                <w:rFonts w:eastAsia="Times New Roman" w:cs="Times New Roman"/>
                <w:szCs w:val="24"/>
                <w:vertAlign w:val="subscript"/>
              </w:rPr>
              <w:t>20_pk</w:t>
            </w:r>
          </w:p>
        </w:tc>
        <w:tc>
          <w:tcPr>
            <w:tcW w:w="791" w:type="dxa"/>
            <w:tcBorders>
              <w:top w:val="nil"/>
              <w:left w:val="nil"/>
              <w:bottom w:val="nil"/>
              <w:right w:val="nil"/>
            </w:tcBorders>
            <w:shd w:val="clear" w:color="000000" w:fill="FFFFFF"/>
            <w:noWrap/>
            <w:vAlign w:val="bottom"/>
            <w:hideMark/>
          </w:tcPr>
          <w:p w14:paraId="0FB98A8E"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792</w:t>
            </w:r>
          </w:p>
        </w:tc>
        <w:tc>
          <w:tcPr>
            <w:tcW w:w="2009" w:type="dxa"/>
            <w:gridSpan w:val="2"/>
            <w:tcBorders>
              <w:top w:val="nil"/>
              <w:left w:val="nil"/>
              <w:bottom w:val="nil"/>
              <w:right w:val="nil"/>
            </w:tcBorders>
            <w:shd w:val="clear" w:color="000000" w:fill="FFFFFF"/>
            <w:noWrap/>
            <w:vAlign w:val="bottom"/>
            <w:hideMark/>
          </w:tcPr>
          <w:p w14:paraId="5C051172"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10.32</w:t>
            </w:r>
          </w:p>
        </w:tc>
        <w:tc>
          <w:tcPr>
            <w:tcW w:w="2664" w:type="dxa"/>
            <w:gridSpan w:val="2"/>
            <w:tcBorders>
              <w:top w:val="nil"/>
              <w:left w:val="nil"/>
              <w:bottom w:val="nil"/>
              <w:right w:val="nil"/>
            </w:tcBorders>
            <w:shd w:val="clear" w:color="000000" w:fill="FFFFFF"/>
            <w:noWrap/>
            <w:vAlign w:val="bottom"/>
            <w:hideMark/>
          </w:tcPr>
          <w:p w14:paraId="497B3488"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169B1163"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715C59D0" w14:textId="77777777" w:rsidTr="004C6C21">
        <w:trPr>
          <w:trHeight w:val="360"/>
        </w:trPr>
        <w:tc>
          <w:tcPr>
            <w:tcW w:w="1618" w:type="dxa"/>
            <w:tcBorders>
              <w:top w:val="nil"/>
              <w:left w:val="nil"/>
              <w:bottom w:val="nil"/>
              <w:right w:val="nil"/>
            </w:tcBorders>
            <w:shd w:val="clear" w:color="000000" w:fill="FFFFFF"/>
            <w:noWrap/>
            <w:vAlign w:val="bottom"/>
            <w:hideMark/>
          </w:tcPr>
          <w:p w14:paraId="75D01290"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4A651A52"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MP</w:t>
            </w:r>
            <w:r w:rsidRPr="004C6C21">
              <w:rPr>
                <w:rFonts w:eastAsia="Times New Roman" w:cs="Times New Roman"/>
                <w:szCs w:val="24"/>
                <w:vertAlign w:val="subscript"/>
              </w:rPr>
              <w:t>792</w:t>
            </w:r>
          </w:p>
        </w:tc>
        <w:tc>
          <w:tcPr>
            <w:tcW w:w="791" w:type="dxa"/>
            <w:tcBorders>
              <w:top w:val="nil"/>
              <w:left w:val="nil"/>
              <w:bottom w:val="nil"/>
              <w:right w:val="nil"/>
            </w:tcBorders>
            <w:shd w:val="clear" w:color="000000" w:fill="FFFFFF"/>
            <w:noWrap/>
            <w:vAlign w:val="bottom"/>
            <w:hideMark/>
          </w:tcPr>
          <w:p w14:paraId="23AF86F2"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792</w:t>
            </w:r>
          </w:p>
        </w:tc>
        <w:tc>
          <w:tcPr>
            <w:tcW w:w="2009" w:type="dxa"/>
            <w:gridSpan w:val="2"/>
            <w:tcBorders>
              <w:top w:val="nil"/>
              <w:left w:val="nil"/>
              <w:bottom w:val="nil"/>
              <w:right w:val="nil"/>
            </w:tcBorders>
            <w:shd w:val="clear" w:color="000000" w:fill="FFFFFF"/>
            <w:noWrap/>
            <w:vAlign w:val="bottom"/>
            <w:hideMark/>
          </w:tcPr>
          <w:p w14:paraId="1FD8AC83"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10.43</w:t>
            </w:r>
          </w:p>
        </w:tc>
        <w:tc>
          <w:tcPr>
            <w:tcW w:w="2664" w:type="dxa"/>
            <w:gridSpan w:val="2"/>
            <w:tcBorders>
              <w:top w:val="nil"/>
              <w:left w:val="nil"/>
              <w:bottom w:val="nil"/>
              <w:right w:val="nil"/>
            </w:tcBorders>
            <w:shd w:val="clear" w:color="000000" w:fill="FFFFFF"/>
            <w:noWrap/>
            <w:vAlign w:val="bottom"/>
            <w:hideMark/>
          </w:tcPr>
          <w:p w14:paraId="565ED2B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0EC68801"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6458719E" w14:textId="77777777" w:rsidTr="004C6C21">
        <w:trPr>
          <w:trHeight w:val="360"/>
        </w:trPr>
        <w:tc>
          <w:tcPr>
            <w:tcW w:w="1618" w:type="dxa"/>
            <w:tcBorders>
              <w:top w:val="nil"/>
              <w:left w:val="nil"/>
              <w:bottom w:val="nil"/>
              <w:right w:val="nil"/>
            </w:tcBorders>
            <w:shd w:val="clear" w:color="000000" w:fill="FFFFFF"/>
            <w:noWrap/>
            <w:vAlign w:val="bottom"/>
            <w:hideMark/>
          </w:tcPr>
          <w:p w14:paraId="7EEE7D64"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1E4D56D9"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CC</w:t>
            </w:r>
          </w:p>
        </w:tc>
        <w:tc>
          <w:tcPr>
            <w:tcW w:w="791" w:type="dxa"/>
            <w:tcBorders>
              <w:top w:val="nil"/>
              <w:left w:val="nil"/>
              <w:bottom w:val="nil"/>
              <w:right w:val="nil"/>
            </w:tcBorders>
            <w:shd w:val="clear" w:color="000000" w:fill="FFFFFF"/>
            <w:noWrap/>
            <w:vAlign w:val="bottom"/>
            <w:hideMark/>
          </w:tcPr>
          <w:p w14:paraId="18097D81"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1404</w:t>
            </w:r>
          </w:p>
        </w:tc>
        <w:tc>
          <w:tcPr>
            <w:tcW w:w="2009" w:type="dxa"/>
            <w:gridSpan w:val="2"/>
            <w:tcBorders>
              <w:top w:val="nil"/>
              <w:left w:val="nil"/>
              <w:bottom w:val="nil"/>
              <w:right w:val="nil"/>
            </w:tcBorders>
            <w:shd w:val="clear" w:color="000000" w:fill="FFFFFF"/>
            <w:noWrap/>
            <w:vAlign w:val="bottom"/>
            <w:hideMark/>
          </w:tcPr>
          <w:p w14:paraId="3F2079F5"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2.82</w:t>
            </w:r>
          </w:p>
        </w:tc>
        <w:tc>
          <w:tcPr>
            <w:tcW w:w="2664" w:type="dxa"/>
            <w:gridSpan w:val="2"/>
            <w:tcBorders>
              <w:top w:val="nil"/>
              <w:left w:val="nil"/>
              <w:bottom w:val="nil"/>
              <w:right w:val="nil"/>
            </w:tcBorders>
            <w:shd w:val="clear" w:color="000000" w:fill="FFFFFF"/>
            <w:noWrap/>
            <w:vAlign w:val="bottom"/>
            <w:hideMark/>
          </w:tcPr>
          <w:p w14:paraId="5BF3796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2685569C"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2540583A" w14:textId="77777777" w:rsidTr="004C6C21">
        <w:trPr>
          <w:trHeight w:val="360"/>
        </w:trPr>
        <w:tc>
          <w:tcPr>
            <w:tcW w:w="1618" w:type="dxa"/>
            <w:tcBorders>
              <w:top w:val="nil"/>
              <w:left w:val="nil"/>
              <w:bottom w:val="nil"/>
              <w:right w:val="nil"/>
            </w:tcBorders>
            <w:shd w:val="clear" w:color="000000" w:fill="FFFFFF"/>
            <w:noWrap/>
            <w:vAlign w:val="bottom"/>
            <w:hideMark/>
          </w:tcPr>
          <w:p w14:paraId="300B9729"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lastRenderedPageBreak/>
              <w:t> </w:t>
            </w:r>
          </w:p>
        </w:tc>
        <w:tc>
          <w:tcPr>
            <w:tcW w:w="2056" w:type="dxa"/>
            <w:tcBorders>
              <w:top w:val="nil"/>
              <w:left w:val="nil"/>
              <w:bottom w:val="nil"/>
              <w:right w:val="nil"/>
            </w:tcBorders>
            <w:shd w:val="clear" w:color="000000" w:fill="FFFFFF"/>
            <w:noWrap/>
            <w:vAlign w:val="bottom"/>
            <w:hideMark/>
          </w:tcPr>
          <w:p w14:paraId="47B2D4CA"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CC</w:t>
            </w:r>
          </w:p>
        </w:tc>
        <w:tc>
          <w:tcPr>
            <w:tcW w:w="791" w:type="dxa"/>
            <w:tcBorders>
              <w:top w:val="nil"/>
              <w:left w:val="nil"/>
              <w:bottom w:val="nil"/>
              <w:right w:val="nil"/>
            </w:tcBorders>
            <w:shd w:val="clear" w:color="000000" w:fill="FFFFFF"/>
            <w:noWrap/>
            <w:vAlign w:val="bottom"/>
            <w:hideMark/>
          </w:tcPr>
          <w:p w14:paraId="329A1B81"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1355</w:t>
            </w:r>
          </w:p>
        </w:tc>
        <w:tc>
          <w:tcPr>
            <w:tcW w:w="2009" w:type="dxa"/>
            <w:gridSpan w:val="2"/>
            <w:tcBorders>
              <w:top w:val="nil"/>
              <w:left w:val="nil"/>
              <w:bottom w:val="nil"/>
              <w:right w:val="nil"/>
            </w:tcBorders>
            <w:shd w:val="clear" w:color="000000" w:fill="FFFFFF"/>
            <w:noWrap/>
            <w:vAlign w:val="bottom"/>
            <w:hideMark/>
          </w:tcPr>
          <w:p w14:paraId="5D1E00B3"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3.11</w:t>
            </w:r>
          </w:p>
        </w:tc>
        <w:tc>
          <w:tcPr>
            <w:tcW w:w="2664" w:type="dxa"/>
            <w:gridSpan w:val="2"/>
            <w:tcBorders>
              <w:top w:val="nil"/>
              <w:left w:val="nil"/>
              <w:bottom w:val="nil"/>
              <w:right w:val="nil"/>
            </w:tcBorders>
            <w:shd w:val="clear" w:color="000000" w:fill="FFFFFF"/>
            <w:noWrap/>
            <w:vAlign w:val="bottom"/>
            <w:hideMark/>
          </w:tcPr>
          <w:p w14:paraId="630DAEE3"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1EFB2ED5"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74A81DE8" w14:textId="77777777" w:rsidTr="004C6C21">
        <w:trPr>
          <w:trHeight w:val="360"/>
        </w:trPr>
        <w:tc>
          <w:tcPr>
            <w:tcW w:w="1618" w:type="dxa"/>
            <w:tcBorders>
              <w:top w:val="nil"/>
              <w:left w:val="nil"/>
              <w:bottom w:val="nil"/>
              <w:right w:val="nil"/>
            </w:tcBorders>
            <w:shd w:val="clear" w:color="000000" w:fill="FFFFFF"/>
            <w:noWrap/>
            <w:vAlign w:val="bottom"/>
            <w:hideMark/>
          </w:tcPr>
          <w:p w14:paraId="30858169"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0CC278E8"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CC</w:t>
            </w:r>
          </w:p>
        </w:tc>
        <w:tc>
          <w:tcPr>
            <w:tcW w:w="791" w:type="dxa"/>
            <w:tcBorders>
              <w:top w:val="nil"/>
              <w:left w:val="nil"/>
              <w:bottom w:val="nil"/>
              <w:right w:val="nil"/>
            </w:tcBorders>
            <w:shd w:val="clear" w:color="000000" w:fill="FFFFFF"/>
            <w:noWrap/>
            <w:vAlign w:val="bottom"/>
            <w:hideMark/>
          </w:tcPr>
          <w:p w14:paraId="1BA51501"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1307</w:t>
            </w:r>
          </w:p>
        </w:tc>
        <w:tc>
          <w:tcPr>
            <w:tcW w:w="2009" w:type="dxa"/>
            <w:gridSpan w:val="2"/>
            <w:tcBorders>
              <w:top w:val="nil"/>
              <w:left w:val="nil"/>
              <w:bottom w:val="nil"/>
              <w:right w:val="nil"/>
            </w:tcBorders>
            <w:shd w:val="clear" w:color="000000" w:fill="FFFFFF"/>
            <w:noWrap/>
            <w:vAlign w:val="bottom"/>
            <w:hideMark/>
          </w:tcPr>
          <w:p w14:paraId="27238E19"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3.43</w:t>
            </w:r>
          </w:p>
        </w:tc>
        <w:tc>
          <w:tcPr>
            <w:tcW w:w="2664" w:type="dxa"/>
            <w:gridSpan w:val="2"/>
            <w:tcBorders>
              <w:top w:val="nil"/>
              <w:left w:val="nil"/>
              <w:bottom w:val="nil"/>
              <w:right w:val="nil"/>
            </w:tcBorders>
            <w:shd w:val="clear" w:color="000000" w:fill="FFFFFF"/>
            <w:noWrap/>
            <w:vAlign w:val="bottom"/>
            <w:hideMark/>
          </w:tcPr>
          <w:p w14:paraId="1A0F1A8B"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507A0895"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1CEC442C" w14:textId="77777777" w:rsidTr="004C6C21">
        <w:trPr>
          <w:trHeight w:val="360"/>
        </w:trPr>
        <w:tc>
          <w:tcPr>
            <w:tcW w:w="1618" w:type="dxa"/>
            <w:tcBorders>
              <w:top w:val="nil"/>
              <w:left w:val="nil"/>
              <w:bottom w:val="nil"/>
              <w:right w:val="nil"/>
            </w:tcBorders>
            <w:shd w:val="clear" w:color="000000" w:fill="FFFFFF"/>
            <w:noWrap/>
            <w:vAlign w:val="bottom"/>
            <w:hideMark/>
          </w:tcPr>
          <w:p w14:paraId="70904F0E"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6B35BD00"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CC</w:t>
            </w:r>
          </w:p>
        </w:tc>
        <w:tc>
          <w:tcPr>
            <w:tcW w:w="791" w:type="dxa"/>
            <w:tcBorders>
              <w:top w:val="nil"/>
              <w:left w:val="nil"/>
              <w:bottom w:val="nil"/>
              <w:right w:val="nil"/>
            </w:tcBorders>
            <w:shd w:val="clear" w:color="000000" w:fill="FFFFFF"/>
            <w:noWrap/>
            <w:vAlign w:val="bottom"/>
            <w:hideMark/>
          </w:tcPr>
          <w:p w14:paraId="07A09F04"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1256</w:t>
            </w:r>
          </w:p>
        </w:tc>
        <w:tc>
          <w:tcPr>
            <w:tcW w:w="2009" w:type="dxa"/>
            <w:gridSpan w:val="2"/>
            <w:tcBorders>
              <w:top w:val="nil"/>
              <w:left w:val="nil"/>
              <w:bottom w:val="nil"/>
              <w:right w:val="nil"/>
            </w:tcBorders>
            <w:shd w:val="clear" w:color="000000" w:fill="FFFFFF"/>
            <w:noWrap/>
            <w:vAlign w:val="bottom"/>
            <w:hideMark/>
          </w:tcPr>
          <w:p w14:paraId="3801133A"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3.79</w:t>
            </w:r>
          </w:p>
        </w:tc>
        <w:tc>
          <w:tcPr>
            <w:tcW w:w="2664" w:type="dxa"/>
            <w:gridSpan w:val="2"/>
            <w:tcBorders>
              <w:top w:val="nil"/>
              <w:left w:val="nil"/>
              <w:bottom w:val="nil"/>
              <w:right w:val="nil"/>
            </w:tcBorders>
            <w:shd w:val="clear" w:color="000000" w:fill="FFFFFF"/>
            <w:noWrap/>
            <w:vAlign w:val="bottom"/>
            <w:hideMark/>
          </w:tcPr>
          <w:p w14:paraId="1C4B6972"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1418F7EF"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2B5509BA" w14:textId="77777777" w:rsidTr="004C6C21">
        <w:trPr>
          <w:trHeight w:val="360"/>
        </w:trPr>
        <w:tc>
          <w:tcPr>
            <w:tcW w:w="1618" w:type="dxa"/>
            <w:tcBorders>
              <w:top w:val="nil"/>
              <w:left w:val="nil"/>
              <w:bottom w:val="nil"/>
              <w:right w:val="nil"/>
            </w:tcBorders>
            <w:shd w:val="clear" w:color="000000" w:fill="FFFFFF"/>
            <w:noWrap/>
            <w:vAlign w:val="bottom"/>
            <w:hideMark/>
          </w:tcPr>
          <w:p w14:paraId="2F00163D"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3161FC3A"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CC</w:t>
            </w:r>
          </w:p>
        </w:tc>
        <w:tc>
          <w:tcPr>
            <w:tcW w:w="791" w:type="dxa"/>
            <w:tcBorders>
              <w:top w:val="nil"/>
              <w:left w:val="nil"/>
              <w:bottom w:val="nil"/>
              <w:right w:val="nil"/>
            </w:tcBorders>
            <w:shd w:val="clear" w:color="000000" w:fill="FFFFFF"/>
            <w:noWrap/>
            <w:vAlign w:val="bottom"/>
            <w:hideMark/>
          </w:tcPr>
          <w:p w14:paraId="1715FD49"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1205</w:t>
            </w:r>
          </w:p>
        </w:tc>
        <w:tc>
          <w:tcPr>
            <w:tcW w:w="2009" w:type="dxa"/>
            <w:gridSpan w:val="2"/>
            <w:tcBorders>
              <w:top w:val="nil"/>
              <w:left w:val="nil"/>
              <w:bottom w:val="nil"/>
              <w:right w:val="nil"/>
            </w:tcBorders>
            <w:shd w:val="clear" w:color="000000" w:fill="FFFFFF"/>
            <w:noWrap/>
            <w:vAlign w:val="bottom"/>
            <w:hideMark/>
          </w:tcPr>
          <w:p w14:paraId="41A2A68C"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4.20</w:t>
            </w:r>
          </w:p>
        </w:tc>
        <w:tc>
          <w:tcPr>
            <w:tcW w:w="2664" w:type="dxa"/>
            <w:gridSpan w:val="2"/>
            <w:tcBorders>
              <w:top w:val="nil"/>
              <w:left w:val="nil"/>
              <w:bottom w:val="nil"/>
              <w:right w:val="nil"/>
            </w:tcBorders>
            <w:shd w:val="clear" w:color="000000" w:fill="FFFFFF"/>
            <w:noWrap/>
            <w:vAlign w:val="bottom"/>
            <w:hideMark/>
          </w:tcPr>
          <w:p w14:paraId="17DC1836"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719990CD"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23944F75" w14:textId="77777777" w:rsidTr="004C6C21">
        <w:trPr>
          <w:trHeight w:val="360"/>
        </w:trPr>
        <w:tc>
          <w:tcPr>
            <w:tcW w:w="1618" w:type="dxa"/>
            <w:tcBorders>
              <w:top w:val="nil"/>
              <w:left w:val="nil"/>
              <w:bottom w:val="nil"/>
              <w:right w:val="nil"/>
            </w:tcBorders>
            <w:shd w:val="clear" w:color="000000" w:fill="FFFFFF"/>
            <w:noWrap/>
            <w:vAlign w:val="bottom"/>
            <w:hideMark/>
          </w:tcPr>
          <w:p w14:paraId="7862E4C8"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04EFC00D"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CC</w:t>
            </w:r>
          </w:p>
        </w:tc>
        <w:tc>
          <w:tcPr>
            <w:tcW w:w="791" w:type="dxa"/>
            <w:tcBorders>
              <w:top w:val="nil"/>
              <w:left w:val="nil"/>
              <w:bottom w:val="nil"/>
              <w:right w:val="nil"/>
            </w:tcBorders>
            <w:shd w:val="clear" w:color="000000" w:fill="FFFFFF"/>
            <w:noWrap/>
            <w:vAlign w:val="bottom"/>
            <w:hideMark/>
          </w:tcPr>
          <w:p w14:paraId="7CA75BB4"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1179</w:t>
            </w:r>
          </w:p>
        </w:tc>
        <w:tc>
          <w:tcPr>
            <w:tcW w:w="2009" w:type="dxa"/>
            <w:gridSpan w:val="2"/>
            <w:tcBorders>
              <w:top w:val="nil"/>
              <w:left w:val="nil"/>
              <w:bottom w:val="nil"/>
              <w:right w:val="nil"/>
            </w:tcBorders>
            <w:shd w:val="clear" w:color="000000" w:fill="FFFFFF"/>
            <w:noWrap/>
            <w:vAlign w:val="bottom"/>
            <w:hideMark/>
          </w:tcPr>
          <w:p w14:paraId="3B76164E"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4.42</w:t>
            </w:r>
          </w:p>
        </w:tc>
        <w:tc>
          <w:tcPr>
            <w:tcW w:w="2664" w:type="dxa"/>
            <w:gridSpan w:val="2"/>
            <w:tcBorders>
              <w:top w:val="nil"/>
              <w:left w:val="nil"/>
              <w:bottom w:val="nil"/>
              <w:right w:val="nil"/>
            </w:tcBorders>
            <w:shd w:val="clear" w:color="000000" w:fill="FFFFFF"/>
            <w:noWrap/>
            <w:vAlign w:val="bottom"/>
            <w:hideMark/>
          </w:tcPr>
          <w:p w14:paraId="3C428960"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5F9CF5F3"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59E15241" w14:textId="77777777" w:rsidTr="004C6C21">
        <w:trPr>
          <w:trHeight w:val="360"/>
        </w:trPr>
        <w:tc>
          <w:tcPr>
            <w:tcW w:w="1618" w:type="dxa"/>
            <w:tcBorders>
              <w:top w:val="nil"/>
              <w:left w:val="nil"/>
              <w:bottom w:val="nil"/>
              <w:right w:val="nil"/>
            </w:tcBorders>
            <w:shd w:val="clear" w:color="000000" w:fill="FFFFFF"/>
            <w:noWrap/>
            <w:vAlign w:val="bottom"/>
            <w:hideMark/>
          </w:tcPr>
          <w:p w14:paraId="0BB90FBA"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nil"/>
              <w:right w:val="nil"/>
            </w:tcBorders>
            <w:shd w:val="clear" w:color="000000" w:fill="FFFFFF"/>
            <w:noWrap/>
            <w:vAlign w:val="bottom"/>
            <w:hideMark/>
          </w:tcPr>
          <w:p w14:paraId="559D0C57"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CC</w:t>
            </w:r>
          </w:p>
        </w:tc>
        <w:tc>
          <w:tcPr>
            <w:tcW w:w="791" w:type="dxa"/>
            <w:tcBorders>
              <w:top w:val="nil"/>
              <w:left w:val="nil"/>
              <w:bottom w:val="nil"/>
              <w:right w:val="nil"/>
            </w:tcBorders>
            <w:shd w:val="clear" w:color="000000" w:fill="FFFFFF"/>
            <w:noWrap/>
            <w:vAlign w:val="bottom"/>
            <w:hideMark/>
          </w:tcPr>
          <w:p w14:paraId="04EF412C"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1154</w:t>
            </w:r>
          </w:p>
        </w:tc>
        <w:tc>
          <w:tcPr>
            <w:tcW w:w="2009" w:type="dxa"/>
            <w:gridSpan w:val="2"/>
            <w:tcBorders>
              <w:top w:val="nil"/>
              <w:left w:val="nil"/>
              <w:bottom w:val="nil"/>
              <w:right w:val="nil"/>
            </w:tcBorders>
            <w:shd w:val="clear" w:color="000000" w:fill="FFFFFF"/>
            <w:noWrap/>
            <w:vAlign w:val="bottom"/>
            <w:hideMark/>
          </w:tcPr>
          <w:p w14:paraId="69A3E71C"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4.65</w:t>
            </w:r>
          </w:p>
        </w:tc>
        <w:tc>
          <w:tcPr>
            <w:tcW w:w="2664" w:type="dxa"/>
            <w:gridSpan w:val="2"/>
            <w:tcBorders>
              <w:top w:val="nil"/>
              <w:left w:val="nil"/>
              <w:bottom w:val="nil"/>
              <w:right w:val="nil"/>
            </w:tcBorders>
            <w:shd w:val="clear" w:color="000000" w:fill="FFFFFF"/>
            <w:noWrap/>
            <w:vAlign w:val="bottom"/>
            <w:hideMark/>
          </w:tcPr>
          <w:p w14:paraId="4FE60ADE"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473BBD7D"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64FC42FE" w14:textId="77777777" w:rsidTr="004C6C21">
        <w:trPr>
          <w:trHeight w:val="360"/>
        </w:trPr>
        <w:tc>
          <w:tcPr>
            <w:tcW w:w="1618" w:type="dxa"/>
            <w:tcBorders>
              <w:top w:val="nil"/>
              <w:left w:val="nil"/>
              <w:bottom w:val="single" w:sz="8" w:space="0" w:color="auto"/>
              <w:right w:val="nil"/>
            </w:tcBorders>
            <w:shd w:val="clear" w:color="000000" w:fill="FFFFFF"/>
            <w:noWrap/>
            <w:vAlign w:val="bottom"/>
            <w:hideMark/>
          </w:tcPr>
          <w:p w14:paraId="341D6C65" w14:textId="77777777"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rPr>
              <w:t> </w:t>
            </w:r>
          </w:p>
        </w:tc>
        <w:tc>
          <w:tcPr>
            <w:tcW w:w="2056" w:type="dxa"/>
            <w:tcBorders>
              <w:top w:val="nil"/>
              <w:left w:val="nil"/>
              <w:bottom w:val="single" w:sz="8" w:space="0" w:color="auto"/>
              <w:right w:val="nil"/>
            </w:tcBorders>
            <w:shd w:val="clear" w:color="000000" w:fill="FFFFFF"/>
            <w:noWrap/>
            <w:vAlign w:val="bottom"/>
            <w:hideMark/>
          </w:tcPr>
          <w:p w14:paraId="67D41DEE" w14:textId="77777777" w:rsidR="004C6C21" w:rsidRPr="004C6C21" w:rsidRDefault="004C6C21" w:rsidP="004C6C21">
            <w:pPr>
              <w:spacing w:line="240" w:lineRule="auto"/>
              <w:jc w:val="left"/>
              <w:rPr>
                <w:rFonts w:eastAsia="Times New Roman" w:cs="Times New Roman"/>
                <w:szCs w:val="24"/>
              </w:rPr>
            </w:pPr>
            <w:r w:rsidRPr="004C6C21">
              <w:rPr>
                <w:rFonts w:eastAsia="Times New Roman" w:cs="Times New Roman"/>
                <w:szCs w:val="24"/>
              </w:rPr>
              <w:t>CC</w:t>
            </w:r>
          </w:p>
        </w:tc>
        <w:tc>
          <w:tcPr>
            <w:tcW w:w="791" w:type="dxa"/>
            <w:tcBorders>
              <w:top w:val="nil"/>
              <w:left w:val="nil"/>
              <w:bottom w:val="single" w:sz="8" w:space="0" w:color="auto"/>
              <w:right w:val="nil"/>
            </w:tcBorders>
            <w:shd w:val="clear" w:color="000000" w:fill="FFFFFF"/>
            <w:noWrap/>
            <w:vAlign w:val="bottom"/>
            <w:hideMark/>
          </w:tcPr>
          <w:p w14:paraId="4F8D18FD"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1130</w:t>
            </w:r>
          </w:p>
        </w:tc>
        <w:tc>
          <w:tcPr>
            <w:tcW w:w="2009" w:type="dxa"/>
            <w:gridSpan w:val="2"/>
            <w:tcBorders>
              <w:top w:val="nil"/>
              <w:left w:val="nil"/>
              <w:bottom w:val="single" w:sz="8" w:space="0" w:color="auto"/>
              <w:right w:val="nil"/>
            </w:tcBorders>
            <w:shd w:val="clear" w:color="000000" w:fill="FFFFFF"/>
            <w:noWrap/>
            <w:vAlign w:val="bottom"/>
            <w:hideMark/>
          </w:tcPr>
          <w:p w14:paraId="73048078"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4.91</w:t>
            </w:r>
          </w:p>
        </w:tc>
        <w:tc>
          <w:tcPr>
            <w:tcW w:w="2664" w:type="dxa"/>
            <w:gridSpan w:val="2"/>
            <w:tcBorders>
              <w:top w:val="nil"/>
              <w:left w:val="nil"/>
              <w:bottom w:val="single" w:sz="8" w:space="0" w:color="auto"/>
              <w:right w:val="nil"/>
            </w:tcBorders>
            <w:shd w:val="clear" w:color="000000" w:fill="FFFFFF"/>
            <w:noWrap/>
            <w:vAlign w:val="bottom"/>
            <w:hideMark/>
          </w:tcPr>
          <w:p w14:paraId="0EC15E47" w14:textId="77777777" w:rsidR="004C6C21" w:rsidRPr="004C6C21" w:rsidRDefault="004C6C21" w:rsidP="004C6C21">
            <w:pPr>
              <w:spacing w:line="240" w:lineRule="auto"/>
              <w:jc w:val="center"/>
              <w:rPr>
                <w:rFonts w:eastAsia="Times New Roman" w:cs="Times New Roman"/>
                <w:color w:val="000000"/>
                <w:szCs w:val="24"/>
              </w:rPr>
            </w:pPr>
            <w:r w:rsidRPr="004C6C21">
              <w:rPr>
                <w:rFonts w:eastAsia="Times New Roman" w:cs="Times New Roman"/>
                <w:color w:val="000000"/>
                <w:szCs w:val="24"/>
              </w:rPr>
              <w:t>-</w:t>
            </w:r>
          </w:p>
        </w:tc>
        <w:tc>
          <w:tcPr>
            <w:tcW w:w="222" w:type="dxa"/>
            <w:vAlign w:val="center"/>
            <w:hideMark/>
          </w:tcPr>
          <w:p w14:paraId="2B4A85D0"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274B3F19" w14:textId="77777777" w:rsidTr="004C6C21">
        <w:trPr>
          <w:trHeight w:val="330"/>
        </w:trPr>
        <w:tc>
          <w:tcPr>
            <w:tcW w:w="9138" w:type="dxa"/>
            <w:gridSpan w:val="7"/>
            <w:vMerge w:val="restart"/>
            <w:tcBorders>
              <w:top w:val="single" w:sz="8" w:space="0" w:color="auto"/>
              <w:left w:val="nil"/>
              <w:bottom w:val="nil"/>
              <w:right w:val="nil"/>
            </w:tcBorders>
            <w:shd w:val="clear" w:color="000000" w:fill="FFFFFF"/>
            <w:hideMark/>
          </w:tcPr>
          <w:p w14:paraId="3CA30096" w14:textId="655D9A11"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vertAlign w:val="superscript"/>
              </w:rPr>
              <w:t>a</w:t>
            </w:r>
            <w:r w:rsidRPr="004C6C21">
              <w:rPr>
                <w:rFonts w:eastAsia="Times New Roman" w:cs="Times New Roman"/>
                <w:color w:val="000000"/>
                <w:szCs w:val="24"/>
              </w:rPr>
              <w:t>C- and F-DSC-type experiments are reported as DSC</w:t>
            </w:r>
            <w:r w:rsidRPr="004C6C21">
              <w:rPr>
                <w:rFonts w:eastAsia="Times New Roman" w:cs="Times New Roman"/>
                <w:color w:val="000000"/>
                <w:szCs w:val="24"/>
                <w:vertAlign w:val="subscript"/>
              </w:rPr>
              <w:t>heating-rate_thermal-event</w:t>
            </w:r>
            <w:r w:rsidRPr="004C6C21">
              <w:rPr>
                <w:rFonts w:eastAsia="Times New Roman" w:cs="Times New Roman"/>
                <w:color w:val="000000"/>
                <w:szCs w:val="24"/>
              </w:rPr>
              <w:t xml:space="preserve"> , with heating rates expressed in °C min</w:t>
            </w:r>
            <w:r w:rsidRPr="004C6C21">
              <w:rPr>
                <w:rFonts w:eastAsia="Times New Roman" w:cs="Times New Roman"/>
                <w:color w:val="000000"/>
                <w:szCs w:val="24"/>
                <w:vertAlign w:val="superscript"/>
              </w:rPr>
              <w:t>-1</w:t>
            </w:r>
            <w:r w:rsidRPr="004C6C21">
              <w:rPr>
                <w:rFonts w:eastAsia="Times New Roman" w:cs="Times New Roman"/>
                <w:color w:val="000000"/>
                <w:szCs w:val="24"/>
              </w:rPr>
              <w:t xml:space="preserve"> and  °C s</w:t>
            </w:r>
            <w:r w:rsidRPr="004C6C21">
              <w:rPr>
                <w:rFonts w:eastAsia="Times New Roman" w:cs="Times New Roman"/>
                <w:color w:val="000000"/>
                <w:szCs w:val="24"/>
                <w:vertAlign w:val="superscript"/>
              </w:rPr>
              <w:t>-1</w:t>
            </w:r>
            <w:r w:rsidRPr="004C6C21">
              <w:rPr>
                <w:rFonts w:eastAsia="Times New Roman" w:cs="Times New Roman"/>
                <w:color w:val="000000"/>
                <w:szCs w:val="24"/>
              </w:rPr>
              <w:t xml:space="preserve">, respectively. Thermal events are identified as on = </w:t>
            </w:r>
            <w:r w:rsidRPr="004C6C21">
              <w:rPr>
                <w:rFonts w:eastAsia="Times New Roman" w:cs="Times New Roman"/>
                <w:i/>
                <w:iCs/>
                <w:color w:val="000000"/>
                <w:szCs w:val="24"/>
              </w:rPr>
              <w:t>T</w:t>
            </w:r>
            <w:r w:rsidRPr="004C6C21">
              <w:rPr>
                <w:rFonts w:eastAsia="Times New Roman" w:cs="Times New Roman"/>
                <w:i/>
                <w:iCs/>
                <w:color w:val="000000"/>
                <w:szCs w:val="24"/>
                <w:vertAlign w:val="subscript"/>
              </w:rPr>
              <w:t>onset</w:t>
            </w:r>
            <w:r w:rsidRPr="004C6C21">
              <w:rPr>
                <w:rFonts w:eastAsia="Times New Roman" w:cs="Times New Roman"/>
                <w:color w:val="000000"/>
                <w:szCs w:val="24"/>
              </w:rPr>
              <w:t xml:space="preserve">  and  pk = </w:t>
            </w:r>
            <w:r w:rsidRPr="004C6C21">
              <w:rPr>
                <w:rFonts w:eastAsia="Times New Roman" w:cs="Times New Roman"/>
                <w:i/>
                <w:iCs/>
                <w:color w:val="000000"/>
                <w:szCs w:val="24"/>
              </w:rPr>
              <w:t>T</w:t>
            </w:r>
            <w:r w:rsidRPr="004C6C21">
              <w:rPr>
                <w:rFonts w:eastAsia="Times New Roman" w:cs="Times New Roman"/>
                <w:i/>
                <w:iCs/>
                <w:color w:val="000000"/>
                <w:szCs w:val="24"/>
                <w:vertAlign w:val="subscript"/>
              </w:rPr>
              <w:t>peak</w:t>
            </w:r>
            <w:r w:rsidRPr="004C6C21">
              <w:rPr>
                <w:rFonts w:eastAsia="Times New Roman" w:cs="Times New Roman"/>
                <w:color w:val="000000"/>
                <w:szCs w:val="24"/>
              </w:rPr>
              <w:t>. F-DSC experiments at 10000 K s</w:t>
            </w:r>
            <w:r w:rsidRPr="004C6C21">
              <w:rPr>
                <w:rFonts w:eastAsia="Times New Roman" w:cs="Times New Roman"/>
                <w:color w:val="000000"/>
                <w:szCs w:val="24"/>
                <w:vertAlign w:val="superscript"/>
              </w:rPr>
              <w:t>-1</w:t>
            </w:r>
            <w:r w:rsidRPr="004C6C21">
              <w:rPr>
                <w:rFonts w:eastAsia="Times New Roman" w:cs="Times New Roman"/>
                <w:color w:val="000000"/>
                <w:szCs w:val="24"/>
              </w:rPr>
              <w:t xml:space="preserve"> are numbered to show their relative positions in the series of measurements. MP data is reported as MP</w:t>
            </w:r>
            <w:r w:rsidRPr="004C6C21">
              <w:rPr>
                <w:rFonts w:eastAsia="Times New Roman" w:cs="Times New Roman"/>
                <w:color w:val="000000"/>
                <w:szCs w:val="24"/>
                <w:vertAlign w:val="subscript"/>
              </w:rPr>
              <w:t>temperature_duration</w:t>
            </w:r>
            <w:r w:rsidRPr="004C6C21">
              <w:rPr>
                <w:rFonts w:eastAsia="Times New Roman" w:cs="Times New Roman"/>
                <w:color w:val="000000"/>
                <w:szCs w:val="24"/>
              </w:rPr>
              <w:t>, with temperature expressed in °C and the duration in minutes.</w:t>
            </w:r>
            <w:r>
              <w:rPr>
                <w:rFonts w:eastAsia="Times New Roman" w:cs="Times New Roman"/>
                <w:color w:val="000000"/>
                <w:szCs w:val="24"/>
                <w:lang w:val="en-GB"/>
              </w:rPr>
              <w:t xml:space="preserve"> (if time is not reported, the measurement remained constant within the experimental time).</w:t>
            </w:r>
          </w:p>
        </w:tc>
        <w:tc>
          <w:tcPr>
            <w:tcW w:w="222" w:type="dxa"/>
            <w:vAlign w:val="center"/>
            <w:hideMark/>
          </w:tcPr>
          <w:p w14:paraId="545A4D10"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002FC04E" w14:textId="77777777" w:rsidTr="004C6C21">
        <w:trPr>
          <w:trHeight w:val="315"/>
        </w:trPr>
        <w:tc>
          <w:tcPr>
            <w:tcW w:w="9138" w:type="dxa"/>
            <w:gridSpan w:val="7"/>
            <w:vMerge/>
            <w:tcBorders>
              <w:top w:val="single" w:sz="8" w:space="0" w:color="auto"/>
              <w:left w:val="nil"/>
              <w:bottom w:val="nil"/>
              <w:right w:val="nil"/>
            </w:tcBorders>
            <w:vAlign w:val="center"/>
            <w:hideMark/>
          </w:tcPr>
          <w:p w14:paraId="0CC06539" w14:textId="77777777" w:rsidR="004C6C21" w:rsidRPr="004C6C21" w:rsidRDefault="004C6C21" w:rsidP="004C6C21">
            <w:pPr>
              <w:spacing w:line="240" w:lineRule="auto"/>
              <w:jc w:val="left"/>
              <w:rPr>
                <w:rFonts w:eastAsia="Times New Roman" w:cs="Times New Roman"/>
                <w:color w:val="000000"/>
                <w:szCs w:val="24"/>
              </w:rPr>
            </w:pPr>
          </w:p>
        </w:tc>
        <w:tc>
          <w:tcPr>
            <w:tcW w:w="222" w:type="dxa"/>
            <w:tcBorders>
              <w:top w:val="nil"/>
              <w:left w:val="nil"/>
              <w:bottom w:val="nil"/>
              <w:right w:val="nil"/>
            </w:tcBorders>
            <w:shd w:val="clear" w:color="auto" w:fill="auto"/>
            <w:noWrap/>
            <w:vAlign w:val="bottom"/>
            <w:hideMark/>
          </w:tcPr>
          <w:p w14:paraId="4BF7E597" w14:textId="77777777" w:rsidR="004C6C21" w:rsidRPr="004C6C21" w:rsidRDefault="004C6C21" w:rsidP="004C6C21">
            <w:pPr>
              <w:spacing w:line="240" w:lineRule="auto"/>
              <w:jc w:val="left"/>
              <w:rPr>
                <w:rFonts w:eastAsia="Times New Roman" w:cs="Times New Roman"/>
                <w:color w:val="000000"/>
                <w:szCs w:val="24"/>
              </w:rPr>
            </w:pPr>
          </w:p>
        </w:tc>
      </w:tr>
      <w:tr w:rsidR="004C6C21" w:rsidRPr="004C6C21" w14:paraId="7BEEDC38" w14:textId="77777777" w:rsidTr="004C6C21">
        <w:trPr>
          <w:trHeight w:val="315"/>
        </w:trPr>
        <w:tc>
          <w:tcPr>
            <w:tcW w:w="9138" w:type="dxa"/>
            <w:gridSpan w:val="7"/>
            <w:vMerge/>
            <w:tcBorders>
              <w:top w:val="single" w:sz="8" w:space="0" w:color="auto"/>
              <w:left w:val="nil"/>
              <w:bottom w:val="nil"/>
              <w:right w:val="nil"/>
            </w:tcBorders>
            <w:vAlign w:val="center"/>
            <w:hideMark/>
          </w:tcPr>
          <w:p w14:paraId="42F119C5" w14:textId="77777777" w:rsidR="004C6C21" w:rsidRPr="004C6C21" w:rsidRDefault="004C6C21" w:rsidP="004C6C21">
            <w:pPr>
              <w:spacing w:line="240" w:lineRule="auto"/>
              <w:jc w:val="left"/>
              <w:rPr>
                <w:rFonts w:eastAsia="Times New Roman" w:cs="Times New Roman"/>
                <w:color w:val="000000"/>
                <w:szCs w:val="24"/>
              </w:rPr>
            </w:pPr>
          </w:p>
        </w:tc>
        <w:tc>
          <w:tcPr>
            <w:tcW w:w="222" w:type="dxa"/>
            <w:tcBorders>
              <w:top w:val="nil"/>
              <w:left w:val="nil"/>
              <w:bottom w:val="nil"/>
              <w:right w:val="nil"/>
            </w:tcBorders>
            <w:shd w:val="clear" w:color="auto" w:fill="auto"/>
            <w:noWrap/>
            <w:vAlign w:val="bottom"/>
            <w:hideMark/>
          </w:tcPr>
          <w:p w14:paraId="36768591"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2801BDC7" w14:textId="77777777" w:rsidTr="004C6C21">
        <w:trPr>
          <w:trHeight w:val="330"/>
        </w:trPr>
        <w:tc>
          <w:tcPr>
            <w:tcW w:w="9138" w:type="dxa"/>
            <w:gridSpan w:val="7"/>
            <w:vMerge/>
            <w:tcBorders>
              <w:top w:val="single" w:sz="8" w:space="0" w:color="auto"/>
              <w:left w:val="nil"/>
              <w:bottom w:val="nil"/>
              <w:right w:val="nil"/>
            </w:tcBorders>
            <w:vAlign w:val="center"/>
            <w:hideMark/>
          </w:tcPr>
          <w:p w14:paraId="15835AAA" w14:textId="77777777" w:rsidR="004C6C21" w:rsidRPr="004C6C21" w:rsidRDefault="004C6C21" w:rsidP="004C6C21">
            <w:pPr>
              <w:spacing w:line="240" w:lineRule="auto"/>
              <w:jc w:val="left"/>
              <w:rPr>
                <w:rFonts w:eastAsia="Times New Roman" w:cs="Times New Roman"/>
                <w:color w:val="000000"/>
                <w:szCs w:val="24"/>
              </w:rPr>
            </w:pPr>
          </w:p>
        </w:tc>
        <w:tc>
          <w:tcPr>
            <w:tcW w:w="222" w:type="dxa"/>
            <w:tcBorders>
              <w:top w:val="nil"/>
              <w:left w:val="nil"/>
              <w:bottom w:val="nil"/>
              <w:right w:val="nil"/>
            </w:tcBorders>
            <w:shd w:val="clear" w:color="auto" w:fill="auto"/>
            <w:noWrap/>
            <w:vAlign w:val="bottom"/>
            <w:hideMark/>
          </w:tcPr>
          <w:p w14:paraId="6B39EB38"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19F82181" w14:textId="77777777" w:rsidTr="004C6C21">
        <w:trPr>
          <w:trHeight w:val="330"/>
        </w:trPr>
        <w:tc>
          <w:tcPr>
            <w:tcW w:w="9138" w:type="dxa"/>
            <w:gridSpan w:val="7"/>
            <w:vMerge/>
            <w:tcBorders>
              <w:top w:val="single" w:sz="8" w:space="0" w:color="auto"/>
              <w:left w:val="nil"/>
              <w:bottom w:val="nil"/>
              <w:right w:val="nil"/>
            </w:tcBorders>
            <w:vAlign w:val="center"/>
            <w:hideMark/>
          </w:tcPr>
          <w:p w14:paraId="65DA4DA3" w14:textId="77777777" w:rsidR="004C6C21" w:rsidRPr="004C6C21" w:rsidRDefault="004C6C21" w:rsidP="004C6C21">
            <w:pPr>
              <w:spacing w:line="240" w:lineRule="auto"/>
              <w:jc w:val="left"/>
              <w:rPr>
                <w:rFonts w:eastAsia="Times New Roman" w:cs="Times New Roman"/>
                <w:color w:val="000000"/>
                <w:szCs w:val="24"/>
              </w:rPr>
            </w:pPr>
          </w:p>
        </w:tc>
        <w:tc>
          <w:tcPr>
            <w:tcW w:w="222" w:type="dxa"/>
            <w:tcBorders>
              <w:top w:val="nil"/>
              <w:left w:val="nil"/>
              <w:bottom w:val="nil"/>
              <w:right w:val="nil"/>
            </w:tcBorders>
            <w:shd w:val="clear" w:color="auto" w:fill="auto"/>
            <w:noWrap/>
            <w:vAlign w:val="bottom"/>
            <w:hideMark/>
          </w:tcPr>
          <w:p w14:paraId="02E157F6"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399E1323" w14:textId="77777777" w:rsidTr="004C6C21">
        <w:trPr>
          <w:trHeight w:val="60"/>
        </w:trPr>
        <w:tc>
          <w:tcPr>
            <w:tcW w:w="9138" w:type="dxa"/>
            <w:gridSpan w:val="7"/>
            <w:vMerge/>
            <w:tcBorders>
              <w:top w:val="single" w:sz="8" w:space="0" w:color="auto"/>
              <w:left w:val="nil"/>
              <w:bottom w:val="nil"/>
              <w:right w:val="nil"/>
            </w:tcBorders>
            <w:vAlign w:val="center"/>
            <w:hideMark/>
          </w:tcPr>
          <w:p w14:paraId="5F2A20FD" w14:textId="77777777" w:rsidR="004C6C21" w:rsidRPr="004C6C21" w:rsidRDefault="004C6C21" w:rsidP="004C6C21">
            <w:pPr>
              <w:spacing w:line="240" w:lineRule="auto"/>
              <w:jc w:val="left"/>
              <w:rPr>
                <w:rFonts w:eastAsia="Times New Roman" w:cs="Times New Roman"/>
                <w:color w:val="000000"/>
                <w:szCs w:val="24"/>
              </w:rPr>
            </w:pPr>
          </w:p>
        </w:tc>
        <w:tc>
          <w:tcPr>
            <w:tcW w:w="222" w:type="dxa"/>
            <w:tcBorders>
              <w:top w:val="nil"/>
              <w:left w:val="nil"/>
              <w:bottom w:val="nil"/>
              <w:right w:val="nil"/>
            </w:tcBorders>
            <w:shd w:val="clear" w:color="auto" w:fill="auto"/>
            <w:noWrap/>
            <w:vAlign w:val="bottom"/>
            <w:hideMark/>
          </w:tcPr>
          <w:p w14:paraId="6E40738E" w14:textId="77777777" w:rsidR="004C6C21" w:rsidRPr="004C6C21" w:rsidRDefault="004C6C21" w:rsidP="004C6C21">
            <w:pPr>
              <w:spacing w:line="240" w:lineRule="auto"/>
              <w:jc w:val="left"/>
              <w:rPr>
                <w:rFonts w:eastAsia="Times New Roman" w:cs="Times New Roman"/>
                <w:sz w:val="20"/>
                <w:szCs w:val="20"/>
              </w:rPr>
            </w:pPr>
          </w:p>
        </w:tc>
      </w:tr>
      <w:tr w:rsidR="004C6C21" w:rsidRPr="004C6C21" w14:paraId="47DFEB33" w14:textId="77777777" w:rsidTr="004C6C21">
        <w:trPr>
          <w:trHeight w:val="1125"/>
        </w:trPr>
        <w:tc>
          <w:tcPr>
            <w:tcW w:w="9138" w:type="dxa"/>
            <w:gridSpan w:val="7"/>
            <w:tcBorders>
              <w:top w:val="nil"/>
              <w:left w:val="nil"/>
              <w:bottom w:val="nil"/>
              <w:right w:val="nil"/>
            </w:tcBorders>
            <w:shd w:val="clear" w:color="000000" w:fill="FFFFFF"/>
            <w:hideMark/>
          </w:tcPr>
          <w:p w14:paraId="0050E5A2" w14:textId="6A229358" w:rsidR="004C6C21" w:rsidRPr="004C6C21" w:rsidRDefault="004C6C21" w:rsidP="004C6C21">
            <w:pPr>
              <w:spacing w:line="240" w:lineRule="auto"/>
              <w:jc w:val="left"/>
              <w:rPr>
                <w:rFonts w:eastAsia="Times New Roman" w:cs="Times New Roman"/>
                <w:color w:val="000000"/>
                <w:szCs w:val="24"/>
              </w:rPr>
            </w:pPr>
            <w:r w:rsidRPr="004C6C21">
              <w:rPr>
                <w:rFonts w:eastAsia="Times New Roman" w:cs="Times New Roman"/>
                <w:color w:val="000000"/>
                <w:szCs w:val="24"/>
                <w:vertAlign w:val="superscript"/>
              </w:rPr>
              <w:t>b</w:t>
            </w:r>
            <w:r w:rsidRPr="004C6C21">
              <w:rPr>
                <w:rFonts w:eastAsia="Times New Roman" w:cs="Times New Roman"/>
                <w:color w:val="000000"/>
                <w:szCs w:val="24"/>
              </w:rPr>
              <w:t>Difference between Fe</w:t>
            </w:r>
            <w:r w:rsidRPr="004C6C21">
              <w:rPr>
                <w:rFonts w:eastAsia="Times New Roman" w:cs="Times New Roman"/>
                <w:color w:val="000000"/>
                <w:szCs w:val="24"/>
                <w:vertAlign w:val="superscript"/>
              </w:rPr>
              <w:t>3+</w:t>
            </w:r>
            <w:r w:rsidRPr="004C6C21">
              <w:rPr>
                <w:rFonts w:eastAsia="Times New Roman" w:cs="Times New Roman"/>
                <w:color w:val="000000"/>
                <w:szCs w:val="24"/>
              </w:rPr>
              <w:t>/∑Fe</w:t>
            </w:r>
            <w:r w:rsidRPr="004C6C21">
              <w:rPr>
                <w:rFonts w:eastAsia="Times New Roman" w:cs="Times New Roman"/>
                <w:color w:val="000000"/>
                <w:szCs w:val="24"/>
                <w:vertAlign w:val="subscript"/>
              </w:rPr>
              <w:t>tot</w:t>
            </w:r>
            <w:r w:rsidRPr="004C6C21">
              <w:rPr>
                <w:rFonts w:eastAsia="Times New Roman" w:cs="Times New Roman"/>
                <w:color w:val="000000"/>
                <w:szCs w:val="24"/>
              </w:rPr>
              <w:t xml:space="preserve"> after measurements and initial conditions from Table 1.</w:t>
            </w:r>
            <w:r w:rsidR="00900B22">
              <w:rPr>
                <w:rFonts w:eastAsia="Times New Roman" w:cs="Times New Roman"/>
                <w:color w:val="000000"/>
                <w:szCs w:val="24"/>
              </w:rPr>
              <w:t xml:space="preserve"> R</w:t>
            </w:r>
            <w:r w:rsidRPr="004C6C21">
              <w:rPr>
                <w:rFonts w:eastAsia="Times New Roman" w:cs="Times New Roman"/>
                <w:color w:val="000000"/>
                <w:szCs w:val="24"/>
              </w:rPr>
              <w:t>atios derived using Mossa software (Prescher et al. 2012).</w:t>
            </w:r>
          </w:p>
        </w:tc>
        <w:tc>
          <w:tcPr>
            <w:tcW w:w="222" w:type="dxa"/>
            <w:vAlign w:val="center"/>
            <w:hideMark/>
          </w:tcPr>
          <w:p w14:paraId="3A862901" w14:textId="77777777" w:rsidR="004C6C21" w:rsidRPr="004C6C21" w:rsidRDefault="004C6C21" w:rsidP="004C6C21">
            <w:pPr>
              <w:spacing w:line="240" w:lineRule="auto"/>
              <w:jc w:val="left"/>
              <w:rPr>
                <w:rFonts w:eastAsia="Times New Roman" w:cs="Times New Roman"/>
                <w:sz w:val="20"/>
                <w:szCs w:val="20"/>
              </w:rPr>
            </w:pPr>
          </w:p>
        </w:tc>
      </w:tr>
    </w:tbl>
    <w:p w14:paraId="779C64C1" w14:textId="77777777" w:rsidR="00EB38F5" w:rsidRPr="00C53ACC" w:rsidRDefault="00EB38F5" w:rsidP="00C97BA2">
      <w:pPr>
        <w:spacing w:line="480" w:lineRule="auto"/>
        <w:ind w:firstLine="720"/>
        <w:rPr>
          <w:rFonts w:cs="Times New Roman"/>
          <w:lang w:val="en-GB"/>
        </w:rPr>
      </w:pPr>
    </w:p>
    <w:p w14:paraId="7288ADFA" w14:textId="283A1ACE" w:rsidR="00C97BA2" w:rsidRPr="00C53ACC" w:rsidRDefault="00C97BA2" w:rsidP="00C97BA2">
      <w:pPr>
        <w:spacing w:line="480" w:lineRule="auto"/>
        <w:ind w:firstLine="720"/>
        <w:rPr>
          <w:rFonts w:cs="Times New Roman"/>
          <w:lang w:val="en-GB"/>
        </w:rPr>
      </w:pPr>
      <w:r w:rsidRPr="00C53ACC">
        <w:rPr>
          <w:rFonts w:cs="Times New Roman"/>
          <w:lang w:val="en-GB"/>
        </w:rPr>
        <w:t xml:space="preserve">Our C-DSC data suggest that </w:t>
      </w:r>
      <w:r w:rsidRPr="00C53ACC">
        <w:rPr>
          <w:rFonts w:cs="Times New Roman"/>
          <w:i/>
          <w:iCs/>
          <w:lang w:val="en-GB"/>
        </w:rPr>
        <w:t>T</w:t>
      </w:r>
      <w:r w:rsidRPr="00C53ACC">
        <w:rPr>
          <w:rFonts w:cs="Times New Roman"/>
          <w:i/>
          <w:iCs/>
          <w:vertAlign w:val="subscript"/>
          <w:lang w:val="en-GB"/>
        </w:rPr>
        <w:t>onset</w:t>
      </w:r>
      <w:r w:rsidRPr="00C53ACC">
        <w:rPr>
          <w:rFonts w:cs="Times New Roman"/>
          <w:lang w:val="en-GB"/>
        </w:rPr>
        <w:t xml:space="preserve"> increase</w:t>
      </w:r>
      <w:r w:rsidR="00791334">
        <w:rPr>
          <w:rFonts w:cs="Times New Roman"/>
          <w:lang w:val="en-GB"/>
        </w:rPr>
        <w:t>s</w:t>
      </w:r>
      <w:r w:rsidRPr="00C53ACC">
        <w:rPr>
          <w:rFonts w:cs="Times New Roman"/>
          <w:lang w:val="en-GB"/>
        </w:rPr>
        <w:t xml:space="preserve"> with increasing SiO</w:t>
      </w:r>
      <w:r w:rsidRPr="00C53ACC">
        <w:rPr>
          <w:rFonts w:cs="Times New Roman"/>
          <w:vertAlign w:val="subscript"/>
          <w:lang w:val="en-GB"/>
        </w:rPr>
        <w:t>2</w:t>
      </w:r>
      <w:r w:rsidRPr="00C53ACC">
        <w:rPr>
          <w:rFonts w:cs="Times New Roman"/>
          <w:lang w:val="en-GB"/>
        </w:rPr>
        <w:t xml:space="preserve"> content and decreasing FeO</w:t>
      </w:r>
      <w:r w:rsidRPr="00C53ACC">
        <w:rPr>
          <w:rFonts w:cs="Times New Roman"/>
          <w:vertAlign w:val="subscript"/>
          <w:lang w:val="en-GB"/>
        </w:rPr>
        <w:t>tot</w:t>
      </w:r>
      <w:r w:rsidRPr="00C53ACC">
        <w:rPr>
          <w:rFonts w:cs="Times New Roman"/>
          <w:lang w:val="en-GB"/>
        </w:rPr>
        <w:t xml:space="preserve"> content (Table </w:t>
      </w:r>
      <w:r w:rsidR="0057288D">
        <w:rPr>
          <w:rFonts w:cs="Times New Roman"/>
          <w:lang w:val="en-GB"/>
        </w:rPr>
        <w:t>S</w:t>
      </w:r>
      <w:r w:rsidRPr="00C53ACC">
        <w:rPr>
          <w:rFonts w:cs="Times New Roman"/>
          <w:lang w:val="en-GB"/>
        </w:rPr>
        <w:t xml:space="preserve">1 and </w:t>
      </w:r>
      <w:r w:rsidR="0057288D">
        <w:rPr>
          <w:rFonts w:cs="Times New Roman"/>
          <w:lang w:val="en-GB"/>
        </w:rPr>
        <w:t>S</w:t>
      </w:r>
      <w:r w:rsidRPr="00C53ACC">
        <w:rPr>
          <w:rFonts w:cs="Times New Roman"/>
          <w:lang w:val="en-GB"/>
        </w:rPr>
        <w:t xml:space="preserve">2). Moreover, at a heating rate of 10 </w:t>
      </w:r>
      <w:r w:rsidR="00C827B8">
        <w:rPr>
          <w:rFonts w:cs="Times New Roman"/>
          <w:lang w:val="en-GB"/>
        </w:rPr>
        <w:t>℃</w:t>
      </w:r>
      <w:r w:rsidRPr="00C53ACC">
        <w:rPr>
          <w:rFonts w:cs="Times New Roman"/>
          <w:lang w:val="en-GB"/>
        </w:rPr>
        <w:t xml:space="preserve"> min</w:t>
      </w:r>
      <w:r w:rsidRPr="00C53ACC">
        <w:rPr>
          <w:rFonts w:cs="Times New Roman"/>
          <w:vertAlign w:val="superscript"/>
          <w:lang w:val="en-GB"/>
        </w:rPr>
        <w:t>-1</w:t>
      </w:r>
      <w:r w:rsidRPr="00C53ACC">
        <w:rPr>
          <w:rFonts w:cs="Times New Roman"/>
          <w:lang w:val="en-GB"/>
        </w:rPr>
        <w:t xml:space="preserve">, we observe that </w:t>
      </w:r>
      <w:r w:rsidRPr="00C53ACC">
        <w:rPr>
          <w:rFonts w:cs="Times New Roman"/>
          <w:i/>
          <w:iCs/>
          <w:lang w:val="en-GB"/>
        </w:rPr>
        <w:t>T</w:t>
      </w:r>
      <w:r w:rsidRPr="00C53ACC">
        <w:rPr>
          <w:rFonts w:cs="Times New Roman"/>
          <w:i/>
          <w:iCs/>
          <w:vertAlign w:val="subscript"/>
          <w:lang w:val="en-GB"/>
        </w:rPr>
        <w:t xml:space="preserve">onset </w:t>
      </w:r>
      <w:r w:rsidRPr="00C53ACC">
        <w:rPr>
          <w:rFonts w:cs="Times New Roman"/>
          <w:lang w:val="en-GB"/>
        </w:rPr>
        <w:t>of isochemical samples (i.e., AND100red, AND100, and AND100ox) increased with increasing initial Fe</w:t>
      </w:r>
      <w:r w:rsidRPr="00C53ACC">
        <w:rPr>
          <w:rFonts w:cs="Times New Roman"/>
          <w:vertAlign w:val="superscript"/>
          <w:lang w:val="en-GB"/>
        </w:rPr>
        <w:t>3+</w:t>
      </w:r>
      <w:r w:rsidRPr="00C53ACC">
        <w:rPr>
          <w:rFonts w:cs="Times New Roman"/>
          <w:lang w:val="en-GB"/>
        </w:rPr>
        <w:t>/∑Fe</w:t>
      </w:r>
      <w:r w:rsidRPr="00C53ACC">
        <w:rPr>
          <w:rFonts w:cs="Times New Roman"/>
          <w:vertAlign w:val="subscript"/>
          <w:lang w:val="en-GB"/>
        </w:rPr>
        <w:t>tot</w:t>
      </w:r>
      <w:r w:rsidRPr="00C53ACC">
        <w:rPr>
          <w:rFonts w:cs="Times New Roman"/>
          <w:lang w:val="en-GB"/>
        </w:rPr>
        <w:t xml:space="preserve">, (Table </w:t>
      </w:r>
      <w:r w:rsidR="0057288D">
        <w:rPr>
          <w:rFonts w:cs="Times New Roman"/>
          <w:lang w:val="en-GB"/>
        </w:rPr>
        <w:t>S</w:t>
      </w:r>
      <w:r w:rsidRPr="00C53ACC">
        <w:rPr>
          <w:rFonts w:cs="Times New Roman"/>
          <w:lang w:val="en-GB"/>
        </w:rPr>
        <w:t xml:space="preserve">1). Nevertheless, we did not observe the same trend when comparing the </w:t>
      </w:r>
      <w:r w:rsidRPr="00C53ACC">
        <w:rPr>
          <w:rFonts w:cs="Times New Roman"/>
          <w:i/>
          <w:iCs/>
          <w:lang w:val="en-GB"/>
        </w:rPr>
        <w:t>T</w:t>
      </w:r>
      <w:r w:rsidRPr="00C53ACC">
        <w:rPr>
          <w:rFonts w:cs="Times New Roman"/>
          <w:i/>
          <w:iCs/>
          <w:vertAlign w:val="subscript"/>
          <w:lang w:val="en-GB"/>
        </w:rPr>
        <w:t xml:space="preserve">peak </w:t>
      </w:r>
      <w:r w:rsidRPr="00C53ACC">
        <w:rPr>
          <w:rFonts w:cs="Times New Roman"/>
          <w:lang w:val="en-GB"/>
        </w:rPr>
        <w:t xml:space="preserve">values of these three samples, as we obtained </w:t>
      </w:r>
      <w:r w:rsidRPr="00C53ACC">
        <w:rPr>
          <w:rFonts w:cs="Times New Roman"/>
          <w:i/>
          <w:iCs/>
          <w:lang w:val="en-GB"/>
        </w:rPr>
        <w:t>T</w:t>
      </w:r>
      <w:r w:rsidRPr="00C53ACC">
        <w:rPr>
          <w:rFonts w:cs="Times New Roman"/>
          <w:i/>
          <w:iCs/>
          <w:vertAlign w:val="subscript"/>
          <w:lang w:val="en-GB"/>
        </w:rPr>
        <w:t>peak</w:t>
      </w:r>
      <w:r w:rsidRPr="00C53ACC">
        <w:rPr>
          <w:rFonts w:cs="Times New Roman"/>
          <w:lang w:val="en-GB"/>
        </w:rPr>
        <w:t xml:space="preserve"> values</w:t>
      </w:r>
      <w:r w:rsidRPr="00C53ACC">
        <w:rPr>
          <w:rFonts w:cs="Times New Roman"/>
          <w:vertAlign w:val="subscript"/>
          <w:lang w:val="en-GB"/>
        </w:rPr>
        <w:t xml:space="preserve"> </w:t>
      </w:r>
      <w:r w:rsidRPr="00C53ACC">
        <w:rPr>
          <w:rFonts w:cs="Times New Roman"/>
          <w:lang w:val="en-GB"/>
        </w:rPr>
        <w:t>of 694, 715 and 702 ℃ for AND100red, AND100, and AND100ox, respectively.</w:t>
      </w:r>
    </w:p>
    <w:p w14:paraId="0087380D" w14:textId="265A0087" w:rsidR="00C97BA2" w:rsidRPr="00C53ACC" w:rsidRDefault="00C97BA2" w:rsidP="00C97BA2">
      <w:pPr>
        <w:spacing w:line="480" w:lineRule="auto"/>
        <w:ind w:firstLine="720"/>
        <w:rPr>
          <w:rFonts w:cs="Times New Roman"/>
          <w:noProof/>
          <w:lang w:val="en-GB"/>
        </w:rPr>
      </w:pPr>
      <w:r w:rsidRPr="00C53ACC">
        <w:rPr>
          <w:rFonts w:cs="Times New Roman"/>
          <w:lang w:val="en-GB"/>
        </w:rPr>
        <w:t xml:space="preserve">To assess potential sample crystallization and/or iron oxidation during the C-DSC heat treatments </w:t>
      </w:r>
      <w:r w:rsidRPr="00C53ACC">
        <w:rPr>
          <w:rFonts w:cs="Times New Roman"/>
          <w:lang w:val="en-GB"/>
        </w:rPr>
        <w:fldChar w:fldCharType="begin" w:fldLock="1"/>
      </w:r>
      <w:r w:rsidR="0002472C">
        <w:rPr>
          <w:rFonts w:cs="Times New Roman"/>
          <w:lang w:val="en-GB"/>
        </w:rPr>
        <w:instrText>ADDIN CSL_CITATION {"citationItems":[{"id":"ITEM-1","itemData":{"DOI":"10.1016/j.chemgeo.2017.10.035","ISSN":"00092541","abstract":"The effect of iron content and iron nanolites on Raman spectra of hydrous geologically-relevant glasses is presented. Current procedures to estimate the water content using Raman spectra were tested to explore potential effects of iron content, its oxidation state, and nanolites on models' reliability. A chemical interval spanning from basalt to rhyolite, including alkali- and iron-rich compositions, with water content up to 5.6 wt% was investigated using two spectrometers. When considering nanolite-free samples, the area of the band at 3550 cm−1 linearly correlates with the sample water content regardless of chemical composition. Using this approach, data were reproduced with a root-mean-square error (RMSE) of ~ 0.15 wt%. Depending on the sample chemistry, water content, and acquisition conditions the laser-induced sample oxidation led to underestimating the water content up to ~ 90% with a long acquisition time (26 min). Normalising the water band region to the silicate band region minimises such a limitation. The area ratio between these bands linearly correlates with the water content and the use of different baseline procedures does not remove the dependence of such a correlation by the iron content and its oxidation state. With this procedure, data were reproduced with a RMSE of ~ 0.16 wt%. For both approaches, the presence of iron nanolites may result in underestimating the water content.","author":[{"dropping-particle":"","family":"Genova","given":"D.","non-dropping-particle":"Di","parse-names":false,"suffix":""},{"dropping-particle":"","family":"Sicola","given":"Stefania","non-dropping-particle":"","parse-names":false,"suffix":""},{"dropping-particle":"","family":"Romano","given":"Claudia","non-dropping-particle":"","parse-names":false,"suffix":""},{"dropping-particle":"","family":"Vona","given":"Alessandro","non-dropping-particle":"","parse-names":false,"suffix":""},{"dropping-particle":"","family":"Fanara","given":"Sara","non-dropping-particle":"","parse-names":false,"suffix":""},{"dropping-particle":"","family":"Spina","given":"Laura","non-dropping-particle":"","parse-names":false,"suffix":""}],"container-title":"Chemical Geology","id":"ITEM-1","issue":"June","issued":{"date-parts":[["2017"]]},"page":"76-86","publisher":"Elsevier","title":"Effect of iron and nanolites on Raman spectra of volcanic glasses: A reassessment of existing strategies to estimate the water content","type":"article-journal","volume":"475"},"uris":["http://www.mendeley.com/documents/?uuid=2742e6fc-4077-4607-b54a-e1a4f7846f8f"]},{"id":"ITEM-2","itemData":{"DOI":"10.1016/j.jnoncrysol.2020.120248","ISSN":"00223093","abstract":"Traditionally depicted as homogeneous materials, manmade and volcanic glasses are often subjected to nanostructuration during demixing and crystallization of their parental melt. While the controlled formation of nanocrystals has been exploited for decades in the industrial production of glass-ceramics to obtain materials with superior properties, nano-heterogeneities have been recently recognized in volcanic products erupted explosively. Here, a multi-pronged approach is adopted to highlight how the emergence of nano-heterogeneities exerts a previously unexplored influence on the viscosity of multicomponent silicate melts. Calorimetry and viscometry provide evidence of how the formation of TiO2- and FeO-bearing nanocrystals increases the effective viscosity of suspensions. Raman spectroscopy and transmission electron microscopy allow the correlation between the increase in viscosity and the degree of sample modification. This study has implications for glass and glass-ceramics manufacturing and for the development of better numerical models of volcanic eruptions, which are key for the operational assessment of volcanic risk.","author":[{"dropping-particle":"","family":"Genova","given":"D.","non-dropping-particle":"Di","parse-names":false,"suffix":""},{"dropping-particle":"","family":"Zandona","given":"A.","non-dropping-particle":"","parse-names":false,"suffix":""},{"dropping-particle":"","family":"Deubener","given":"J.","non-dropping-particle":"","parse-names":false,"suffix":""}],"container-title":"Journal of Non-Crystalline Solids","id":"ITEM-2","issue":"April","issued":{"date-parts":[["2020","10"]]},"page":"120248","publisher":"Elsevier","title":"Unravelling the effect of nano-heterogeneity on the viscosity of silicate melts: Implications for glass manufacturing and volcanic eruptions","type":"article-journal","volume":"545"},"uris":["http://www.mendeley.com/documents/?uuid=6aab638f-9fa1-4ca5-9320-812be977cd0e"]},{"id":"ITEM-3","itemData":{"DOI":"10.1126/sciadv.abb0413","ISSN":"2375-2548","PMID":"32967825","abstract":"This study shows how a few nanometer-sized crystals markedly increase the viscosity of a magma leading to explosive eruptions.","author":[{"dropping-particle":"","family":"Genova","given":"D.","non-dropping-particle":"Di","parse-names":false,"suffix":""},{"dropping-particle":"","family":"Brooker","given":"Richard A","non-dropping-particle":"","parse-names":false,"suffix":""},{"dropping-particle":"","family":"Mader","given":"Heidy M.","non-dropping-particle":"","parse-names":false,"suffix":""},{"dropping-particle":"","family":"Drewitt","given":"James W. E.","non-dropping-particle":"","parse-names":false,"suffix":""},{"dropping-particle":"","family":"Longo","given":"Alessandro","non-dropping-particle":"","parse-names":false,"suffix":""},{"dropping-particle":"","family":"Deubener","given":"Joachim","non-dropping-particle":"","parse-names":false,"suffix":""},{"dropping-particle":"","family":"Neuville","given":"D. R.","non-dropping-particle":"","parse-names":false,"suffix":""},{"dropping-particle":"","family":"Fanara","given":"Sara","non-dropping-particle":"","parse-names":false,"suffix":""},{"dropping-particle":"","family":"Shebanova","given":"Olga","non-dropping-particle":"","parse-names":false,"suffix":""},{"dropping-particle":"","family":"Anzellini","given":"Simone","non-dropping-particle":"","parse-names":false,"suffix":""},{"dropping-particle":"","family":"Arzilli","given":"Fabio","non-dropping-particle":"","parse-names":false,"suffix":""},{"dropping-particle":"","family":"Bamber","given":"Emily C","non-dropping-particle":"","parse-names":false,"suffix":""},{"dropping-particle":"","family":"Hennet","given":"Louis","non-dropping-particle":"","parse-names":false,"suffix":""},{"dropping-particle":"","family":"Spina","given":"Giuseppe","non-dropping-particle":"La","parse-names":false,"suffix":""},{"dropping-particle":"","family":"Miyajima","given":"Nobuyoshi","non-dropping-particle":"","parse-names":false,"suffix":""}],"container-title":"Science Advances","id":"ITEM-3","issue":"39","issued":{"date-parts":[["2020","9","25"]]},"title":"In situ observation of nanolite growth in volcanic melt: A driving force for explosive eruptions","type":"article-journal","volume":"6"},"uris":["http://www.mendeley.com/documents/?uuid=ac265911-5172-4bd3-b80f-528fe2c4c843"]},{"id":"ITEM-4","itemData":{"DOI":"10.1038/s43247-022-00615-2","ISSN":"2662-4435","abstract":"An increasing number of studies are being presented demonstrating that volcanic glasses can be heterogeneous at the nanoscale. These nano-heterogeneities can develop both during viscosity measurements in the laboratory and during magma eruptions. Our multifaceted study identifies here total transition metal oxide content as a crucial compositional factor governing the tendency of basalt melts and glasses towards nanolitization: at both anhydrous and hydrous conditions, an undercooled trachybasalt melt from Mt. Etna readily develops nanocrystals whose formation also hampers viscosity measurements, while a similar but FeO- and TiO 2 -poorer basalt melt from Stromboli proves far more stable at similar conditions. We therefore outline a procedure to reliably derive pure liquid viscosity without the effect of nanocrystals, additionally discussing how subtle compositional differences may contribute to the different eruptive styles of Mt. Etna and Stromboli.","author":[{"dropping-particle":"","family":"Scarani","given":"Alex","non-dropping-particle":"","parse-names":false,"suffix":""},{"dropping-particle":"","family":"Zandonà","given":"Alessio","non-dropping-particle":"","parse-names":false,"suffix":""},{"dropping-particle":"","family":"Fiore","given":"Fabrizio","non-dropping-particle":"Di","parse-names":false,"suffix":""},{"dropping-particle":"","family":"Valdivia","given":"Pedro","non-dropping-particle":"","parse-names":false,"suffix":""},{"dropping-particle":"","family":"Putra","given":"Rizaldi","non-dropping-particle":"","parse-names":false,"suffix":""},{"dropping-particle":"","family":"Miyajima","given":"Nobuyoshi","non-dropping-particle":"","parse-names":false,"suffix":""},{"dropping-particle":"","family":"Bornhöft","given":"Hansjörg","non-dropping-particle":"","parse-names":false,"suffix":""},{"dropping-particle":"","family":"Vona","given":"Alessandro","non-dropping-particle":"","parse-names":false,"suffix":""},{"dropping-particle":"","family":"Deubener","given":"Joachim","non-dropping-particle":"","parse-names":false,"suffix":""},{"dropping-particle":"","family":"Romano","given":"Claudia","non-dropping-particle":"","parse-names":false,"suffix":""},{"dropping-particle":"","family":"Genova","given":"D.","non-dropping-particle":"Di","parse-names":false,"suffix":""},{"dropping-particle":"","family":"Zandona","given":"A.","non-dropping-particle":"","parse-names":false,"suffix":""}],"container-title":"Communications Earth &amp; Environment","id":"ITEM-4","issue":"1","issued":{"date-parts":[["2022","11","18"]]},"page":"284","publisher":"Springer US","title":"A chemical threshold controls nanocrystallization and degassing behaviour in basalt magmas","type":"article-journal","volume":"3"},"uris":["http://www.mendeley.com/documents/?uuid=d663be6f-e1f8-4679-ae88-2dc326577f04"]},{"id":"ITEM-5","itemData":{"DOI":"10.1038/nature24488","ISSN":"14764687","PMID":"29239352","abstract":"The most viscous volcanic melts and the largest explosive eruptions on our planet consist of calcalkaline rhyolites. These eruptions have the potential to influence global climate. The eruptive products are commonly very crystal-poor and highly degassed, yet the magma is mostly stored as crystal mushes containing small amounts of interstitial melt with elevated water content. It is unclear how magma mushes are mobilized to create large batches of eruptible crystal-free magma. Further, rhyolitic eruptions can switch repeatedly between effusive and explosive eruption styles and this transition is difficult to attribute to the rheological effects of water content or crystallinity. Here we measure the viscosity of a series of melts spanning the compositional range of the Yellowstone volcanic system and find that in a narrow compositional zone, melt viscosity increases by up to two orders of magnitude. These viscosity variations are not predicted by current viscosity models and result from melt structure reorganization, as confirmed by Raman spectroscopy. We identify a critical compositional tipping point, independently documented in the global geochemical record of rhyolites, at which rhyolitic melts fluidize or stiffen and that clearly separates effusive from explosive deposits worldwide. This correlation between melt structure, viscosity and eruptive behaviour holds despite the variable water content and other parameters, such as temperature, that are inherent in natural eruptions. Thermodynamic modelling demonstrates how the observed subtle compositional changes that result in fluidization or stiffening of the melt can be induced by crystal growth from the melt or variation in oxygen fugacity. However, the rheological effects of water and crystal content alone cannot explain the correlation between composition and eruptive style. We conclude that the composition of calcalkaline rhyolites is decisive in determining the mobilization and eruption dynamics of Earth's largest volcanic systems, resulting in a better understanding of how the melt structure controls volcanic processes.","author":[{"dropping-particle":"","family":"Genova","given":"D.","non-dropping-particle":"Di","parse-names":false,"suffix":""},{"dropping-particle":"","family":"Kolzenburg","given":"S.","non-dropping-particle":"","parse-names":false,"suffix":""},{"dropping-particle":"","family":"Wiesmaier","given":"S.","non-dropping-particle":"","parse-names":false,"suffix":""},{"dropping-particle":"","family":"Dallanave","given":"E.","non-dropping-particle":"","parse-names":false,"suffix":""},{"dropping-particle":"","family":"Neuville","given":"D. R.","non-dropping-particle":"","parse-names":false,"suffix":""},{"dropping-particle":"","family":"Hess","given":"K. U.","non-dropping-particle":"","parse-names":false,"suffix":""},{"dropping-particle":"","family":"Dingwell","given":"D. B.","non-dropping-particle":"","parse-names":false,"suffix":""}],"container-title":"Nature","id":"ITEM-5","issue":"7684","issued":{"date-parts":[["2017","12","14"]]},"page":"235-238","publisher":"Nature Publishing Group","title":"A compositional tipping point governing the mobilization and eruption style of rhyolitic magma","type":"article-journal","volume":"552"},"uris":["http://www.mendeley.com/documents/?uuid=bd4c54b3-73b6-47e1-9789-2a66b3d5f2f2"]},{"id":"ITEM-6","itemData":{"DOI":"10.1007/s00410-023-02024-w","ISBN":"0123456789","ISSN":"0010-7999","abstract":"Melt viscosity is one of the most critical physical properties controlling magma transport dynamics and eruptive style. Although viscosity measurements are widely used to study and model the flow behavior of magmas, recent research has revealed that nanocrystallization of Fe–Ti-oxides can compromise the reliability of viscosity data. This phenomenon can occur during laboratory measurements around the glass transition temperature ( T g ) and lead to the depletion of iron and titanium in the residual melt phase, with a significant increase in viscosity. Accurate viscosity measurements play a crucial role in determining the reliability of empirical models for magma viscosity, which are used to evaluate eruptive scenarios in hazardous areas. Here, we quantify the reliability of empirical models by elaborating a new viscosity model of Stromboli basalt that relies exclusively on viscosity data obtained from nanocrystal-free samples. We show that empirical models so far used to estimate melt viscosity at eruptive conditions overestimate Stromboli viscosity by a factor ranging between 2 and 5. In the context of numerical modelling of magmatic processes at Stromboli volcano, we analyse and interpret this finding. Based on our findings, we draw the conclusion that Stromboli basalt is anticipated to ascend from the storage area to the vent at a faster rate than previously hypothesized.","author":[{"dropping-particle":"","family":"Valdivia","given":"Pedro","non-dropping-particle":"","parse-names":false,"suffix":""},{"dropping-particle":"","family":"Zandonà","given":"Alessio","non-dropping-particle":"","parse-names":false,"suffix":""},{"dropping-particle":"","family":"Kurnosov","given":"Alexander","non-dropping-particle":"","parse-names":false,"suffix":""},{"dropping-particle":"","family":"Ballaran","given":"Tiziana Boffa","non-dropping-particle":"","parse-names":false,"suffix":""},{"dropping-particle":"","family":"Deubener","given":"Joachim","non-dropping-particle":"","parse-names":false,"suffix":""},{"dropping-particle":"","family":"Genova","given":"Danilo","non-dropping-particle":"Di","parse-names":false,"suffix":""}],"container-title":"Contributions to Mineralogy and Petrology","id":"ITEM-6","issue":"7","issued":{"date-parts":[["2023","7","26"]]},"page":"45","publisher":"Springer Berlin Heidelberg","title":"Are volcanic melts less viscous than we thought? The case of Stromboli basalt","type":"article-journal","volume":"178"},"uris":["http://www.mendeley.com/documents/?uuid=7eaf5bd5-c344-4572-b407-09255c15b8db"]}],"mendeley":{"formattedCitation":"&lt;sup&gt;10–12,15–17&lt;/sup&gt;","plainTextFormattedCitation":"10–12,15–17","previouslyFormattedCitation":"&lt;sup&gt;10–12,15–17&lt;/sup&gt;"},"properties":{"noteIndex":0},"schema":"https://github.com/citation-style-language/schema/raw/master/csl-citation.json"}</w:instrText>
      </w:r>
      <w:r w:rsidRPr="00C53ACC">
        <w:rPr>
          <w:rFonts w:cs="Times New Roman"/>
          <w:lang w:val="en-GB"/>
        </w:rPr>
        <w:fldChar w:fldCharType="separate"/>
      </w:r>
      <w:r w:rsidR="0002472C" w:rsidRPr="0002472C">
        <w:rPr>
          <w:rFonts w:cs="Times New Roman"/>
          <w:noProof/>
          <w:vertAlign w:val="superscript"/>
          <w:lang w:val="en-GB"/>
        </w:rPr>
        <w:t>10–12,15–17</w:t>
      </w:r>
      <w:r w:rsidRPr="00C53ACC">
        <w:rPr>
          <w:rFonts w:cs="Times New Roman"/>
          <w:lang w:val="en-GB"/>
        </w:rPr>
        <w:fldChar w:fldCharType="end"/>
      </w:r>
      <w:r w:rsidRPr="00C53ACC">
        <w:rPr>
          <w:rFonts w:cs="Times New Roman"/>
          <w:lang w:val="en-GB"/>
        </w:rPr>
        <w:t xml:space="preserve"> we conducted Mössbauer and Raman spectroscopy analyses on the recovered samples. For sample AND100, we observed an increase in ΔFe</w:t>
      </w:r>
      <w:r w:rsidRPr="00C53ACC">
        <w:rPr>
          <w:rFonts w:cs="Times New Roman"/>
          <w:vertAlign w:val="superscript"/>
          <w:lang w:val="en-GB"/>
        </w:rPr>
        <w:t>3+</w:t>
      </w:r>
      <w:r w:rsidRPr="00C53ACC">
        <w:rPr>
          <w:rFonts w:cs="Times New Roman"/>
          <w:lang w:val="en-GB"/>
        </w:rPr>
        <w:t>/∑Fe</w:t>
      </w:r>
      <w:r w:rsidRPr="00C53ACC">
        <w:rPr>
          <w:rFonts w:cs="Times New Roman"/>
          <w:vertAlign w:val="subscript"/>
          <w:lang w:val="en-GB"/>
        </w:rPr>
        <w:t>tot</w:t>
      </w:r>
      <w:r w:rsidRPr="00C53ACC">
        <w:rPr>
          <w:rFonts w:cs="Times New Roman"/>
          <w:lang w:val="en-GB"/>
        </w:rPr>
        <w:t xml:space="preserve"> by 0.12 and 0.16 following C-DSC measurements at 10 (AND100_C-DSC</w:t>
      </w:r>
      <w:r w:rsidRPr="00C53ACC">
        <w:rPr>
          <w:rFonts w:cs="Times New Roman"/>
          <w:vertAlign w:val="subscript"/>
          <w:lang w:val="en-GB"/>
        </w:rPr>
        <w:t>10</w:t>
      </w:r>
      <w:r w:rsidRPr="00C53ACC">
        <w:rPr>
          <w:rFonts w:cs="Times New Roman"/>
          <w:lang w:val="en-GB"/>
        </w:rPr>
        <w:t xml:space="preserve">) and 20 </w:t>
      </w:r>
      <w:r w:rsidR="00C827B8">
        <w:rPr>
          <w:rFonts w:cs="Times New Roman"/>
          <w:lang w:val="en-GB"/>
        </w:rPr>
        <w:t>℃</w:t>
      </w:r>
      <w:r w:rsidRPr="00C53ACC">
        <w:rPr>
          <w:rFonts w:cs="Times New Roman"/>
          <w:lang w:val="en-GB"/>
        </w:rPr>
        <w:t xml:space="preserve"> min</w:t>
      </w:r>
      <w:r w:rsidRPr="00C53ACC">
        <w:rPr>
          <w:rFonts w:cs="Times New Roman"/>
          <w:vertAlign w:val="superscript"/>
          <w:lang w:val="en-GB"/>
        </w:rPr>
        <w:t xml:space="preserve">-1 </w:t>
      </w:r>
      <w:r w:rsidRPr="00C53ACC">
        <w:rPr>
          <w:rFonts w:cs="Times New Roman"/>
          <w:lang w:val="en-GB"/>
        </w:rPr>
        <w:t>(AND100_C-DSC</w:t>
      </w:r>
      <w:r w:rsidRPr="00C53ACC">
        <w:rPr>
          <w:rFonts w:cs="Times New Roman"/>
          <w:vertAlign w:val="subscript"/>
          <w:lang w:val="en-GB"/>
        </w:rPr>
        <w:t>20</w:t>
      </w:r>
      <w:r w:rsidRPr="00C53ACC">
        <w:rPr>
          <w:rFonts w:cs="Times New Roman"/>
          <w:lang w:val="en-GB"/>
        </w:rPr>
        <w:t xml:space="preserve">), respectively (Table </w:t>
      </w:r>
      <w:r w:rsidR="0057288D">
        <w:rPr>
          <w:rFonts w:cs="Times New Roman"/>
          <w:lang w:val="en-GB"/>
        </w:rPr>
        <w:t>S</w:t>
      </w:r>
      <w:r w:rsidRPr="00C53ACC">
        <w:rPr>
          <w:rFonts w:cs="Times New Roman"/>
          <w:lang w:val="en-GB"/>
        </w:rPr>
        <w:t>2). On the other hand, Raman spectra of AND100_C-DSC</w:t>
      </w:r>
      <w:r w:rsidRPr="00C53ACC">
        <w:rPr>
          <w:rFonts w:cs="Times New Roman"/>
          <w:vertAlign w:val="subscript"/>
          <w:lang w:val="en-GB"/>
        </w:rPr>
        <w:t xml:space="preserve">10 </w:t>
      </w:r>
      <w:r w:rsidRPr="00C53ACC">
        <w:rPr>
          <w:rFonts w:cs="Times New Roman"/>
          <w:lang w:val="en-GB"/>
        </w:rPr>
        <w:t>and AND100_C-DSC</w:t>
      </w:r>
      <w:r w:rsidRPr="00C53ACC">
        <w:rPr>
          <w:rFonts w:cs="Times New Roman"/>
          <w:vertAlign w:val="subscript"/>
          <w:lang w:val="en-GB"/>
        </w:rPr>
        <w:t>20</w:t>
      </w:r>
      <w:r w:rsidRPr="00C53ACC">
        <w:rPr>
          <w:rFonts w:cs="Times New Roman"/>
          <w:lang w:val="en-GB"/>
        </w:rPr>
        <w:t xml:space="preserve"> </w:t>
      </w:r>
      <w:r w:rsidRPr="00C53ACC">
        <w:rPr>
          <w:rFonts w:eastAsia="Times New Roman" w:cs="Times New Roman"/>
          <w:color w:val="000000"/>
          <w:szCs w:val="24"/>
          <w:lang w:val="en-GB"/>
        </w:rPr>
        <w:t xml:space="preserve">displayed the development of noticeable peaks associated with </w:t>
      </w:r>
      <w:r w:rsidR="00B23D01">
        <w:rPr>
          <w:rFonts w:eastAsia="Times New Roman" w:cs="Times New Roman"/>
          <w:color w:val="000000"/>
          <w:szCs w:val="24"/>
          <w:lang w:val="en-GB"/>
        </w:rPr>
        <w:t>titano</w:t>
      </w:r>
      <w:r w:rsidRPr="00C53ACC">
        <w:rPr>
          <w:rFonts w:eastAsia="Times New Roman" w:cs="Times New Roman"/>
          <w:color w:val="000000"/>
          <w:szCs w:val="24"/>
          <w:lang w:val="en-GB"/>
        </w:rPr>
        <w:t xml:space="preserve">magnetite crystallization (Fig. </w:t>
      </w:r>
      <w:r w:rsidR="0057288D">
        <w:rPr>
          <w:rFonts w:eastAsia="Times New Roman" w:cs="Times New Roman"/>
          <w:color w:val="000000"/>
          <w:szCs w:val="24"/>
          <w:lang w:val="en-GB"/>
        </w:rPr>
        <w:t>S</w:t>
      </w:r>
      <w:r w:rsidR="00F52E62">
        <w:rPr>
          <w:rFonts w:eastAsia="Times New Roman" w:cs="Times New Roman"/>
          <w:color w:val="000000"/>
          <w:szCs w:val="24"/>
          <w:lang w:val="en-GB"/>
        </w:rPr>
        <w:t>2</w:t>
      </w:r>
      <w:r w:rsidRPr="00C53ACC">
        <w:rPr>
          <w:rFonts w:eastAsia="Times New Roman" w:cs="Times New Roman"/>
          <w:color w:val="000000"/>
          <w:szCs w:val="24"/>
          <w:lang w:val="en-GB"/>
        </w:rPr>
        <w:t xml:space="preserve">a; </w:t>
      </w:r>
      <w:r w:rsidRPr="00C53ACC">
        <w:rPr>
          <w:rFonts w:cs="Times New Roman"/>
          <w:noProof/>
          <w:lang w:val="en-GB"/>
        </w:rPr>
        <w:t>(Shebanova and Lazor 2003; Jubb and Allen 2010</w:t>
      </w:r>
      <w:r w:rsidRPr="00C53ACC">
        <w:rPr>
          <w:rFonts w:eastAsia="Times New Roman" w:cs="Times New Roman"/>
          <w:color w:val="000000"/>
          <w:szCs w:val="24"/>
          <w:lang w:val="en-GB"/>
        </w:rPr>
        <w:t>)</w:t>
      </w:r>
      <w:r w:rsidR="00E72AD8">
        <w:rPr>
          <w:rFonts w:eastAsia="Times New Roman" w:cs="Times New Roman"/>
          <w:color w:val="000000"/>
          <w:szCs w:val="24"/>
          <w:lang w:val="en-GB"/>
        </w:rPr>
        <w:t>)</w:t>
      </w:r>
      <w:r w:rsidRPr="00C53ACC">
        <w:rPr>
          <w:rFonts w:cs="Times New Roman"/>
          <w:lang w:val="en-GB"/>
        </w:rPr>
        <w:t xml:space="preserve">, suggesting that </w:t>
      </w:r>
      <w:r w:rsidRPr="00C53ACC">
        <w:rPr>
          <w:rFonts w:cs="Times New Roman"/>
          <w:lang w:val="en-GB"/>
        </w:rPr>
        <w:lastRenderedPageBreak/>
        <w:t xml:space="preserve">nanocrystallization of Fe-Ti-oxide occurred during measurements. In addition, we noticed the total disappearance of their respective Boson peaks </w:t>
      </w:r>
      <w:r w:rsidRPr="00C53ACC">
        <w:rPr>
          <w:rFonts w:eastAsia="Times New Roman" w:cs="Times New Roman"/>
          <w:color w:val="000000"/>
          <w:szCs w:val="24"/>
          <w:lang w:val="en-GB"/>
        </w:rPr>
        <w:t xml:space="preserve">(Fig. </w:t>
      </w:r>
      <w:r w:rsidR="0057288D">
        <w:rPr>
          <w:rFonts w:eastAsia="Times New Roman" w:cs="Times New Roman"/>
          <w:color w:val="000000"/>
          <w:szCs w:val="24"/>
          <w:lang w:val="en-GB"/>
        </w:rPr>
        <w:t>S</w:t>
      </w:r>
      <w:r w:rsidR="00F52E62">
        <w:rPr>
          <w:rFonts w:eastAsia="Times New Roman" w:cs="Times New Roman"/>
          <w:color w:val="000000"/>
          <w:szCs w:val="24"/>
          <w:lang w:val="en-GB"/>
        </w:rPr>
        <w:t>2</w:t>
      </w:r>
      <w:r w:rsidRPr="00C53ACC">
        <w:rPr>
          <w:rFonts w:eastAsia="Times New Roman" w:cs="Times New Roman"/>
          <w:color w:val="000000"/>
          <w:szCs w:val="24"/>
          <w:lang w:val="en-GB"/>
        </w:rPr>
        <w:t xml:space="preserve">a). </w:t>
      </w:r>
      <w:r w:rsidRPr="00C53ACC">
        <w:rPr>
          <w:rFonts w:cs="Times New Roman"/>
          <w:lang w:val="en-GB"/>
        </w:rPr>
        <w:t xml:space="preserve">The Boson peak </w:t>
      </w:r>
      <w:r w:rsidRPr="00C53ACC">
        <w:rPr>
          <w:rFonts w:cs="Times New Roman"/>
          <w:lang w:val="en-GB"/>
        </w:rPr>
        <w:fldChar w:fldCharType="begin" w:fldLock="1"/>
      </w:r>
      <w:r w:rsidR="0002472C">
        <w:rPr>
          <w:rFonts w:cs="Times New Roman"/>
          <w:lang w:val="en-GB"/>
        </w:rPr>
        <w:instrText>ADDIN CSL_CITATION {"citationItems":[{"id":"ITEM-1","itemData":{"DOI":"10.1016/j.jnoncrysol.2004.08.265","ISBN":"1800822626","ISSN":"00223093","author":[{"dropping-particle":"","family":"Schroeder","given":"John","non-dropping-particle":"","parse-names":false,"suffix":""},{"dropping-particle":"","family":"Wu","given":"Weimin","non-dropping-particle":"","parse-names":false,"suffix":""},{"dropping-particle":"","family":"Apkarian","given":"Jacob L.","non-dropping-particle":"","parse-names":false,"suffix":""},{"dropping-particle":"","family":"Lee","given":"Mierie","non-dropping-particle":"","parse-names":false,"suffix":""},{"dropping-particle":"","family":"Hwa","given":"Luu-Gen","non-dropping-particle":"","parse-names":false,"suffix":""},{"dropping-particle":"","family":"Moynihan","given":"Cornelius T.","non-dropping-particle":"","parse-names":false,"suffix":""}],"container-title":"Journal of Non-Crystalline Solids","id":"ITEM-1","issue":"July","issued":{"date-parts":[["2004","12"]]},"page":"88-97","title":"Raman scattering and Boson peaks in glasses: temperature and pressure effects","type":"article-journal","volume":"349"},"uris":["http://www.mendeley.com/documents/?uuid=fbbbb59e-436d-4553-9719-230ffd78ed9f"]},{"id":"ITEM-2","itemData":{"DOI":"10.1063/1.3656697","ISSN":"00219606","abstract":"We report on the observation of a significant softening of the Boson peak (BP) frequency of vitreous GeO2 above the glass transition temperature. The softening reminds a critical trend, with a transition temperature intermediate between the glass transition temperature, T g, and the melting point. The softening of the BP frequency corresponds to a transition from a region dominated by Debye scaling to a non-Debye one. Below Tg the density of vibrational states varies according to the modification of the elastic continuum medium. Above T g the relevant softening of the BP modes can be explained by a broadening of the distribution of elastic constants between neighboring atoms, induced by the structural rearrangement. These findings are discussed together with recent experimental and theoretical results on the low frequency vibrations in glasses. © 2011 American Institute of Physics.","author":[{"dropping-particle":"","family":"Zanatta","given":"M.","non-dropping-particle":"","parse-names":false,"suffix":""},{"dropping-particle":"","family":"Baldi","given":"G.","non-dropping-particle":"","parse-names":false,"suffix":""},{"dropping-particle":"","family":"Caponi","given":"S.","non-dropping-particle":"","parse-names":false,"suffix":""},{"dropping-particle":"","family":"Fontana","given":"A.","non-dropping-particle":"","parse-names":false,"suffix":""},{"dropping-particle":"","family":"Petrillo","given":"C.","non-dropping-particle":"","parse-names":false,"suffix":""},{"dropping-particle":"","family":"Rossi","given":"F.","non-dropping-particle":"","parse-names":false,"suffix":""},{"dropping-particle":"","family":"Sacchetti","given":"F.","non-dropping-particle":"","parse-names":false,"suffix":""}],"container-title":"Journal of Chemical Physics","id":"ITEM-2","issue":"17","issued":{"date-parts":[["2011"]]},"title":"Debye to non-Debye scaling of the Boson peak dynamics: Critical behavior and local disorder in vitreous germania","type":"article-journal","volume":"135"},"uris":["http://www.mendeley.com/documents/?uuid=93ee2c7a-c9cd-4a98-a608-d6da7f42cb6d"]},{"id":"ITEM-3","itemData":{"DOI":"10.1038/s41598-021-92407-5","ISBN":"4159802192","ISSN":"20452322","PMID":"34158535","abstract":"The numerical modelling of magma transport and volcanic eruptions requires accurate knowledge of the viscosity of magmatic liquids as a function of temperature and melt composition. However, there is growing evidence that volcanic melts can be prone to nanoscale modification and crystallization before and during viscosity measurements. This challenges the possibility of being able to quantify the crystal-free melt phase contribution to the measured viscosity. In an effort to establish an alternative route to derive the viscosity of volcanic melts based on the vibrational properties of their parental glasses, we have subjected volcanologically relevant anhydrous glasses to Brillouin and Raman spectroscopic analyses at ambient conditions. Here, we find that the ratio between bulk and shear moduli and the boson peak position embed the melt fragility. We show that these quantities allow an accurate estimation of volcanic melts at eruptive conditions, without the need for viscosity measurements. An extensive review of the literature data confirms that our result also holds for hydrous systems; this study thus provides fertile ground on which to develop new studies of the nanoscale dynamics of natural melts and its impact on the style of volcanic eruptions.","author":[{"dropping-particle":"","family":"Cassetta","given":"Michele","non-dropping-particle":"","parse-names":false,"suffix":""},{"dropping-particle":"","family":"Genova","given":"D.","non-dropping-particle":"Di","parse-names":false,"suffix":""},{"dropping-particle":"","family":"Zanatta","given":"Marco","non-dropping-particle":"","parse-names":false,"suffix":""},{"dropping-particle":"","family":"Ballaran","given":"T. B.","non-dropping-particle":"","parse-names":false,"suffix":""},{"dropping-particle":"","family":"Kurnosov","given":"Alexander","non-dropping-particle":"","parse-names":false,"suffix":""},{"dropping-particle":"","family":"Giarola","given":"Marco","non-dropping-particle":"","parse-names":false,"suffix":""},{"dropping-particle":"","family":"Mariotto","given":"Gino","non-dropping-particle":"","parse-names":false,"suffix":""},{"dropping-particle":"","family":"Boffa Ballaran","given":"Tiziana","non-dropping-particle":"","parse-names":false,"suffix":""}],"container-title":"Scientific Reports","id":"ITEM-3","issue":"1","issued":{"date-parts":[["2021"]]},"page":"1-14","publisher":"Nature Publishing Group UK","title":"Estimating the viscosity of volcanic melts from the vibrational properties of their parental glasses","type":"article-journal","volume":"11"},"uris":["http://www.mendeley.com/documents/?uuid=2ff2ec8c-67bb-4bb9-98e0-b7571c00d473"]}],"mendeley":{"formattedCitation":"&lt;sup&gt;18–20&lt;/sup&gt;","plainTextFormattedCitation":"18–20","previouslyFormattedCitation":"&lt;sup&gt;18–20&lt;/sup&gt;"},"properties":{"noteIndex":0},"schema":"https://github.com/citation-style-language/schema/raw/master/csl-citation.json"}</w:instrText>
      </w:r>
      <w:r w:rsidRPr="00C53ACC">
        <w:rPr>
          <w:rFonts w:cs="Times New Roman"/>
          <w:lang w:val="en-GB"/>
        </w:rPr>
        <w:fldChar w:fldCharType="separate"/>
      </w:r>
      <w:r w:rsidR="0002472C" w:rsidRPr="0002472C">
        <w:rPr>
          <w:rFonts w:cs="Times New Roman"/>
          <w:noProof/>
          <w:vertAlign w:val="superscript"/>
          <w:lang w:val="en-GB"/>
        </w:rPr>
        <w:t>18–20</w:t>
      </w:r>
      <w:r w:rsidRPr="00C53ACC">
        <w:rPr>
          <w:rFonts w:cs="Times New Roman"/>
          <w:lang w:val="en-GB"/>
        </w:rPr>
        <w:fldChar w:fldCharType="end"/>
      </w:r>
      <w:r w:rsidRPr="00C53ACC">
        <w:rPr>
          <w:rFonts w:cs="Times New Roman"/>
          <w:lang w:val="en-GB"/>
        </w:rPr>
        <w:t xml:space="preserve">, </w:t>
      </w:r>
      <w:r w:rsidRPr="00C53ACC">
        <w:rPr>
          <w:rFonts w:cs="Times New Roman"/>
          <w:szCs w:val="24"/>
          <w:lang w:val="en-GB"/>
        </w:rPr>
        <w:t>which is located below 100</w:t>
      </w:r>
      <w:r w:rsidRPr="00C53ACC">
        <w:rPr>
          <w:rFonts w:cs="Times New Roman"/>
          <w:lang w:val="en-GB"/>
        </w:rPr>
        <w:t xml:space="preserve"> cm</w:t>
      </w:r>
      <w:r w:rsidRPr="00C53ACC">
        <w:rPr>
          <w:rFonts w:cs="Times New Roman"/>
          <w:vertAlign w:val="superscript"/>
          <w:lang w:val="en-GB"/>
        </w:rPr>
        <w:t>-1</w:t>
      </w:r>
      <w:r w:rsidRPr="00C53ACC">
        <w:rPr>
          <w:rFonts w:cs="Times New Roman"/>
          <w:lang w:val="en-GB"/>
        </w:rPr>
        <w:t>, serves as a distinctive marker for the intrinsic disorder within the system and is associated with the collective atomic motions, especially acoustic phonons, arising from the short-to-medium range order of glasses.</w:t>
      </w:r>
      <w:r w:rsidRPr="00C53ACC">
        <w:rPr>
          <w:rFonts w:cs="Times New Roman"/>
          <w:noProof/>
          <w:lang w:val="en-GB"/>
        </w:rPr>
        <w:t xml:space="preserve"> </w:t>
      </w:r>
    </w:p>
    <w:p w14:paraId="5E7DF14F" w14:textId="77777777" w:rsidR="00C97BA2" w:rsidRPr="00C53ACC" w:rsidRDefault="00C97BA2" w:rsidP="00C97BA2">
      <w:pPr>
        <w:spacing w:line="480" w:lineRule="auto"/>
        <w:rPr>
          <w:rFonts w:cs="Times New Roman"/>
          <w:lang w:val="en-GB"/>
        </w:rPr>
      </w:pPr>
      <w:r w:rsidRPr="00C53ACC">
        <w:rPr>
          <w:rFonts w:cs="Times New Roman"/>
          <w:noProof/>
          <w:lang w:val="de-DE" w:eastAsia="de-DE"/>
        </w:rPr>
        <w:drawing>
          <wp:inline distT="0" distB="0" distL="0" distR="0" wp14:anchorId="3ABDBA13" wp14:editId="1B984678">
            <wp:extent cx="5760000" cy="3689311"/>
            <wp:effectExtent l="0" t="0" r="0" b="6985"/>
            <wp:docPr id="1345184093"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184093" name="Picture 1" descr="A graph of different colored line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000" cy="3689311"/>
                    </a:xfrm>
                    <a:prstGeom prst="rect">
                      <a:avLst/>
                    </a:prstGeom>
                  </pic:spPr>
                </pic:pic>
              </a:graphicData>
            </a:graphic>
          </wp:inline>
        </w:drawing>
      </w:r>
    </w:p>
    <w:p w14:paraId="209F5272" w14:textId="3E7F3237" w:rsidR="00C97BA2" w:rsidRPr="00C53ACC" w:rsidRDefault="00C97BA2" w:rsidP="00C97BA2">
      <w:pPr>
        <w:spacing w:line="240" w:lineRule="auto"/>
        <w:rPr>
          <w:rFonts w:cs="Times New Roman"/>
          <w:lang w:val="en-GB"/>
        </w:rPr>
      </w:pPr>
      <w:r w:rsidRPr="00E50ABE">
        <w:rPr>
          <w:rFonts w:eastAsiaTheme="minorEastAsia" w:cs="Times New Roman"/>
          <w:b/>
          <w:bCs/>
          <w:lang w:val="en-GB"/>
        </w:rPr>
        <w:t>Figure S</w:t>
      </w:r>
      <w:r w:rsidR="00E24199" w:rsidRPr="00E50ABE">
        <w:rPr>
          <w:rFonts w:eastAsiaTheme="minorEastAsia" w:cs="Times New Roman"/>
          <w:b/>
          <w:bCs/>
          <w:lang w:val="en-GB"/>
        </w:rPr>
        <w:t>2</w:t>
      </w:r>
      <w:r w:rsidRPr="00C53ACC">
        <w:rPr>
          <w:rFonts w:eastAsiaTheme="minorEastAsia" w:cs="Times New Roman"/>
          <w:lang w:val="en-GB"/>
        </w:rPr>
        <w:t xml:space="preserve">. Raman spectra of samples after DSC measurements. a) After C-DSC measurements. b) Raman spectra of the same AND100 sample after a series of F-DSC measurements. The shaded area in grey corresponds to Raman peaks for </w:t>
      </w:r>
      <w:r w:rsidR="00B23D01">
        <w:rPr>
          <w:rFonts w:eastAsiaTheme="minorEastAsia" w:cs="Times New Roman"/>
          <w:lang w:val="en-GB"/>
        </w:rPr>
        <w:t>titano</w:t>
      </w:r>
      <w:r w:rsidRPr="00C53ACC">
        <w:rPr>
          <w:rFonts w:eastAsiaTheme="minorEastAsia" w:cs="Times New Roman"/>
          <w:lang w:val="en-GB"/>
        </w:rPr>
        <w:t xml:space="preserve">magnetite </w:t>
      </w:r>
      <w:r w:rsidRPr="00C53ACC">
        <w:rPr>
          <w:rFonts w:cs="Times New Roman"/>
          <w:lang w:val="en-GB"/>
        </w:rPr>
        <w:fldChar w:fldCharType="begin" w:fldLock="1"/>
      </w:r>
      <w:r w:rsidR="0002472C">
        <w:rPr>
          <w:rFonts w:cs="Times New Roman"/>
          <w:lang w:val="en-GB"/>
        </w:rPr>
        <w:instrText>ADDIN CSL_CITATION {"citationItems":[{"id":"ITEM-1","itemData":{"DOI":"10.1016/S0022-4596(03)00294-9","ISSN":"00224596","abstract":"A detailed Raman study on natural magnetite has been carried out. Raman spectra show four out of the five predicted Raman bands located at 668, 538, 306, and 193rcm-1. The location of the fifth, unobserved phonon mode, is inferred from spectra of other ferrites at 450-490rcm-1. Polarized experiments on an oriented single crystal provide a new interpretation of the Raman spectrum with the following assignment for symmetries of the observed modes: A1g for 668rcm-1, E g for 306 rcm-1, and T2g for 538, 193, and 450-490rcm-1. The results are compared with those of the earlier Raman studies and possible explanations for the discrepancies are suggested. Some of the inconsistencies can be resolved by considering the effect of oxidation of magnetite during the Raman experiments. © 2003 Elsevier Inc. All rights reserved.","author":[{"dropping-particle":"","family":"Shebanova","given":"Olga N.","non-dropping-particle":"","parse-names":false,"suffix":""},{"dropping-particle":"","family":"Lazor","given":"Peter","non-dropping-particle":"","parse-names":false,"suffix":""}],"container-title":"Journal of Solid State Chemistry","id":"ITEM-1","issue":"2","issued":{"date-parts":[["2003","9"]]},"page":"424-430","title":"Raman spectroscopic study of magnetite (FeFe2O4): a new assignment for the vibrational spectrum","type":"article-journal","volume":"174"},"uris":["http://www.mendeley.com/documents/?uuid=33ffaa7d-a63b-4dd0-a355-344e0c241771"]},{"id":"ITEM-2","itemData":{"DOI":"10.1021/am1004943","ISSN":"1944-8244","abstract":"Thin films of three iron oxide polymorphs, hematite, maghemite, and magnetite, were produced on KBr substrates using a conventional electron beam deposition technique coupled with thermal annealing. This method allowed for iron oxide thin films free from chemical precursor contaminants. The films were characterized using Fourier-transform infrared spectroscopy (FTIR), Raman microspectroscopy, and ellipsometry. These spectroscopic techniques allowed for a clear assignment of the phase of the iron oxide polymorph films produced along with an examination of the degree of crystallinity possessed by the films. The films produced were uniform in phase and exhibited decreasing crystallinity as the thickness increased from 40 to 250 nm. © 2010 American Chemical Society.","author":[{"dropping-particle":"","family":"Jubb","given":"Aaron M.","non-dropping-particle":"","parse-names":false,"suffix":""},{"dropping-particle":"","family":"Allen","given":"Heather C.","non-dropping-particle":"","parse-names":false,"suffix":""}],"container-title":"ACS Applied Materials &amp; Interfaces","id":"ITEM-2","issue":"10","issued":{"date-parts":[["2010","10","27"]]},"page":"2804-2812","title":"Vibrational Spectroscopic Characterization of Hematite, Maghemite, and Magnetite Thin Films Produced by Vapor Deposition","type":"article-journal","volume":"2"},"uris":["http://www.mendeley.com/documents/?uuid=befbc512-39eb-4606-9f23-2953636f2bea"]}],"mendeley":{"formattedCitation":"&lt;sup&gt;21,22&lt;/sup&gt;","plainTextFormattedCitation":"21,22","previouslyFormattedCitation":"&lt;sup&gt;21,22&lt;/sup&gt;"},"properties":{"noteIndex":0},"schema":"https://github.com/citation-style-language/schema/raw/master/csl-citation.json"}</w:instrText>
      </w:r>
      <w:r w:rsidRPr="00C53ACC">
        <w:rPr>
          <w:rFonts w:cs="Times New Roman"/>
          <w:lang w:val="en-GB"/>
        </w:rPr>
        <w:fldChar w:fldCharType="separate"/>
      </w:r>
      <w:r w:rsidR="0002472C" w:rsidRPr="0002472C">
        <w:rPr>
          <w:rFonts w:cs="Times New Roman"/>
          <w:noProof/>
          <w:vertAlign w:val="superscript"/>
          <w:lang w:val="en-GB"/>
        </w:rPr>
        <w:t>21,22</w:t>
      </w:r>
      <w:r w:rsidRPr="00C53ACC">
        <w:rPr>
          <w:rFonts w:cs="Times New Roman"/>
          <w:lang w:val="en-GB"/>
        </w:rPr>
        <w:fldChar w:fldCharType="end"/>
      </w:r>
      <w:r w:rsidRPr="00C53ACC">
        <w:rPr>
          <w:rFonts w:eastAsiaTheme="minorEastAsia" w:cs="Times New Roman"/>
          <w:lang w:val="en-GB"/>
        </w:rPr>
        <w:t xml:space="preserve">. The shaded area in red corresponds to hematite </w:t>
      </w:r>
      <w:r w:rsidRPr="00C53ACC">
        <w:rPr>
          <w:rFonts w:cs="Times New Roman"/>
          <w:lang w:val="en-GB"/>
        </w:rPr>
        <w:fldChar w:fldCharType="begin" w:fldLock="1"/>
      </w:r>
      <w:r w:rsidR="0002472C">
        <w:rPr>
          <w:rFonts w:cs="Times New Roman"/>
          <w:lang w:val="en-GB"/>
        </w:rPr>
        <w:instrText>ADDIN CSL_CITATION {"citationItems":[{"id":"ITEM-1","itemData":{"DOI":"10.1021/am1004943","ISSN":"1944-8244","abstract":"Thin films of three iron oxide polymorphs, hematite, maghemite, and magnetite, were produced on KBr substrates using a conventional electron beam deposition technique coupled with thermal annealing. This method allowed for iron oxide thin films free from chemical precursor contaminants. The films were characterized using Fourier-transform infrared spectroscopy (FTIR), Raman microspectroscopy, and ellipsometry. These spectroscopic techniques allowed for a clear assignment of the phase of the iron oxide polymorph films produced along with an examination of the degree of crystallinity possessed by the films. The films produced were uniform in phase and exhibited decreasing crystallinity as the thickness increased from 40 to 250 nm. © 2010 American Chemical Society.","author":[{"dropping-particle":"","family":"Jubb","given":"Aaron M.","non-dropping-particle":"","parse-names":false,"suffix":""},{"dropping-particle":"","family":"Allen","given":"Heather C.","non-dropping-particle":"","parse-names":false,"suffix":""}],"container-title":"ACS Applied Materials &amp; Interfaces","id":"ITEM-1","issue":"10","issued":{"date-parts":[["2010","10","27"]]},"page":"2804-2812","title":"Vibrational Spectroscopic Characterization of Hematite, Maghemite, and Magnetite Thin Films Produced by Vapor Deposition","type":"article-journal","volume":"2"},"uris":["http://www.mendeley.com/documents/?uuid=befbc512-39eb-4606-9f23-2953636f2bea"]}],"mendeley":{"formattedCitation":"&lt;sup&gt;22&lt;/sup&gt;","plainTextFormattedCitation":"22","previouslyFormattedCitation":"&lt;sup&gt;22&lt;/sup&gt;"},"properties":{"noteIndex":0},"schema":"https://github.com/citation-style-language/schema/raw/master/csl-citation.json"}</w:instrText>
      </w:r>
      <w:r w:rsidRPr="00C53ACC">
        <w:rPr>
          <w:rFonts w:cs="Times New Roman"/>
          <w:lang w:val="en-GB"/>
        </w:rPr>
        <w:fldChar w:fldCharType="separate"/>
      </w:r>
      <w:r w:rsidR="0002472C" w:rsidRPr="0002472C">
        <w:rPr>
          <w:rFonts w:cs="Times New Roman"/>
          <w:noProof/>
          <w:vertAlign w:val="superscript"/>
          <w:lang w:val="en-GB"/>
        </w:rPr>
        <w:t>22</w:t>
      </w:r>
      <w:r w:rsidRPr="00C53ACC">
        <w:rPr>
          <w:rFonts w:cs="Times New Roman"/>
          <w:lang w:val="en-GB"/>
        </w:rPr>
        <w:fldChar w:fldCharType="end"/>
      </w:r>
      <w:r w:rsidRPr="00C53ACC">
        <w:rPr>
          <w:rFonts w:cs="Times New Roman"/>
          <w:lang w:val="en-GB"/>
        </w:rPr>
        <w:t>.</w:t>
      </w:r>
    </w:p>
    <w:p w14:paraId="1B2AB030" w14:textId="77777777" w:rsidR="00C97BA2" w:rsidRPr="00C53ACC" w:rsidRDefault="00C97BA2" w:rsidP="00C97BA2">
      <w:pPr>
        <w:spacing w:line="240" w:lineRule="auto"/>
        <w:rPr>
          <w:rFonts w:cs="Times New Roman"/>
          <w:lang w:val="en-GB"/>
        </w:rPr>
      </w:pPr>
    </w:p>
    <w:p w14:paraId="4FB5F3EF" w14:textId="7DED568E" w:rsidR="00C97BA2" w:rsidRPr="00C53ACC" w:rsidRDefault="00C97BA2" w:rsidP="00C97BA2">
      <w:pPr>
        <w:spacing w:line="480" w:lineRule="auto"/>
        <w:ind w:firstLine="720"/>
        <w:rPr>
          <w:rFonts w:cs="Times New Roman"/>
          <w:lang w:val="en-GB"/>
        </w:rPr>
      </w:pPr>
      <w:r w:rsidRPr="00C53ACC">
        <w:rPr>
          <w:rFonts w:cs="Times New Roman"/>
          <w:lang w:val="en-GB"/>
        </w:rPr>
        <w:t>Consistently with recent literature</w:t>
      </w:r>
      <w:r w:rsidR="0002472C">
        <w:rPr>
          <w:rFonts w:cs="Times New Roman"/>
          <w:lang w:val="en-GB"/>
        </w:rPr>
        <w:t xml:space="preserve"> </w:t>
      </w:r>
      <w:r w:rsidR="0002472C">
        <w:rPr>
          <w:rFonts w:cs="Times New Roman"/>
          <w:lang w:val="en-GB"/>
        </w:rPr>
        <w:fldChar w:fldCharType="begin" w:fldLock="1"/>
      </w:r>
      <w:r w:rsidR="0002472C">
        <w:rPr>
          <w:rFonts w:cs="Times New Roman"/>
          <w:lang w:val="en-GB"/>
        </w:rPr>
        <w:instrText>ADDIN CSL_CITATION {"citationItems":[{"id":"ITEM-1","itemData":{"DOI":"10.1126/sciadv.abb0413","ISSN":"2375-2548","PMID":"32967825","abstract":"This study shows how a few nanometer-sized crystals markedly increase the viscosity of a magma leading to explosive eruptions.","author":[{"dropping-particle":"","family":"Genova","given":"D.","non-dropping-particle":"Di","parse-names":false,"suffix":""},{"dropping-particle":"","family":"Brooker","given":"Richard A","non-dropping-particle":"","parse-names":false,"suffix":""},{"dropping-particle":"","family":"Mader","given":"Heidy M.","non-dropping-particle":"","parse-names":false,"suffix":""},{"dropping-particle":"","family":"Drewitt","given":"James W. E.","non-dropping-particle":"","parse-names":false,"suffix":""},{"dropping-particle":"","family":"Longo","given":"Alessandro","non-dropping-particle":"","parse-names":false,"suffix":""},{"dropping-particle":"","family":"Deubener","given":"Joachim","non-dropping-particle":"","parse-names":false,"suffix":""},{"dropping-particle":"","family":"Neuville","given":"D. R.","non-dropping-particle":"","parse-names":false,"suffix":""},{"dropping-particle":"","family":"Fanara","given":"Sara","non-dropping-particle":"","parse-names":false,"suffix":""},{"dropping-particle":"","family":"Shebanova","given":"Olga","non-dropping-particle":"","parse-names":false,"suffix":""},{"dropping-particle":"","family":"Anzellini","given":"Simone","non-dropping-particle":"","parse-names":false,"suffix":""},{"dropping-particle":"","family":"Arzilli","given":"Fabio","non-dropping-particle":"","parse-names":false,"suffix":""},{"dropping-particle":"","family":"Bamber","given":"Emily C","non-dropping-particle":"","parse-names":false,"suffix":""},{"dropping-particle":"","family":"Hennet","given":"Louis","non-dropping-particle":"","parse-names":false,"suffix":""},{"dropping-particle":"","family":"Spina","given":"Giuseppe","non-dropping-particle":"La","parse-names":false,"suffix":""},{"dropping-particle":"","family":"Miyajima","given":"Nobuyoshi","non-dropping-particle":"","parse-names":false,"suffix":""}],"container-title":"Science Advances","id":"ITEM-1","issue":"39","issued":{"date-parts":[["2020","9","25"]]},"title":"In situ observation of nanolite growth in volcanic melt: A driving force for explosive eruptions","type":"article-journal","volume":"6"},"uris":["http://www.mendeley.com/documents/?uuid=ac265911-5172-4bd3-b80f-528fe2c4c843"]},{"id":"ITEM-2","itemData":{"DOI":"10.1038/s43247-022-00615-2","ISSN":"2662-4435","abstract":"An increasing number of studies are being presented demonstrating that volcanic glasses can be heterogeneous at the nanoscale. These nano-heterogeneities can develop both during viscosity measurements in the laboratory and during magma eruptions. Our multifaceted study identifies here total transition metal oxide content as a crucial compositional factor governing the tendency of basalt melts and glasses towards nanolitization: at both anhydrous and hydrous conditions, an undercooled trachybasalt melt from Mt. Etna readily develops nanocrystals whose formation also hampers viscosity measurements, while a similar but FeO- and TiO 2 -poorer basalt melt from Stromboli proves far more stable at similar conditions. We therefore outline a procedure to reliably derive pure liquid viscosity without the effect of nanocrystals, additionally discussing how subtle compositional differences may contribute to the different eruptive styles of Mt. Etna and Stromboli.","author":[{"dropping-particle":"","family":"Scarani","given":"Alex","non-dropping-particle":"","parse-names":false,"suffix":""},{"dropping-particle":"","family":"Zandonà","given":"Alessio","non-dropping-particle":"","parse-names":false,"suffix":""},{"dropping-particle":"","family":"Fiore","given":"Fabrizio","non-dropping-particle":"Di","parse-names":false,"suffix":""},{"dropping-particle":"","family":"Valdivia","given":"Pedro","non-dropping-particle":"","parse-names":false,"suffix":""},{"dropping-particle":"","family":"Putra","given":"Rizaldi","non-dropping-particle":"","parse-names":false,"suffix":""},{"dropping-particle":"","family":"Miyajima","given":"Nobuyoshi","non-dropping-particle":"","parse-names":false,"suffix":""},{"dropping-particle":"","family":"Bornhöft","given":"Hansjörg","non-dropping-particle":"","parse-names":false,"suffix":""},{"dropping-particle":"","family":"Vona","given":"Alessandro","non-dropping-particle":"","parse-names":false,"suffix":""},{"dropping-particle":"","family":"Deubener","given":"Joachim","non-dropping-particle":"","parse-names":false,"suffix":""},{"dropping-particle":"","family":"Romano","given":"Claudia","non-dropping-particle":"","parse-names":false,"suffix":""},{"dropping-particle":"","family":"Genova","given":"D.","non-dropping-particle":"Di","parse-names":false,"suffix":""},{"dropping-particle":"","family":"Zandona","given":"A.","non-dropping-particle":"","parse-names":false,"suffix":""}],"container-title":"Communications Earth &amp; Environment","id":"ITEM-2","issue":"1","issued":{"date-parts":[["2022","11","18"]]},"page":"284","publisher":"Springer US","title":"A chemical threshold controls nanocrystallization and degassing behaviour in basalt magmas","type":"article-journal","volume":"3"},"uris":["http://www.mendeley.com/documents/?uuid=d663be6f-e1f8-4679-ae88-2dc326577f04"]},{"id":"ITEM-3","itemData":{"DOI":"10.1007/s00410-023-02024-w","ISBN":"0123456789","ISSN":"0010-7999","abstract":"Melt viscosity is one of the most critical physical properties controlling magma transport dynamics and eruptive style. Although viscosity measurements are widely used to study and model the flow behavior of magmas, recent research has revealed that nanocrystallization of Fe–Ti-oxides can compromise the reliability of viscosity data. This phenomenon can occur during laboratory measurements around the glass transition temperature ( T g ) and lead to the depletion of iron and titanium in the residual melt phase, with a significant increase in viscosity. Accurate viscosity measurements play a crucial role in determining the reliability of empirical models for magma viscosity, which are used to evaluate eruptive scenarios in hazardous areas. Here, we quantify the reliability of empirical models by elaborating a new viscosity model of Stromboli basalt that relies exclusively on viscosity data obtained from nanocrystal-free samples. We show that empirical models so far used to estimate melt viscosity at eruptive conditions overestimate Stromboli viscosity by a factor ranging between 2 and 5. In the context of numerical modelling of magmatic processes at Stromboli volcano, we analyse and interpret this finding. Based on our findings, we draw the conclusion that Stromboli basalt is anticipated to ascend from the storage area to the vent at a faster rate than previously hypothesized.","author":[{"dropping-particle":"","family":"Valdivia","given":"Pedro","non-dropping-particle":"","parse-names":false,"suffix":""},{"dropping-particle":"","family":"Zandonà","given":"Alessio","non-dropping-particle":"","parse-names":false,"suffix":""},{"dropping-particle":"","family":"Kurnosov","given":"Alexander","non-dropping-particle":"","parse-names":false,"suffix":""},{"dropping-particle":"","family":"Ballaran","given":"Tiziana Boffa","non-dropping-particle":"","parse-names":false,"suffix":""},{"dropping-particle":"","family":"Deubener","given":"Joachim","non-dropping-particle":"","parse-names":false,"suffix":""},{"dropping-particle":"","family":"Genova","given":"Danilo","non-dropping-particle":"Di","parse-names":false,"suffix":""}],"container-title":"Contributions to Mineralogy and Petrology","id":"ITEM-3","issue":"7","issued":{"date-parts":[["2023","7","26"]]},"page":"45","publisher":"Springer Berlin Heidelberg","title":"Are volcanic melts less viscous than we thought? The case of Stromboli basalt","type":"article-journal","volume":"178"},"uris":["http://www.mendeley.com/documents/?uuid=7eaf5bd5-c344-4572-b407-09255c15b8db"]}],"mendeley":{"formattedCitation":"&lt;sup&gt;10,15,17&lt;/sup&gt;","plainTextFormattedCitation":"10,15,17"},"properties":{"noteIndex":0},"schema":"https://github.com/citation-style-language/schema/raw/master/csl-citation.json"}</w:instrText>
      </w:r>
      <w:r w:rsidR="0002472C">
        <w:rPr>
          <w:rFonts w:cs="Times New Roman"/>
          <w:lang w:val="en-GB"/>
        </w:rPr>
        <w:fldChar w:fldCharType="separate"/>
      </w:r>
      <w:r w:rsidR="0002472C" w:rsidRPr="0002472C">
        <w:rPr>
          <w:rFonts w:cs="Times New Roman"/>
          <w:noProof/>
          <w:vertAlign w:val="superscript"/>
          <w:lang w:val="en-GB"/>
        </w:rPr>
        <w:t>10,15,17</w:t>
      </w:r>
      <w:r w:rsidR="0002472C">
        <w:rPr>
          <w:rFonts w:cs="Times New Roman"/>
          <w:lang w:val="en-GB"/>
        </w:rPr>
        <w:fldChar w:fldCharType="end"/>
      </w:r>
      <w:r w:rsidRPr="00C53ACC">
        <w:rPr>
          <w:rFonts w:cs="Times New Roman"/>
          <w:lang w:val="en-GB"/>
        </w:rPr>
        <w:t xml:space="preserve">, our findings indicate that C-DSC experiments have the potential to induce structural modifications (including nanocrystallization) and alter the iron oxidation state within the sample, particularly when the temperature exceeds </w:t>
      </w:r>
      <w:r w:rsidRPr="00C53ACC">
        <w:rPr>
          <w:rFonts w:cs="Times New Roman"/>
          <w:i/>
          <w:iCs/>
          <w:lang w:val="en-GB"/>
        </w:rPr>
        <w:t>T</w:t>
      </w:r>
      <w:r w:rsidRPr="00C53ACC">
        <w:rPr>
          <w:rFonts w:cs="Times New Roman"/>
          <w:i/>
          <w:iCs/>
          <w:vertAlign w:val="subscript"/>
          <w:lang w:val="en-GB"/>
        </w:rPr>
        <w:t xml:space="preserve">onset </w:t>
      </w:r>
      <w:r w:rsidRPr="00C53ACC">
        <w:rPr>
          <w:rFonts w:cs="Times New Roman"/>
          <w:lang w:val="en-GB"/>
        </w:rPr>
        <w:t xml:space="preserve">at the end of the heating segments. To mitigate temperature overshoot after reaching their respective </w:t>
      </w:r>
      <w:r w:rsidRPr="00C53ACC">
        <w:rPr>
          <w:rFonts w:cs="Times New Roman"/>
          <w:i/>
          <w:iCs/>
          <w:lang w:val="en-GB"/>
        </w:rPr>
        <w:t>T</w:t>
      </w:r>
      <w:r w:rsidRPr="00C53ACC">
        <w:rPr>
          <w:rFonts w:cs="Times New Roman"/>
          <w:i/>
          <w:iCs/>
          <w:vertAlign w:val="subscript"/>
          <w:lang w:val="en-GB"/>
        </w:rPr>
        <w:t>onset</w:t>
      </w:r>
      <w:r w:rsidRPr="00C53ACC">
        <w:rPr>
          <w:rFonts w:cs="Times New Roman"/>
          <w:lang w:val="en-GB"/>
        </w:rPr>
        <w:t xml:space="preserve">, and to explore the possible changes during heating, we conducted a conservative C-DSC </w:t>
      </w:r>
      <w:r w:rsidRPr="00C53ACC">
        <w:rPr>
          <w:rFonts w:cs="Times New Roman"/>
          <w:lang w:val="en-GB"/>
        </w:rPr>
        <w:lastRenderedPageBreak/>
        <w:t>experiment on sample AND100 (AND100_C-DSC</w:t>
      </w:r>
      <w:r w:rsidRPr="00C53ACC">
        <w:rPr>
          <w:rFonts w:cs="Times New Roman"/>
          <w:vertAlign w:val="subscript"/>
          <w:lang w:val="en-GB"/>
        </w:rPr>
        <w:t>10bis</w:t>
      </w:r>
      <w:r w:rsidRPr="00C53ACC">
        <w:rPr>
          <w:rFonts w:cs="Times New Roman"/>
          <w:lang w:val="en-GB"/>
        </w:rPr>
        <w:t xml:space="preserve">) dividing it into two steps: (1) the first upscan was performed as usual but halted after the matching cooling segment with </w:t>
      </w:r>
      <w:r w:rsidRPr="00C53ACC">
        <w:rPr>
          <w:rFonts w:cs="Times New Roman"/>
          <w:i/>
          <w:iCs/>
          <w:lang w:val="en-GB"/>
        </w:rPr>
        <w:t>q</w:t>
      </w:r>
      <w:r w:rsidRPr="00C53ACC">
        <w:rPr>
          <w:rFonts w:cs="Times New Roman"/>
          <w:i/>
          <w:iCs/>
          <w:vertAlign w:val="subscript"/>
          <w:lang w:val="en-GB"/>
        </w:rPr>
        <w:t>c</w:t>
      </w:r>
      <w:r w:rsidRPr="00C53ACC">
        <w:rPr>
          <w:rFonts w:cs="Times New Roman"/>
          <w:i/>
          <w:iCs/>
          <w:lang w:val="en-GB"/>
        </w:rPr>
        <w:t xml:space="preserve"> </w:t>
      </w:r>
      <w:r w:rsidRPr="00C53ACC">
        <w:rPr>
          <w:rFonts w:cs="Times New Roman"/>
          <w:lang w:val="en-GB"/>
        </w:rPr>
        <w:t xml:space="preserve">= -10 </w:t>
      </w:r>
      <w:r w:rsidR="00C827B8">
        <w:rPr>
          <w:rFonts w:cs="Times New Roman"/>
          <w:lang w:val="en-GB"/>
        </w:rPr>
        <w:t>℃</w:t>
      </w:r>
      <w:r w:rsidRPr="00C53ACC">
        <w:rPr>
          <w:rFonts w:cs="Times New Roman"/>
          <w:lang w:val="en-GB"/>
        </w:rPr>
        <w:t xml:space="preserve"> min</w:t>
      </w:r>
      <w:r w:rsidRPr="00C53ACC">
        <w:rPr>
          <w:rFonts w:cs="Times New Roman"/>
          <w:vertAlign w:val="superscript"/>
          <w:lang w:val="en-GB"/>
        </w:rPr>
        <w:t>-1</w:t>
      </w:r>
      <w:r w:rsidRPr="00C53ACC">
        <w:rPr>
          <w:rFonts w:cs="Times New Roman"/>
          <w:lang w:val="en-GB"/>
        </w:rPr>
        <w:t xml:space="preserve"> and (2) using the same sample, we completed the matching C-DSC measurement with </w:t>
      </w:r>
      <w:r w:rsidRPr="00C53ACC">
        <w:rPr>
          <w:rFonts w:cs="Times New Roman"/>
          <w:i/>
          <w:iCs/>
          <w:lang w:val="en-GB"/>
        </w:rPr>
        <w:t>q</w:t>
      </w:r>
      <w:r w:rsidRPr="00C53ACC">
        <w:rPr>
          <w:rFonts w:cs="Times New Roman"/>
          <w:i/>
          <w:iCs/>
          <w:vertAlign w:val="subscript"/>
          <w:lang w:val="en-GB"/>
        </w:rPr>
        <w:t xml:space="preserve">h </w:t>
      </w:r>
      <w:r w:rsidRPr="00C53ACC">
        <w:rPr>
          <w:rFonts w:cs="Times New Roman"/>
          <w:i/>
          <w:iCs/>
          <w:lang w:val="en-GB"/>
        </w:rPr>
        <w:t>=</w:t>
      </w:r>
      <w:r w:rsidRPr="00C53ACC">
        <w:rPr>
          <w:rFonts w:cs="Times New Roman"/>
          <w:lang w:val="en-GB"/>
        </w:rPr>
        <w:t xml:space="preserve"> 10 </w:t>
      </w:r>
      <w:r w:rsidR="00C827B8">
        <w:rPr>
          <w:rFonts w:cs="Times New Roman"/>
          <w:lang w:val="en-GB"/>
        </w:rPr>
        <w:t>℃</w:t>
      </w:r>
      <w:r w:rsidRPr="00C53ACC">
        <w:rPr>
          <w:rFonts w:cs="Times New Roman"/>
          <w:lang w:val="en-GB"/>
        </w:rPr>
        <w:t xml:space="preserve"> min</w:t>
      </w:r>
      <w:r w:rsidRPr="00C53ACC">
        <w:rPr>
          <w:rFonts w:cs="Times New Roman"/>
          <w:vertAlign w:val="superscript"/>
          <w:lang w:val="en-GB"/>
        </w:rPr>
        <w:t>-1</w:t>
      </w:r>
      <w:r w:rsidRPr="00C53ACC">
        <w:rPr>
          <w:rFonts w:cs="Times New Roman"/>
          <w:lang w:val="en-GB"/>
        </w:rPr>
        <w:t>. Mössbauer and Raman spectroscopy were carried out after steps 1 and 2 to detect potential modifications in each segment. Mössbauer results show that sample AND100 did not experience iron oxidation after step 1 (C-DSC</w:t>
      </w:r>
      <w:r w:rsidRPr="00C53ACC">
        <w:rPr>
          <w:rFonts w:cs="Times New Roman"/>
          <w:vertAlign w:val="subscript"/>
          <w:lang w:val="en-GB"/>
        </w:rPr>
        <w:t>10bis_1</w:t>
      </w:r>
      <w:r w:rsidRPr="00C53ACC">
        <w:rPr>
          <w:rFonts w:cs="Times New Roman"/>
          <w:lang w:val="en-GB"/>
        </w:rPr>
        <w:t>) but showed a slight increase in Fe</w:t>
      </w:r>
      <w:r w:rsidRPr="00C53ACC">
        <w:rPr>
          <w:rFonts w:cs="Times New Roman"/>
          <w:vertAlign w:val="superscript"/>
          <w:lang w:val="en-GB"/>
        </w:rPr>
        <w:t>3+</w:t>
      </w:r>
      <w:r w:rsidRPr="00C53ACC">
        <w:rPr>
          <w:rFonts w:cs="Times New Roman"/>
          <w:lang w:val="en-GB"/>
        </w:rPr>
        <w:t>/∑Fe</w:t>
      </w:r>
      <w:r w:rsidRPr="00C53ACC">
        <w:rPr>
          <w:rFonts w:cs="Times New Roman"/>
          <w:vertAlign w:val="subscript"/>
          <w:lang w:val="en-GB"/>
        </w:rPr>
        <w:t xml:space="preserve">tot </w:t>
      </w:r>
      <w:r w:rsidRPr="00C53ACC">
        <w:rPr>
          <w:rFonts w:cs="Times New Roman"/>
          <w:lang w:val="en-GB"/>
        </w:rPr>
        <w:t>after step 2 (C-DSC</w:t>
      </w:r>
      <w:r w:rsidRPr="00C53ACC">
        <w:rPr>
          <w:rFonts w:cs="Times New Roman"/>
          <w:vertAlign w:val="subscript"/>
          <w:lang w:val="en-GB"/>
        </w:rPr>
        <w:t>10bis_2</w:t>
      </w:r>
      <w:r w:rsidRPr="00C53ACC">
        <w:rPr>
          <w:rFonts w:cs="Times New Roman"/>
          <w:lang w:val="en-GB"/>
        </w:rPr>
        <w:t xml:space="preserve">), from 0.64 to 0.69 (Table 2). Similarly, Raman spectroscopy results (Fig. </w:t>
      </w:r>
      <w:r w:rsidR="00F52E62">
        <w:rPr>
          <w:rFonts w:cs="Times New Roman"/>
          <w:lang w:val="en-GB"/>
        </w:rPr>
        <w:t>S</w:t>
      </w:r>
      <w:r w:rsidRPr="00C53ACC">
        <w:rPr>
          <w:rFonts w:cs="Times New Roman"/>
          <w:lang w:val="en-GB"/>
        </w:rPr>
        <w:t>2a) suggest no changes after step 1, while</w:t>
      </w:r>
      <w:r w:rsidRPr="00C53ACC">
        <w:rPr>
          <w:rFonts w:eastAsia="Times New Roman" w:cs="Times New Roman"/>
          <w:color w:val="000000"/>
          <w:szCs w:val="24"/>
          <w:lang w:val="en-GB"/>
        </w:rPr>
        <w:t xml:space="preserve"> the Raman spectrum collected after step 2 shows</w:t>
      </w:r>
      <w:r w:rsidRPr="00C53ACC">
        <w:rPr>
          <w:rFonts w:cs="Times New Roman"/>
          <w:lang w:val="en-GB"/>
        </w:rPr>
        <w:t xml:space="preserve"> a new and weak contribution around 660–690 cm</w:t>
      </w:r>
      <w:r w:rsidRPr="00C53ACC">
        <w:rPr>
          <w:rFonts w:cs="Times New Roman"/>
          <w:vertAlign w:val="superscript"/>
          <w:lang w:val="en-GB"/>
        </w:rPr>
        <w:t>−1</w:t>
      </w:r>
      <w:r w:rsidRPr="00C53ACC">
        <w:rPr>
          <w:rFonts w:cs="Times New Roman"/>
          <w:lang w:val="en-GB"/>
        </w:rPr>
        <w:t>, and a Boson peak shift from 70 to 63 cm</w:t>
      </w:r>
      <w:r w:rsidRPr="00C53ACC">
        <w:rPr>
          <w:rFonts w:cs="Times New Roman"/>
          <w:vertAlign w:val="superscript"/>
          <w:lang w:val="en-GB"/>
        </w:rPr>
        <w:t xml:space="preserve">-1 </w:t>
      </w:r>
      <w:r w:rsidRPr="00C53ACC">
        <w:rPr>
          <w:rFonts w:cs="Times New Roman"/>
          <w:lang w:val="en-GB"/>
        </w:rPr>
        <w:t xml:space="preserve">(Fig. </w:t>
      </w:r>
      <w:r w:rsidR="007806DF">
        <w:rPr>
          <w:rFonts w:cs="Times New Roman"/>
          <w:lang w:val="en-GB"/>
        </w:rPr>
        <w:t>S</w:t>
      </w:r>
      <w:r w:rsidR="00F52E62">
        <w:rPr>
          <w:rFonts w:cs="Times New Roman"/>
          <w:lang w:val="en-GB"/>
        </w:rPr>
        <w:t>2a</w:t>
      </w:r>
      <w:r w:rsidRPr="00C53ACC">
        <w:rPr>
          <w:rFonts w:cs="Times New Roman"/>
          <w:lang w:val="en-GB"/>
        </w:rPr>
        <w:t xml:space="preserve">). After this run, we obtained </w:t>
      </w:r>
      <w:r w:rsidRPr="00C53ACC">
        <w:rPr>
          <w:rFonts w:cs="Times New Roman"/>
          <w:i/>
          <w:iCs/>
          <w:lang w:val="en-GB"/>
        </w:rPr>
        <w:t>T</w:t>
      </w:r>
      <w:r w:rsidRPr="00C53ACC">
        <w:rPr>
          <w:rFonts w:cs="Times New Roman"/>
          <w:i/>
          <w:iCs/>
          <w:vertAlign w:val="subscript"/>
          <w:lang w:val="en-GB"/>
        </w:rPr>
        <w:t xml:space="preserve">onset </w:t>
      </w:r>
      <w:r w:rsidRPr="00C53ACC">
        <w:rPr>
          <w:rFonts w:cs="Times New Roman"/>
          <w:lang w:val="en-GB"/>
        </w:rPr>
        <w:t xml:space="preserve">and </w:t>
      </w:r>
      <w:r w:rsidRPr="00C53ACC">
        <w:rPr>
          <w:rFonts w:cs="Times New Roman"/>
          <w:i/>
          <w:iCs/>
          <w:lang w:val="en-GB"/>
        </w:rPr>
        <w:t>T</w:t>
      </w:r>
      <w:r w:rsidRPr="00C53ACC">
        <w:rPr>
          <w:rFonts w:cs="Times New Roman"/>
          <w:i/>
          <w:iCs/>
          <w:vertAlign w:val="subscript"/>
          <w:lang w:val="en-GB"/>
        </w:rPr>
        <w:t xml:space="preserve">peak </w:t>
      </w:r>
      <w:r w:rsidRPr="00C53ACC">
        <w:rPr>
          <w:rFonts w:cs="Times New Roman"/>
          <w:lang w:val="en-GB"/>
        </w:rPr>
        <w:t xml:space="preserve">values of 654 and 694 ℃, respectively (Table </w:t>
      </w:r>
      <w:r w:rsidR="007806DF">
        <w:rPr>
          <w:rFonts w:cs="Times New Roman"/>
          <w:lang w:val="en-GB"/>
        </w:rPr>
        <w:t>S</w:t>
      </w:r>
      <w:r w:rsidRPr="00C53ACC">
        <w:rPr>
          <w:rFonts w:cs="Times New Roman"/>
          <w:lang w:val="en-GB"/>
        </w:rPr>
        <w:t xml:space="preserve">2). We notice a significant decrease in the </w:t>
      </w:r>
      <w:r w:rsidRPr="00C53ACC">
        <w:rPr>
          <w:rFonts w:cs="Times New Roman"/>
          <w:i/>
          <w:iCs/>
          <w:lang w:val="en-GB"/>
        </w:rPr>
        <w:t>T</w:t>
      </w:r>
      <w:r w:rsidRPr="00C53ACC">
        <w:rPr>
          <w:rFonts w:cs="Times New Roman"/>
          <w:i/>
          <w:iCs/>
          <w:vertAlign w:val="subscript"/>
          <w:lang w:val="en-GB"/>
        </w:rPr>
        <w:t>peak</w:t>
      </w:r>
      <w:r w:rsidRPr="00C53ACC">
        <w:rPr>
          <w:rFonts w:cs="Times New Roman"/>
          <w:lang w:val="en-GB"/>
        </w:rPr>
        <w:t>, from 715 (AND100_C-DSC</w:t>
      </w:r>
      <w:r w:rsidRPr="00C53ACC">
        <w:rPr>
          <w:rFonts w:cs="Times New Roman"/>
          <w:vertAlign w:val="subscript"/>
          <w:lang w:val="en-GB"/>
        </w:rPr>
        <w:t>10_pk</w:t>
      </w:r>
      <w:r w:rsidRPr="00C53ACC">
        <w:rPr>
          <w:rFonts w:cs="Times New Roman"/>
          <w:lang w:val="en-GB"/>
        </w:rPr>
        <w:t>) to 695 ℃ (AND100_C-DSC</w:t>
      </w:r>
      <w:r w:rsidRPr="00C53ACC">
        <w:rPr>
          <w:rFonts w:cs="Times New Roman"/>
          <w:vertAlign w:val="subscript"/>
          <w:lang w:val="en-GB"/>
        </w:rPr>
        <w:t>10bis_pk</w:t>
      </w:r>
      <w:r w:rsidRPr="00C53ACC">
        <w:rPr>
          <w:rFonts w:cs="Times New Roman"/>
          <w:lang w:val="en-GB"/>
        </w:rPr>
        <w:t>). After this run, we observe only a slight oxidation of iron, in addition to a weak contribution in the 660-690 cm</w:t>
      </w:r>
      <w:r w:rsidRPr="00C53ACC">
        <w:rPr>
          <w:rFonts w:cs="Times New Roman"/>
          <w:vertAlign w:val="superscript"/>
          <w:lang w:val="en-GB"/>
        </w:rPr>
        <w:t>−</w:t>
      </w:r>
      <w:r w:rsidRPr="002C0EB2">
        <w:rPr>
          <w:rFonts w:cs="Times New Roman"/>
          <w:vertAlign w:val="superscript"/>
          <w:lang w:val="en-GB"/>
        </w:rPr>
        <w:t>1</w:t>
      </w:r>
      <w:r w:rsidRPr="00C53ACC">
        <w:rPr>
          <w:rFonts w:cs="Times New Roman"/>
          <w:lang w:val="en-GB"/>
        </w:rPr>
        <w:t xml:space="preserve"> Raman range. Furthermore, we infer that the most accurate C-DSC results for the AND100 composition are those obtained after AND100_DSC10</w:t>
      </w:r>
      <w:r w:rsidRPr="00C53ACC">
        <w:rPr>
          <w:rFonts w:cs="Times New Roman"/>
          <w:vertAlign w:val="subscript"/>
          <w:lang w:val="en-GB"/>
        </w:rPr>
        <w:t>bis</w:t>
      </w:r>
      <w:r w:rsidRPr="00C53ACC">
        <w:rPr>
          <w:rFonts w:cs="Times New Roman"/>
          <w:lang w:val="en-GB"/>
        </w:rPr>
        <w:t xml:space="preserve"> </w:t>
      </w:r>
      <w:r w:rsidR="00791334">
        <w:rPr>
          <w:rFonts w:cs="Times New Roman"/>
          <w:lang w:val="en-GB"/>
        </w:rPr>
        <w:t>which</w:t>
      </w:r>
      <w:r w:rsidR="00791334" w:rsidRPr="00C53ACC">
        <w:rPr>
          <w:rFonts w:cs="Times New Roman"/>
          <w:lang w:val="en-GB"/>
        </w:rPr>
        <w:t xml:space="preserve"> </w:t>
      </w:r>
      <w:r w:rsidRPr="00C53ACC">
        <w:rPr>
          <w:rFonts w:cs="Times New Roman"/>
          <w:lang w:val="en-GB"/>
        </w:rPr>
        <w:t xml:space="preserve">was the sample that displayed the least changes after the measurement. </w:t>
      </w:r>
    </w:p>
    <w:p w14:paraId="125BF124" w14:textId="0A5BA0FB" w:rsidR="00C97BA2" w:rsidRPr="00C53ACC" w:rsidRDefault="00C97BA2" w:rsidP="00C97BA2">
      <w:pPr>
        <w:spacing w:line="480" w:lineRule="auto"/>
        <w:ind w:firstLine="720"/>
        <w:rPr>
          <w:rFonts w:cs="Times New Roman"/>
          <w:lang w:val="en-GB"/>
        </w:rPr>
      </w:pPr>
      <w:r w:rsidRPr="00C53ACC">
        <w:rPr>
          <w:rFonts w:cs="Times New Roman"/>
          <w:lang w:val="en-GB"/>
        </w:rPr>
        <w:t xml:space="preserve">For both samples AND100red and AND100ox, Mössbauer results indicated a minor alteration in the iron oxidation following C-DSC experiments at 10 </w:t>
      </w:r>
      <w:r w:rsidR="00C827B8">
        <w:rPr>
          <w:rFonts w:cs="Times New Roman"/>
          <w:lang w:val="en-GB"/>
        </w:rPr>
        <w:t>℃</w:t>
      </w:r>
      <w:r w:rsidRPr="00C53ACC">
        <w:rPr>
          <w:rFonts w:cs="Times New Roman"/>
          <w:lang w:val="en-GB"/>
        </w:rPr>
        <w:t xml:space="preserve"> min</w:t>
      </w:r>
      <w:r w:rsidRPr="00C53ACC">
        <w:rPr>
          <w:rFonts w:cs="Times New Roman"/>
          <w:vertAlign w:val="superscript"/>
          <w:lang w:val="en-GB"/>
        </w:rPr>
        <w:t>-1</w:t>
      </w:r>
      <w:r w:rsidRPr="00C53ACC">
        <w:rPr>
          <w:rFonts w:cs="Times New Roman"/>
          <w:lang w:val="en-GB"/>
        </w:rPr>
        <w:t>, with ΔFe</w:t>
      </w:r>
      <w:r w:rsidRPr="00C53ACC">
        <w:rPr>
          <w:rFonts w:cs="Times New Roman"/>
          <w:vertAlign w:val="superscript"/>
          <w:lang w:val="en-GB"/>
        </w:rPr>
        <w:t>3+</w:t>
      </w:r>
      <w:r w:rsidRPr="00C53ACC">
        <w:rPr>
          <w:rFonts w:cs="Times New Roman"/>
          <w:lang w:val="en-GB"/>
        </w:rPr>
        <w:t>/∑Fe</w:t>
      </w:r>
      <w:r w:rsidRPr="00C53ACC">
        <w:rPr>
          <w:rFonts w:cs="Times New Roman"/>
          <w:vertAlign w:val="subscript"/>
          <w:lang w:val="en-GB"/>
        </w:rPr>
        <w:t xml:space="preserve">tot </w:t>
      </w:r>
      <w:r w:rsidRPr="00C53ACC">
        <w:rPr>
          <w:rFonts w:cs="Times New Roman"/>
          <w:lang w:val="en-GB"/>
        </w:rPr>
        <w:t xml:space="preserve">equal to 0.02 (Table </w:t>
      </w:r>
      <w:r w:rsidR="007806DF">
        <w:rPr>
          <w:rFonts w:cs="Times New Roman"/>
          <w:lang w:val="en-GB"/>
        </w:rPr>
        <w:t>S</w:t>
      </w:r>
      <w:r w:rsidRPr="00C53ACC">
        <w:rPr>
          <w:rFonts w:cs="Times New Roman"/>
          <w:lang w:val="en-GB"/>
        </w:rPr>
        <w:t xml:space="preserve">2). In contrast, Raman spectroscopy results suggest that both samples </w:t>
      </w:r>
      <w:r w:rsidRPr="00C53ACC">
        <w:rPr>
          <w:rFonts w:eastAsia="Times New Roman" w:cs="Times New Roman"/>
          <w:color w:val="000000"/>
          <w:szCs w:val="24"/>
          <w:lang w:val="en-GB"/>
        </w:rPr>
        <w:t>developed prominent peaks within the 660</w:t>
      </w:r>
      <w:r w:rsidRPr="00C53ACC">
        <w:rPr>
          <w:rFonts w:cs="Times New Roman"/>
          <w:lang w:val="en-GB"/>
        </w:rPr>
        <w:t>–690 cm</w:t>
      </w:r>
      <w:r w:rsidRPr="00C53ACC">
        <w:rPr>
          <w:rFonts w:cs="Times New Roman"/>
          <w:vertAlign w:val="superscript"/>
          <w:lang w:val="en-GB"/>
        </w:rPr>
        <w:t>−1</w:t>
      </w:r>
      <w:r w:rsidRPr="00C53ACC">
        <w:rPr>
          <w:rFonts w:cs="Times New Roman"/>
          <w:lang w:val="en-GB"/>
        </w:rPr>
        <w:t xml:space="preserve"> range after C-DSC measurements, accompanied by the complete shift of the Boson peak under the Rayleigh line </w:t>
      </w:r>
      <w:r w:rsidRPr="00C53ACC">
        <w:rPr>
          <w:rFonts w:eastAsia="Times New Roman" w:cs="Times New Roman"/>
          <w:color w:val="000000"/>
          <w:szCs w:val="24"/>
          <w:lang w:val="en-GB"/>
        </w:rPr>
        <w:t xml:space="preserve">(Fig. </w:t>
      </w:r>
      <w:r w:rsidR="007806DF">
        <w:rPr>
          <w:rFonts w:eastAsia="Times New Roman" w:cs="Times New Roman"/>
          <w:color w:val="000000"/>
          <w:szCs w:val="24"/>
          <w:lang w:val="en-GB"/>
        </w:rPr>
        <w:t>S</w:t>
      </w:r>
      <w:r w:rsidR="00F52E62">
        <w:rPr>
          <w:rFonts w:eastAsia="Times New Roman" w:cs="Times New Roman"/>
          <w:color w:val="000000"/>
          <w:szCs w:val="24"/>
          <w:lang w:val="en-GB"/>
        </w:rPr>
        <w:t>2</w:t>
      </w:r>
      <w:r w:rsidRPr="00C53ACC">
        <w:rPr>
          <w:rFonts w:eastAsia="Times New Roman" w:cs="Times New Roman"/>
          <w:color w:val="000000"/>
          <w:szCs w:val="24"/>
          <w:lang w:val="en-GB"/>
        </w:rPr>
        <w:t xml:space="preserve">a). On the other hand, samples </w:t>
      </w:r>
      <w:r w:rsidRPr="00C53ACC">
        <w:rPr>
          <w:rFonts w:cs="Times New Roman"/>
          <w:lang w:val="en-GB"/>
        </w:rPr>
        <w:t xml:space="preserve">AND65 and AND0 did not display significant changes following C-DSC experiments, as indicated by both Mössbauer and Raman results (Table </w:t>
      </w:r>
      <w:r w:rsidR="002C5318">
        <w:rPr>
          <w:rFonts w:cs="Times New Roman"/>
          <w:lang w:val="en-GB"/>
        </w:rPr>
        <w:t>S</w:t>
      </w:r>
      <w:r w:rsidRPr="00C53ACC">
        <w:rPr>
          <w:rFonts w:cs="Times New Roman"/>
          <w:lang w:val="en-GB"/>
        </w:rPr>
        <w:t xml:space="preserve">2 and Fig. </w:t>
      </w:r>
      <w:r w:rsidR="007806DF">
        <w:rPr>
          <w:rFonts w:cs="Times New Roman"/>
          <w:lang w:val="en-GB"/>
        </w:rPr>
        <w:t>S</w:t>
      </w:r>
      <w:r w:rsidR="00F52E62">
        <w:rPr>
          <w:rFonts w:cs="Times New Roman"/>
          <w:lang w:val="en-GB"/>
        </w:rPr>
        <w:t>2</w:t>
      </w:r>
      <w:r w:rsidRPr="00C53ACC">
        <w:rPr>
          <w:rFonts w:cs="Times New Roman"/>
          <w:lang w:val="en-GB"/>
        </w:rPr>
        <w:t xml:space="preserve">a). </w:t>
      </w:r>
    </w:p>
    <w:p w14:paraId="6C3EB955" w14:textId="62CF9036" w:rsidR="00C97BA2" w:rsidRDefault="00C97BA2" w:rsidP="00C97BA2">
      <w:pPr>
        <w:spacing w:line="480" w:lineRule="auto"/>
        <w:ind w:firstLine="720"/>
        <w:rPr>
          <w:rFonts w:cs="Times New Roman"/>
          <w:lang w:val="en-GB"/>
        </w:rPr>
      </w:pPr>
      <w:r w:rsidRPr="00C53ACC">
        <w:rPr>
          <w:rFonts w:cs="Times New Roman"/>
          <w:lang w:val="en-GB"/>
        </w:rPr>
        <w:lastRenderedPageBreak/>
        <w:t xml:space="preserve">Using our </w:t>
      </w:r>
      <w:r w:rsidRPr="00C53ACC">
        <w:rPr>
          <w:rFonts w:cs="Times New Roman"/>
          <w:i/>
          <w:iCs/>
          <w:lang w:val="en-GB"/>
        </w:rPr>
        <w:t>T</w:t>
      </w:r>
      <w:r w:rsidRPr="00C53ACC">
        <w:rPr>
          <w:rFonts w:cs="Times New Roman"/>
          <w:i/>
          <w:iCs/>
          <w:vertAlign w:val="subscript"/>
          <w:lang w:val="en-GB"/>
        </w:rPr>
        <w:t xml:space="preserve">onset </w:t>
      </w:r>
      <w:r w:rsidRPr="00C53ACC">
        <w:rPr>
          <w:rFonts w:cs="Times New Roman"/>
          <w:lang w:val="en-GB"/>
        </w:rPr>
        <w:t xml:space="preserve">measurements at 10 </w:t>
      </w:r>
      <w:r w:rsidR="00C827B8">
        <w:rPr>
          <w:rFonts w:cs="Times New Roman"/>
          <w:lang w:val="en-GB"/>
        </w:rPr>
        <w:t>℃</w:t>
      </w:r>
      <w:r w:rsidRPr="00C53ACC">
        <w:rPr>
          <w:rFonts w:cs="Times New Roman"/>
          <w:lang w:val="en-GB"/>
        </w:rPr>
        <w:t xml:space="preserve"> min</w:t>
      </w:r>
      <w:r w:rsidRPr="00C53ACC">
        <w:rPr>
          <w:rFonts w:cs="Times New Roman"/>
          <w:vertAlign w:val="superscript"/>
          <w:lang w:val="en-GB"/>
        </w:rPr>
        <w:t>-1</w:t>
      </w:r>
      <w:r w:rsidRPr="00C53ACC">
        <w:rPr>
          <w:rFonts w:cs="Times New Roman"/>
          <w:lang w:val="en-GB"/>
        </w:rPr>
        <w:t xml:space="preserve"> and Eq. 2</w:t>
      </w:r>
      <w:r w:rsidR="00E72AD8">
        <w:rPr>
          <w:rFonts w:cs="Times New Roman"/>
          <w:lang w:val="en-GB"/>
        </w:rPr>
        <w:t xml:space="preserve"> (main text, Materials and Methods section)</w:t>
      </w:r>
      <w:r w:rsidRPr="00C53ACC">
        <w:rPr>
          <w:rFonts w:cs="Times New Roman"/>
          <w:lang w:val="en-GB"/>
        </w:rPr>
        <w:t xml:space="preserve">, we derived C-DSC-based glass transition temperature </w:t>
      </w:r>
      <w:r w:rsidRPr="00C53ACC">
        <w:rPr>
          <w:rFonts w:cs="Times New Roman"/>
          <w:i/>
          <w:iCs/>
          <w:lang w:val="en-GB"/>
        </w:rPr>
        <w:t>T</w:t>
      </w:r>
      <w:r w:rsidRPr="00C53ACC">
        <w:rPr>
          <w:rFonts w:cs="Times New Roman"/>
          <w:i/>
          <w:iCs/>
          <w:vertAlign w:val="subscript"/>
          <w:lang w:val="en-GB"/>
        </w:rPr>
        <w:t>g</w:t>
      </w:r>
      <w:r w:rsidRPr="00C53ACC">
        <w:rPr>
          <w:rFonts w:cs="Times New Roman"/>
          <w:lang w:val="en-GB"/>
        </w:rPr>
        <w:t xml:space="preserve"> (</w:t>
      </w:r>
      <w:r w:rsidRPr="00C53ACC">
        <w:rPr>
          <w:rFonts w:cs="Times New Roman"/>
          <w:i/>
          <w:iCs/>
          <w:lang w:val="en-GB"/>
        </w:rPr>
        <w:t>η</w:t>
      </w:r>
      <w:r w:rsidRPr="00C53ACC">
        <w:rPr>
          <w:rFonts w:cs="Times New Roman"/>
          <w:lang w:val="en-GB"/>
        </w:rPr>
        <w:t xml:space="preserve"> ⁓ 10</w:t>
      </w:r>
      <w:r w:rsidRPr="00C53ACC">
        <w:rPr>
          <w:rFonts w:cs="Times New Roman"/>
          <w:vertAlign w:val="superscript"/>
          <w:lang w:val="en-GB"/>
        </w:rPr>
        <w:t>12</w:t>
      </w:r>
      <w:r w:rsidRPr="00C53ACC">
        <w:rPr>
          <w:rFonts w:cs="Times New Roman"/>
          <w:lang w:val="en-GB"/>
        </w:rPr>
        <w:t xml:space="preserve"> Pa s) values of 645, 654, 662, 696 and 737 ℃ (±0.5 ℃) for samples AND100red, AND100, AND100ox, AND65, and AND0, respectively. All in all, we argue that C-DSC measurements performed at </w:t>
      </w:r>
      <w:r w:rsidRPr="00C53ACC">
        <w:rPr>
          <w:rFonts w:cs="Times New Roman"/>
          <w:i/>
          <w:iCs/>
          <w:lang w:val="en-GB"/>
        </w:rPr>
        <w:t>T</w:t>
      </w:r>
      <w:r w:rsidRPr="00C53ACC">
        <w:rPr>
          <w:rFonts w:cs="Times New Roman"/>
          <w:i/>
          <w:iCs/>
          <w:vertAlign w:val="subscript"/>
          <w:lang w:val="en-GB"/>
        </w:rPr>
        <w:t>g</w:t>
      </w:r>
      <w:r w:rsidRPr="00C53ACC">
        <w:rPr>
          <w:rFonts w:cs="Times New Roman"/>
          <w:lang w:val="en-GB"/>
        </w:rPr>
        <w:t xml:space="preserve"> remained virtually unaffected by potential nanocrystallization and/or iron oxidation, especially when employing a conservative temperature treatment during the first upscan, as evidenced by the congruent </w:t>
      </w:r>
      <w:r w:rsidRPr="00C53ACC">
        <w:rPr>
          <w:rFonts w:cs="Times New Roman"/>
          <w:i/>
          <w:iCs/>
          <w:lang w:val="en-GB"/>
        </w:rPr>
        <w:t>T</w:t>
      </w:r>
      <w:r w:rsidRPr="00C53ACC">
        <w:rPr>
          <w:rFonts w:cs="Times New Roman"/>
          <w:i/>
          <w:iCs/>
          <w:vertAlign w:val="subscript"/>
          <w:lang w:val="en-GB"/>
        </w:rPr>
        <w:t xml:space="preserve">onset </w:t>
      </w:r>
      <w:r w:rsidRPr="00C53ACC">
        <w:rPr>
          <w:rFonts w:cs="Times New Roman"/>
          <w:lang w:val="en-GB"/>
        </w:rPr>
        <w:t>values of AND100_C-DSC</w:t>
      </w:r>
      <w:r w:rsidRPr="00C53ACC">
        <w:rPr>
          <w:rFonts w:cs="Times New Roman"/>
          <w:vertAlign w:val="subscript"/>
          <w:lang w:val="en-GB"/>
        </w:rPr>
        <w:t xml:space="preserve">10 </w:t>
      </w:r>
      <w:r w:rsidRPr="00C53ACC">
        <w:rPr>
          <w:rFonts w:cs="Times New Roman"/>
          <w:lang w:val="en-GB"/>
        </w:rPr>
        <w:t>and</w:t>
      </w:r>
      <w:r w:rsidRPr="00B6462A">
        <w:rPr>
          <w:rFonts w:cs="Times New Roman"/>
          <w:lang w:val="en-GB"/>
        </w:rPr>
        <w:t xml:space="preserve"> </w:t>
      </w:r>
      <w:r w:rsidRPr="00C53ACC">
        <w:rPr>
          <w:rFonts w:cs="Times New Roman"/>
          <w:lang w:val="en-GB"/>
        </w:rPr>
        <w:t>AND100_C-DSC</w:t>
      </w:r>
      <w:r w:rsidRPr="00C53ACC">
        <w:rPr>
          <w:rFonts w:cs="Times New Roman"/>
          <w:vertAlign w:val="subscript"/>
          <w:lang w:val="en-GB"/>
        </w:rPr>
        <w:t>10bis</w:t>
      </w:r>
      <w:r w:rsidRPr="00C53ACC">
        <w:rPr>
          <w:rFonts w:cs="Times New Roman"/>
          <w:lang w:val="en-GB"/>
        </w:rPr>
        <w:t xml:space="preserve">, in contrast to the considerable different </w:t>
      </w:r>
      <w:r w:rsidRPr="00C53ACC">
        <w:rPr>
          <w:rFonts w:cs="Times New Roman"/>
          <w:i/>
          <w:iCs/>
          <w:lang w:val="en-GB"/>
        </w:rPr>
        <w:t>T</w:t>
      </w:r>
      <w:r w:rsidRPr="00C53ACC">
        <w:rPr>
          <w:rFonts w:cs="Times New Roman"/>
          <w:i/>
          <w:iCs/>
          <w:vertAlign w:val="subscript"/>
          <w:lang w:val="en-GB"/>
        </w:rPr>
        <w:t xml:space="preserve">peak </w:t>
      </w:r>
      <w:r w:rsidRPr="00C53ACC">
        <w:rPr>
          <w:rFonts w:cs="Times New Roman"/>
          <w:lang w:val="en-GB"/>
        </w:rPr>
        <w:t>values of 715 vs 695 ℃, respectively.</w:t>
      </w:r>
      <w:r w:rsidRPr="00C53ACC">
        <w:rPr>
          <w:rFonts w:cs="Times New Roman"/>
          <w:i/>
          <w:iCs/>
          <w:lang w:val="en-GB"/>
        </w:rPr>
        <w:t xml:space="preserve"> </w:t>
      </w:r>
      <w:r w:rsidRPr="00C53ACC">
        <w:rPr>
          <w:rFonts w:cs="Times New Roman"/>
          <w:lang w:val="en-GB"/>
        </w:rPr>
        <w:t>By applying Eq. 2</w:t>
      </w:r>
      <w:r w:rsidR="00E72AD8">
        <w:rPr>
          <w:rFonts w:cs="Times New Roman"/>
          <w:lang w:val="en-GB"/>
        </w:rPr>
        <w:t xml:space="preserve"> (main text, Materials and Methods section)</w:t>
      </w:r>
      <w:r w:rsidRPr="00C53ACC">
        <w:rPr>
          <w:rFonts w:cs="Times New Roman"/>
          <w:lang w:val="en-GB"/>
        </w:rPr>
        <w:t xml:space="preserve">, we associated our characteristic </w:t>
      </w:r>
      <w:r w:rsidRPr="00C53ACC">
        <w:rPr>
          <w:rFonts w:cs="Times New Roman"/>
          <w:i/>
          <w:iCs/>
          <w:lang w:val="en-GB"/>
        </w:rPr>
        <w:t>T</w:t>
      </w:r>
      <w:r w:rsidRPr="00C53ACC">
        <w:rPr>
          <w:rFonts w:cs="Times New Roman"/>
          <w:i/>
          <w:iCs/>
          <w:vertAlign w:val="subscript"/>
          <w:lang w:val="en-GB"/>
        </w:rPr>
        <w:t>onset</w:t>
      </w:r>
      <w:r w:rsidRPr="00C53ACC">
        <w:rPr>
          <w:rFonts w:cs="Times New Roman"/>
          <w:lang w:val="en-GB"/>
        </w:rPr>
        <w:t xml:space="preserve"> and </w:t>
      </w:r>
      <w:r w:rsidRPr="00C53ACC">
        <w:rPr>
          <w:rFonts w:cs="Times New Roman"/>
          <w:i/>
          <w:iCs/>
          <w:lang w:val="en-GB"/>
        </w:rPr>
        <w:t>T</w:t>
      </w:r>
      <w:r w:rsidRPr="00C53ACC">
        <w:rPr>
          <w:rFonts w:cs="Times New Roman"/>
          <w:i/>
          <w:iCs/>
          <w:vertAlign w:val="subscript"/>
          <w:lang w:val="en-GB"/>
        </w:rPr>
        <w:t xml:space="preserve">peak </w:t>
      </w:r>
      <w:r w:rsidRPr="00C53ACC">
        <w:rPr>
          <w:rFonts w:cs="Times New Roman"/>
          <w:lang w:val="en-GB"/>
        </w:rPr>
        <w:t xml:space="preserve">from our C-DSC measurements, which are dependent on </w:t>
      </w:r>
      <w:r w:rsidRPr="00C53ACC">
        <w:rPr>
          <w:rFonts w:cs="Times New Roman"/>
          <w:i/>
          <w:iCs/>
          <w:lang w:val="en-GB"/>
        </w:rPr>
        <w:t>q</w:t>
      </w:r>
      <w:r w:rsidRPr="00C53ACC">
        <w:rPr>
          <w:rFonts w:cs="Times New Roman"/>
          <w:i/>
          <w:iCs/>
          <w:vertAlign w:val="subscript"/>
          <w:lang w:val="en-GB"/>
        </w:rPr>
        <w:t>h</w:t>
      </w:r>
      <w:r w:rsidRPr="00C53ACC">
        <w:rPr>
          <w:rFonts w:cs="Times New Roman"/>
          <w:i/>
          <w:iCs/>
          <w:lang w:val="en-GB"/>
        </w:rPr>
        <w:t>=q</w:t>
      </w:r>
      <w:r w:rsidRPr="00C53ACC">
        <w:rPr>
          <w:rFonts w:cs="Times New Roman"/>
          <w:i/>
          <w:iCs/>
          <w:vertAlign w:val="subscript"/>
          <w:lang w:val="en-GB"/>
        </w:rPr>
        <w:t xml:space="preserve">c, </w:t>
      </w:r>
      <w:r w:rsidRPr="00C53ACC">
        <w:rPr>
          <w:rFonts w:cs="Times New Roman"/>
          <w:lang w:val="en-GB"/>
        </w:rPr>
        <w:t xml:space="preserve">to viscosity values (Table </w:t>
      </w:r>
      <w:r w:rsidR="007806DF">
        <w:rPr>
          <w:rFonts w:cs="Times New Roman"/>
          <w:lang w:val="en-GB"/>
        </w:rPr>
        <w:t>S</w:t>
      </w:r>
      <w:r w:rsidRPr="00C53ACC">
        <w:rPr>
          <w:rFonts w:cs="Times New Roman"/>
          <w:lang w:val="en-GB"/>
        </w:rPr>
        <w:t xml:space="preserve">2). </w:t>
      </w:r>
    </w:p>
    <w:p w14:paraId="3D58E81E" w14:textId="77777777" w:rsidR="00C97BA2" w:rsidRPr="00C53ACC" w:rsidRDefault="00C97BA2" w:rsidP="00C97BA2">
      <w:pPr>
        <w:pStyle w:val="Heading2"/>
        <w:spacing w:line="480" w:lineRule="auto"/>
        <w:rPr>
          <w:rFonts w:eastAsiaTheme="minorEastAsia" w:cs="Times New Roman"/>
          <w:lang w:val="en-GB"/>
        </w:rPr>
      </w:pPr>
    </w:p>
    <w:p w14:paraId="16CD92A7" w14:textId="623B7ABB" w:rsidR="00C97BA2" w:rsidRPr="00C53ACC" w:rsidRDefault="00C97BA2" w:rsidP="00C97BA2">
      <w:pPr>
        <w:pStyle w:val="Heading2"/>
        <w:spacing w:line="480" w:lineRule="auto"/>
        <w:rPr>
          <w:rFonts w:cs="Times New Roman"/>
          <w:lang w:val="en-GB"/>
        </w:rPr>
      </w:pPr>
      <w:r w:rsidRPr="00C53ACC">
        <w:rPr>
          <w:rFonts w:cs="Times New Roman"/>
          <w:lang w:val="en-GB"/>
        </w:rPr>
        <w:t>S</w:t>
      </w:r>
      <w:r w:rsidR="00E24199">
        <w:rPr>
          <w:rFonts w:cs="Times New Roman"/>
          <w:lang w:val="en-GB"/>
        </w:rPr>
        <w:t>2</w:t>
      </w:r>
      <w:r w:rsidRPr="00C53ACC">
        <w:rPr>
          <w:rFonts w:cs="Times New Roman"/>
          <w:lang w:val="en-GB"/>
        </w:rPr>
        <w:t>.2 Flash Differential Scanning Calorimetry (F-DSC)</w:t>
      </w:r>
    </w:p>
    <w:p w14:paraId="677FDCA5" w14:textId="79D922D7" w:rsidR="00C97BA2" w:rsidRDefault="00C97BA2" w:rsidP="00C97BA2">
      <w:pPr>
        <w:spacing w:line="480" w:lineRule="auto"/>
        <w:ind w:firstLine="720"/>
        <w:rPr>
          <w:rFonts w:cs="Times New Roman"/>
          <w:lang w:val="en-GB"/>
        </w:rPr>
      </w:pPr>
      <w:r w:rsidRPr="00C53ACC">
        <w:rPr>
          <w:rFonts w:cs="Times New Roman"/>
          <w:lang w:val="en-GB"/>
        </w:rPr>
        <w:t xml:space="preserve">F-DSC measurements of AND100 and AND65 using a heating rate of 1,000 </w:t>
      </w:r>
      <w:r w:rsidR="002C0EB2">
        <w:rPr>
          <w:rFonts w:cs="Times New Roman"/>
          <w:lang w:val="en-GB"/>
        </w:rPr>
        <w:t>℃</w:t>
      </w:r>
      <w:r w:rsidRPr="00C53ACC">
        <w:rPr>
          <w:rFonts w:cs="Times New Roman"/>
          <w:lang w:val="en-GB"/>
        </w:rPr>
        <w:t xml:space="preserve"> s</w:t>
      </w:r>
      <w:r w:rsidRPr="00C53ACC">
        <w:rPr>
          <w:rFonts w:cs="Times New Roman"/>
          <w:vertAlign w:val="superscript"/>
          <w:lang w:val="en-GB"/>
        </w:rPr>
        <w:t>-1</w:t>
      </w:r>
      <w:r w:rsidRPr="00C53ACC">
        <w:rPr>
          <w:rFonts w:cs="Times New Roman"/>
          <w:lang w:val="en-GB"/>
        </w:rPr>
        <w:t xml:space="preserve"> resulted in </w:t>
      </w:r>
      <w:r w:rsidRPr="00C53ACC">
        <w:rPr>
          <w:rFonts w:cs="Times New Roman"/>
          <w:i/>
          <w:iCs/>
          <w:lang w:val="en-GB"/>
        </w:rPr>
        <w:t>T</w:t>
      </w:r>
      <w:r w:rsidRPr="00C53ACC">
        <w:rPr>
          <w:rFonts w:cs="Times New Roman"/>
          <w:i/>
          <w:iCs/>
          <w:vertAlign w:val="subscript"/>
          <w:lang w:val="en-GB"/>
        </w:rPr>
        <w:t xml:space="preserve">onset </w:t>
      </w:r>
      <w:r w:rsidRPr="00C53ACC">
        <w:rPr>
          <w:rFonts w:cs="Times New Roman"/>
          <w:lang w:val="en-GB"/>
        </w:rPr>
        <w:t>values</w:t>
      </w:r>
      <w:r w:rsidRPr="00C53ACC">
        <w:rPr>
          <w:rFonts w:cs="Times New Roman"/>
          <w:i/>
          <w:iCs/>
          <w:vertAlign w:val="subscript"/>
          <w:lang w:val="en-GB"/>
        </w:rPr>
        <w:t xml:space="preserve"> </w:t>
      </w:r>
      <w:r w:rsidRPr="00C53ACC">
        <w:rPr>
          <w:rFonts w:cs="Times New Roman"/>
          <w:lang w:val="en-GB"/>
        </w:rPr>
        <w:t xml:space="preserve">of 796 and 847 ℃, </w:t>
      </w:r>
      <w:r w:rsidRPr="00C53ACC">
        <w:rPr>
          <w:rFonts w:eastAsia="Times New Roman" w:cs="Times New Roman"/>
          <w:szCs w:val="24"/>
          <w:lang w:val="en-GB"/>
        </w:rPr>
        <w:t xml:space="preserve">and </w:t>
      </w:r>
      <w:r w:rsidRPr="00C53ACC">
        <w:rPr>
          <w:rFonts w:cs="Times New Roman"/>
          <w:i/>
          <w:iCs/>
          <w:lang w:val="en-GB"/>
        </w:rPr>
        <w:t>T</w:t>
      </w:r>
      <w:r w:rsidRPr="00C53ACC">
        <w:rPr>
          <w:rFonts w:cs="Times New Roman"/>
          <w:i/>
          <w:iCs/>
          <w:vertAlign w:val="subscript"/>
          <w:lang w:val="en-GB"/>
        </w:rPr>
        <w:t xml:space="preserve">peak </w:t>
      </w:r>
      <w:r w:rsidRPr="00C53ACC">
        <w:rPr>
          <w:rFonts w:cs="Times New Roman"/>
          <w:lang w:val="en-GB"/>
        </w:rPr>
        <w:t>values of 867 and 929 ℃, respectively (</w:t>
      </w:r>
      <w:r w:rsidR="00415070">
        <w:rPr>
          <w:rFonts w:cs="Times New Roman"/>
          <w:lang w:val="en-GB"/>
        </w:rPr>
        <w:t>F</w:t>
      </w:r>
      <w:r w:rsidR="007806DF">
        <w:rPr>
          <w:rFonts w:cs="Times New Roman"/>
          <w:lang w:val="en-GB"/>
        </w:rPr>
        <w:t>ig. S</w:t>
      </w:r>
      <w:r w:rsidR="00F52E62">
        <w:rPr>
          <w:rFonts w:cs="Times New Roman"/>
          <w:lang w:val="en-GB"/>
        </w:rPr>
        <w:t>3</w:t>
      </w:r>
      <w:r w:rsidRPr="00C53ACC">
        <w:rPr>
          <w:rFonts w:cs="Times New Roman"/>
          <w:lang w:val="en-GB"/>
        </w:rPr>
        <w:t xml:space="preserve">; Table </w:t>
      </w:r>
      <w:r w:rsidR="007806DF">
        <w:rPr>
          <w:rFonts w:cs="Times New Roman"/>
          <w:lang w:val="en-GB"/>
        </w:rPr>
        <w:t>S</w:t>
      </w:r>
      <w:r w:rsidRPr="00C53ACC">
        <w:rPr>
          <w:rFonts w:cs="Times New Roman"/>
          <w:lang w:val="en-GB"/>
        </w:rPr>
        <w:t>2)</w:t>
      </w:r>
      <w:r w:rsidRPr="00C53ACC">
        <w:rPr>
          <w:rFonts w:eastAsia="Times New Roman" w:cs="Times New Roman"/>
          <w:szCs w:val="24"/>
          <w:lang w:val="en-GB"/>
        </w:rPr>
        <w:t xml:space="preserve">. We observe that F-DSC </w:t>
      </w:r>
      <w:r w:rsidRPr="00C53ACC">
        <w:rPr>
          <w:rFonts w:cs="Times New Roman"/>
          <w:i/>
          <w:iCs/>
          <w:lang w:val="en-GB"/>
        </w:rPr>
        <w:t>T</w:t>
      </w:r>
      <w:r w:rsidRPr="00C53ACC">
        <w:rPr>
          <w:rFonts w:cs="Times New Roman"/>
          <w:i/>
          <w:iCs/>
          <w:vertAlign w:val="subscript"/>
          <w:lang w:val="en-GB"/>
        </w:rPr>
        <w:t>onset</w:t>
      </w:r>
      <w:r w:rsidRPr="00C53ACC">
        <w:rPr>
          <w:rFonts w:eastAsia="Times New Roman" w:cs="Times New Roman"/>
          <w:szCs w:val="24"/>
          <w:lang w:val="en-GB"/>
        </w:rPr>
        <w:t xml:space="preserve"> and </w:t>
      </w:r>
      <w:r w:rsidRPr="00C53ACC">
        <w:rPr>
          <w:rFonts w:cs="Times New Roman"/>
          <w:i/>
          <w:iCs/>
          <w:lang w:val="en-GB"/>
        </w:rPr>
        <w:t>T</w:t>
      </w:r>
      <w:r w:rsidRPr="00C53ACC">
        <w:rPr>
          <w:rFonts w:cs="Times New Roman"/>
          <w:i/>
          <w:iCs/>
          <w:vertAlign w:val="subscript"/>
          <w:lang w:val="en-GB"/>
        </w:rPr>
        <w:t xml:space="preserve">peak </w:t>
      </w:r>
      <w:r w:rsidRPr="00C53ACC">
        <w:rPr>
          <w:rFonts w:eastAsia="Times New Roman" w:cs="Times New Roman"/>
          <w:szCs w:val="24"/>
          <w:lang w:val="en-GB"/>
        </w:rPr>
        <w:t xml:space="preserve">increased </w:t>
      </w:r>
      <w:r w:rsidRPr="00C53ACC">
        <w:rPr>
          <w:rFonts w:cs="Times New Roman"/>
          <w:lang w:val="en-GB"/>
        </w:rPr>
        <w:t>with increasing SiO</w:t>
      </w:r>
      <w:r w:rsidRPr="00C53ACC">
        <w:rPr>
          <w:rFonts w:cs="Times New Roman"/>
          <w:vertAlign w:val="subscript"/>
          <w:lang w:val="en-GB"/>
        </w:rPr>
        <w:t>2</w:t>
      </w:r>
      <w:r w:rsidRPr="00C53ACC">
        <w:rPr>
          <w:rFonts w:cs="Times New Roman"/>
          <w:lang w:val="en-GB"/>
        </w:rPr>
        <w:t xml:space="preserve"> content and decreasing FeO</w:t>
      </w:r>
      <w:r w:rsidRPr="00C53ACC">
        <w:rPr>
          <w:rFonts w:cs="Times New Roman"/>
          <w:vertAlign w:val="subscript"/>
          <w:lang w:val="en-GB"/>
        </w:rPr>
        <w:t>tot</w:t>
      </w:r>
      <w:r w:rsidRPr="00C53ACC">
        <w:rPr>
          <w:rFonts w:cs="Times New Roman"/>
          <w:lang w:val="en-GB"/>
        </w:rPr>
        <w:t xml:space="preserve"> content, in good agreement with our previous C-DSC results. Furthermore, we performed a subsequent series of measurements on the same sample AND100 used before but increasing the heating rate from 1,000 to 10,000 </w:t>
      </w:r>
      <w:r w:rsidR="002C0EB2">
        <w:rPr>
          <w:rFonts w:cs="Times New Roman"/>
          <w:lang w:val="en-GB"/>
        </w:rPr>
        <w:t>℃</w:t>
      </w:r>
      <w:r w:rsidRPr="00C53ACC">
        <w:rPr>
          <w:rFonts w:cs="Times New Roman"/>
          <w:lang w:val="en-GB"/>
        </w:rPr>
        <w:t xml:space="preserve"> s</w:t>
      </w:r>
      <w:r w:rsidRPr="00C53ACC">
        <w:rPr>
          <w:rFonts w:cs="Times New Roman"/>
          <w:vertAlign w:val="superscript"/>
          <w:lang w:val="en-GB"/>
        </w:rPr>
        <w:t>-1</w:t>
      </w:r>
      <w:r w:rsidRPr="00C53ACC">
        <w:rPr>
          <w:rFonts w:cs="Times New Roman"/>
          <w:lang w:val="en-GB"/>
        </w:rPr>
        <w:t xml:space="preserve">. Our results evidenced a sustained increase in </w:t>
      </w:r>
      <w:r w:rsidRPr="00C53ACC">
        <w:rPr>
          <w:rFonts w:cs="Times New Roman"/>
          <w:i/>
          <w:iCs/>
          <w:lang w:val="en-GB"/>
        </w:rPr>
        <w:t>T</w:t>
      </w:r>
      <w:r w:rsidRPr="00C53ACC">
        <w:rPr>
          <w:rFonts w:cs="Times New Roman"/>
          <w:i/>
          <w:iCs/>
          <w:vertAlign w:val="subscript"/>
          <w:lang w:val="en-GB"/>
        </w:rPr>
        <w:t>onset</w:t>
      </w:r>
      <w:r w:rsidRPr="00C53ACC">
        <w:rPr>
          <w:rFonts w:cs="Times New Roman"/>
          <w:lang w:val="en-GB"/>
        </w:rPr>
        <w:t>, from 851 (F-DSC</w:t>
      </w:r>
      <w:r w:rsidRPr="00C53ACC">
        <w:rPr>
          <w:rFonts w:cs="Times New Roman"/>
          <w:vertAlign w:val="subscript"/>
          <w:lang w:val="en-GB"/>
        </w:rPr>
        <w:t>10000_on_#1</w:t>
      </w:r>
      <w:r w:rsidRPr="00C53ACC">
        <w:rPr>
          <w:rFonts w:cs="Times New Roman"/>
          <w:lang w:val="en-GB"/>
        </w:rPr>
        <w:t>) to 890 ℃ (F-DSC</w:t>
      </w:r>
      <w:r w:rsidRPr="00C53ACC">
        <w:rPr>
          <w:rFonts w:cs="Times New Roman"/>
          <w:vertAlign w:val="subscript"/>
          <w:lang w:val="en-GB"/>
        </w:rPr>
        <w:t>10000_on_#5</w:t>
      </w:r>
      <w:r w:rsidRPr="00C53ACC">
        <w:rPr>
          <w:rFonts w:cs="Times New Roman"/>
          <w:lang w:val="en-GB"/>
        </w:rPr>
        <w:t xml:space="preserve">) (Table </w:t>
      </w:r>
      <w:r w:rsidR="00415070">
        <w:rPr>
          <w:rFonts w:cs="Times New Roman"/>
          <w:lang w:val="en-GB"/>
        </w:rPr>
        <w:t>S</w:t>
      </w:r>
      <w:r w:rsidRPr="00C53ACC">
        <w:rPr>
          <w:rFonts w:cs="Times New Roman"/>
          <w:lang w:val="en-GB"/>
        </w:rPr>
        <w:t xml:space="preserve">2). </w:t>
      </w:r>
    </w:p>
    <w:p w14:paraId="5A6CCEB8" w14:textId="77777777" w:rsidR="008E2D7D" w:rsidRDefault="008E2D7D" w:rsidP="00C97BA2">
      <w:pPr>
        <w:spacing w:line="480" w:lineRule="auto"/>
        <w:ind w:firstLine="720"/>
        <w:rPr>
          <w:rFonts w:cs="Times New Roman"/>
          <w:lang w:val="en-GB"/>
        </w:rPr>
      </w:pPr>
    </w:p>
    <w:p w14:paraId="3CA4CA39" w14:textId="6F29FE33" w:rsidR="00E24199" w:rsidRDefault="00E24199" w:rsidP="00E24199">
      <w:pPr>
        <w:pStyle w:val="NormalWeb"/>
      </w:pPr>
      <w:r>
        <w:rPr>
          <w:noProof/>
          <w:lang w:val="de-DE" w:eastAsia="de-DE"/>
        </w:rPr>
        <w:lastRenderedPageBreak/>
        <w:drawing>
          <wp:inline distT="0" distB="0" distL="0" distR="0" wp14:anchorId="6B587C48" wp14:editId="196A6B6A">
            <wp:extent cx="4370964" cy="7391400"/>
            <wp:effectExtent l="0" t="0" r="0" b="0"/>
            <wp:docPr id="1510370199" name="Picture 1" descr="A graph of a graph of a graph of a graph of a graph of a graph of a graph of a graph of a graph of a graph of a graph of a graph of a graph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370199" name="Picture 1" descr="A graph of a graph of a graph of a graph of a graph of a graph of a graph of a graph of a graph of a graph of a graph of a graph of a graph of&#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74495" cy="7397371"/>
                    </a:xfrm>
                    <a:prstGeom prst="rect">
                      <a:avLst/>
                    </a:prstGeom>
                    <a:noFill/>
                    <a:ln>
                      <a:noFill/>
                    </a:ln>
                  </pic:spPr>
                </pic:pic>
              </a:graphicData>
            </a:graphic>
          </wp:inline>
        </w:drawing>
      </w:r>
    </w:p>
    <w:p w14:paraId="4282A426" w14:textId="18C631D7" w:rsidR="008E2D7D" w:rsidRPr="00415070" w:rsidRDefault="008E2D7D" w:rsidP="008E2D7D">
      <w:pPr>
        <w:spacing w:line="240" w:lineRule="auto"/>
        <w:rPr>
          <w:rFonts w:eastAsiaTheme="minorEastAsia"/>
          <w:lang w:val="en-GB"/>
        </w:rPr>
      </w:pPr>
      <w:r w:rsidRPr="00E50ABE">
        <w:rPr>
          <w:rFonts w:eastAsiaTheme="minorEastAsia"/>
          <w:b/>
          <w:bCs/>
          <w:lang w:val="en-GB"/>
        </w:rPr>
        <w:t xml:space="preserve">Figure </w:t>
      </w:r>
      <w:r w:rsidR="003A56F7" w:rsidRPr="00E50ABE">
        <w:rPr>
          <w:rFonts w:eastAsiaTheme="minorEastAsia"/>
          <w:b/>
          <w:bCs/>
          <w:lang w:val="en-GB"/>
        </w:rPr>
        <w:t>S</w:t>
      </w:r>
      <w:r w:rsidR="00F241D0" w:rsidRPr="00E50ABE">
        <w:rPr>
          <w:rFonts w:eastAsiaTheme="minorEastAsia"/>
          <w:b/>
          <w:bCs/>
          <w:lang w:val="en-GB"/>
        </w:rPr>
        <w:t>3</w:t>
      </w:r>
      <w:r w:rsidRPr="009D543F">
        <w:rPr>
          <w:rFonts w:eastAsiaTheme="minorEastAsia"/>
          <w:lang w:val="en-GB"/>
        </w:rPr>
        <w:t xml:space="preserve">. F-DSC </w:t>
      </w:r>
      <w:r w:rsidR="0057288D">
        <w:rPr>
          <w:rFonts w:eastAsiaTheme="minorEastAsia"/>
          <w:lang w:val="en-GB"/>
        </w:rPr>
        <w:t>results</w:t>
      </w:r>
      <w:r w:rsidRPr="009D543F">
        <w:rPr>
          <w:rFonts w:eastAsiaTheme="minorEastAsia"/>
          <w:lang w:val="en-GB"/>
        </w:rPr>
        <w:t xml:space="preserve"> for</w:t>
      </w:r>
      <w:r w:rsidR="0002472C">
        <w:rPr>
          <w:rFonts w:eastAsiaTheme="minorEastAsia"/>
          <w:lang w:val="en-GB"/>
        </w:rPr>
        <w:t>:</w:t>
      </w:r>
      <w:r w:rsidRPr="009D543F">
        <w:rPr>
          <w:rFonts w:eastAsiaTheme="minorEastAsia"/>
          <w:lang w:val="en-GB"/>
        </w:rPr>
        <w:t xml:space="preserve"> </w:t>
      </w:r>
      <w:r w:rsidR="005101D0">
        <w:rPr>
          <w:rFonts w:eastAsiaTheme="minorEastAsia"/>
          <w:lang w:val="en-GB"/>
        </w:rPr>
        <w:t xml:space="preserve">a) </w:t>
      </w:r>
      <w:r w:rsidRPr="009D543F">
        <w:rPr>
          <w:rFonts w:eastAsiaTheme="minorEastAsia"/>
          <w:lang w:val="en-GB"/>
        </w:rPr>
        <w:t xml:space="preserve">AND100 and </w:t>
      </w:r>
      <w:r w:rsidR="005101D0">
        <w:rPr>
          <w:rFonts w:eastAsiaTheme="minorEastAsia"/>
          <w:lang w:val="en-GB"/>
        </w:rPr>
        <w:t xml:space="preserve">b) </w:t>
      </w:r>
      <w:r w:rsidRPr="009D543F">
        <w:rPr>
          <w:rFonts w:eastAsiaTheme="minorEastAsia"/>
          <w:lang w:val="en-GB"/>
        </w:rPr>
        <w:t>AND65</w:t>
      </w:r>
      <w:r w:rsidR="00415070">
        <w:rPr>
          <w:rFonts w:eastAsiaTheme="minorEastAsia"/>
          <w:lang w:val="en-GB"/>
        </w:rPr>
        <w:t xml:space="preserve"> using </w:t>
      </w:r>
      <w:r w:rsidR="00415070" w:rsidRPr="00415070">
        <w:rPr>
          <w:rFonts w:eastAsiaTheme="minorEastAsia"/>
          <w:i/>
          <w:iCs/>
          <w:lang w:val="en-GB"/>
        </w:rPr>
        <w:t>q</w:t>
      </w:r>
      <w:r w:rsidR="00415070" w:rsidRPr="00415070">
        <w:rPr>
          <w:rFonts w:eastAsiaTheme="minorEastAsia"/>
          <w:i/>
          <w:iCs/>
          <w:vertAlign w:val="subscript"/>
          <w:lang w:val="en-GB"/>
        </w:rPr>
        <w:t>h</w:t>
      </w:r>
      <w:r w:rsidR="00415070" w:rsidRPr="00415070">
        <w:rPr>
          <w:rFonts w:eastAsiaTheme="minorEastAsia"/>
          <w:i/>
          <w:iCs/>
          <w:lang w:val="en-GB"/>
        </w:rPr>
        <w:t>=q</w:t>
      </w:r>
      <w:r w:rsidR="00415070" w:rsidRPr="00415070">
        <w:rPr>
          <w:rFonts w:eastAsiaTheme="minorEastAsia"/>
          <w:i/>
          <w:iCs/>
          <w:vertAlign w:val="subscript"/>
          <w:lang w:val="en-GB"/>
        </w:rPr>
        <w:t>c</w:t>
      </w:r>
      <w:r w:rsidR="00415070" w:rsidRPr="00415070">
        <w:rPr>
          <w:rFonts w:eastAsiaTheme="minorEastAsia"/>
          <w:i/>
          <w:iCs/>
          <w:lang w:val="en-GB"/>
        </w:rPr>
        <w:t>=</w:t>
      </w:r>
      <w:r w:rsidR="00415070">
        <w:rPr>
          <w:rFonts w:eastAsiaTheme="minorEastAsia"/>
          <w:lang w:val="en-GB"/>
        </w:rPr>
        <w:t xml:space="preserve"> 1000 ℃ s</w:t>
      </w:r>
      <w:r w:rsidR="00415070" w:rsidRPr="00415070">
        <w:rPr>
          <w:rFonts w:eastAsiaTheme="minorEastAsia"/>
          <w:vertAlign w:val="superscript"/>
          <w:lang w:val="en-GB"/>
        </w:rPr>
        <w:t>-1</w:t>
      </w:r>
      <w:r w:rsidR="00415070">
        <w:rPr>
          <w:rFonts w:eastAsiaTheme="minorEastAsia"/>
          <w:lang w:val="en-GB"/>
        </w:rPr>
        <w:t>.</w:t>
      </w:r>
    </w:p>
    <w:p w14:paraId="4BEC2460" w14:textId="77777777" w:rsidR="008E2D7D" w:rsidRPr="00C53ACC" w:rsidRDefault="008E2D7D" w:rsidP="00415070">
      <w:pPr>
        <w:spacing w:line="480" w:lineRule="auto"/>
        <w:rPr>
          <w:rFonts w:cs="Times New Roman"/>
          <w:lang w:val="en-GB"/>
        </w:rPr>
      </w:pPr>
    </w:p>
    <w:p w14:paraId="5981212C" w14:textId="0CE045EF" w:rsidR="00C97BA2" w:rsidRPr="00C53ACC" w:rsidRDefault="00C97BA2" w:rsidP="00C97BA2">
      <w:pPr>
        <w:spacing w:line="480" w:lineRule="auto"/>
        <w:ind w:firstLine="720"/>
        <w:rPr>
          <w:rFonts w:cs="Times New Roman"/>
          <w:lang w:val="en-GB"/>
        </w:rPr>
      </w:pPr>
      <w:r w:rsidRPr="00C53ACC">
        <w:rPr>
          <w:rFonts w:eastAsia="Times New Roman" w:cs="Times New Roman"/>
          <w:szCs w:val="24"/>
          <w:lang w:val="en-GB"/>
        </w:rPr>
        <w:lastRenderedPageBreak/>
        <w:t xml:space="preserve">The collected Raman spectra after F-DSC measurement suggested that </w:t>
      </w:r>
      <w:r w:rsidRPr="00C53ACC">
        <w:rPr>
          <w:rFonts w:cs="Times New Roman"/>
          <w:lang w:val="en-GB"/>
        </w:rPr>
        <w:t xml:space="preserve">sample AND100 underwent minimal changes after the first measurement at 1000 </w:t>
      </w:r>
      <w:r w:rsidR="00524977">
        <w:rPr>
          <w:rFonts w:cs="Times New Roman"/>
          <w:lang w:val="en-GB"/>
        </w:rPr>
        <w:t>℃</w:t>
      </w:r>
      <w:r w:rsidRPr="00C53ACC">
        <w:rPr>
          <w:rFonts w:cs="Times New Roman"/>
          <w:lang w:val="en-GB"/>
        </w:rPr>
        <w:t xml:space="preserve"> s</w:t>
      </w:r>
      <w:r w:rsidRPr="00C53ACC">
        <w:rPr>
          <w:rFonts w:cs="Times New Roman"/>
          <w:vertAlign w:val="superscript"/>
          <w:lang w:val="en-GB"/>
        </w:rPr>
        <w:t>-1</w:t>
      </w:r>
      <w:r w:rsidRPr="00C53ACC">
        <w:rPr>
          <w:rFonts w:cs="Times New Roman"/>
          <w:lang w:val="en-GB"/>
        </w:rPr>
        <w:t>, manifesting a subtle contribution within the 660–690 cm</w:t>
      </w:r>
      <w:r w:rsidRPr="00C53ACC">
        <w:rPr>
          <w:rFonts w:cs="Times New Roman"/>
          <w:vertAlign w:val="superscript"/>
          <w:lang w:val="en-GB"/>
        </w:rPr>
        <w:t xml:space="preserve">−1 </w:t>
      </w:r>
      <w:r w:rsidRPr="00C53ACC">
        <w:rPr>
          <w:rFonts w:cs="Times New Roman"/>
          <w:lang w:val="en-GB"/>
        </w:rPr>
        <w:t>range and a shift in the boson peak from 70 to 64 cm</w:t>
      </w:r>
      <w:r w:rsidRPr="00C53ACC">
        <w:rPr>
          <w:rFonts w:cs="Times New Roman"/>
          <w:vertAlign w:val="superscript"/>
          <w:lang w:val="en-GB"/>
        </w:rPr>
        <w:t xml:space="preserve">-1 </w:t>
      </w:r>
      <w:r w:rsidRPr="00C53ACC">
        <w:rPr>
          <w:rFonts w:cs="Times New Roman"/>
          <w:lang w:val="en-GB"/>
        </w:rPr>
        <w:t xml:space="preserve">(Fig 4b). In contrast, sample AND65 did not show any changes after the F-DSC measurement using the same conditions. Noticeably, the collected Raman spectra of AND100 at 10,000 </w:t>
      </w:r>
      <w:r w:rsidR="00524977">
        <w:rPr>
          <w:rFonts w:cs="Times New Roman"/>
          <w:lang w:val="en-GB"/>
        </w:rPr>
        <w:t>℃</w:t>
      </w:r>
      <w:r w:rsidRPr="00C53ACC">
        <w:rPr>
          <w:rFonts w:cs="Times New Roman"/>
          <w:lang w:val="en-GB"/>
        </w:rPr>
        <w:t xml:space="preserve"> s</w:t>
      </w:r>
      <w:r w:rsidRPr="00C53ACC">
        <w:rPr>
          <w:rFonts w:cs="Times New Roman"/>
          <w:vertAlign w:val="superscript"/>
          <w:lang w:val="en-GB"/>
        </w:rPr>
        <w:t xml:space="preserve">-1 </w:t>
      </w:r>
      <w:r w:rsidRPr="00C53ACC">
        <w:rPr>
          <w:rFonts w:cs="Times New Roman"/>
          <w:lang w:val="en-GB"/>
        </w:rPr>
        <w:t>showed a progressive increase in the 660–690 cm</w:t>
      </w:r>
      <w:r w:rsidRPr="00C53ACC">
        <w:rPr>
          <w:rFonts w:cs="Times New Roman"/>
          <w:vertAlign w:val="superscript"/>
          <w:lang w:val="en-GB"/>
        </w:rPr>
        <w:t>−1</w:t>
      </w:r>
      <w:r w:rsidRPr="00C53ACC">
        <w:rPr>
          <w:rFonts w:cs="Times New Roman"/>
          <w:lang w:val="en-GB"/>
        </w:rPr>
        <w:t xml:space="preserve"> range, alongside a continuous shift of the boson peak towards lower wavenumbers until the complete disappearance after the last run (F-DSC</w:t>
      </w:r>
      <w:r w:rsidRPr="00C53ACC">
        <w:rPr>
          <w:rFonts w:cs="Times New Roman"/>
          <w:vertAlign w:val="subscript"/>
          <w:lang w:val="en-GB"/>
        </w:rPr>
        <w:t>1000_#5</w:t>
      </w:r>
      <w:r w:rsidRPr="00C53ACC">
        <w:rPr>
          <w:rFonts w:cs="Times New Roman"/>
          <w:lang w:val="en-GB"/>
        </w:rPr>
        <w:t xml:space="preserve">; Fig </w:t>
      </w:r>
      <w:r w:rsidR="00524977">
        <w:rPr>
          <w:rFonts w:cs="Times New Roman"/>
          <w:lang w:val="en-GB"/>
        </w:rPr>
        <w:t>3S</w:t>
      </w:r>
      <w:r w:rsidRPr="00C53ACC">
        <w:rPr>
          <w:rFonts w:cs="Times New Roman"/>
          <w:lang w:val="en-GB"/>
        </w:rPr>
        <w:t>b). Moreover, we noted the appearance and gradual strengthening of a new Raman contribution within the 250-305 cm</w:t>
      </w:r>
      <w:r w:rsidRPr="00C53ACC">
        <w:rPr>
          <w:rFonts w:cs="Times New Roman"/>
          <w:vertAlign w:val="superscript"/>
          <w:lang w:val="en-GB"/>
        </w:rPr>
        <w:t>-1</w:t>
      </w:r>
      <w:r w:rsidRPr="00C53ACC">
        <w:rPr>
          <w:rFonts w:cs="Times New Roman"/>
          <w:lang w:val="en-GB"/>
        </w:rPr>
        <w:t xml:space="preserve"> range (highlighted in red in Fig</w:t>
      </w:r>
      <w:r w:rsidR="00E72AD8">
        <w:rPr>
          <w:rFonts w:cs="Times New Roman"/>
          <w:lang w:val="en-GB"/>
        </w:rPr>
        <w:t>.</w:t>
      </w:r>
      <w:r w:rsidRPr="00C53ACC">
        <w:rPr>
          <w:rFonts w:cs="Times New Roman"/>
          <w:lang w:val="en-GB"/>
        </w:rPr>
        <w:t xml:space="preserve"> </w:t>
      </w:r>
      <w:r w:rsidR="00524977">
        <w:rPr>
          <w:rFonts w:cs="Times New Roman"/>
          <w:lang w:val="en-GB"/>
        </w:rPr>
        <w:t>3S</w:t>
      </w:r>
      <w:r w:rsidRPr="00C53ACC">
        <w:rPr>
          <w:rFonts w:cs="Times New Roman"/>
          <w:lang w:val="en-GB"/>
        </w:rPr>
        <w:t>b) following the measurement of F-DSC</w:t>
      </w:r>
      <w:r w:rsidRPr="00C53ACC">
        <w:rPr>
          <w:rFonts w:cs="Times New Roman"/>
          <w:vertAlign w:val="subscript"/>
          <w:lang w:val="en-GB"/>
        </w:rPr>
        <w:t>10000_on_#1</w:t>
      </w:r>
      <w:r w:rsidRPr="00C53ACC">
        <w:rPr>
          <w:rFonts w:cs="Times New Roman"/>
          <w:lang w:val="en-GB"/>
        </w:rPr>
        <w:t xml:space="preserve">. This peak is likely associated with the formation of hematite (Jubb and Allen 2010), possibly arising from the oxidation of previously crystallized </w:t>
      </w:r>
      <w:r w:rsidR="00B23D01">
        <w:rPr>
          <w:rFonts w:cs="Times New Roman"/>
          <w:lang w:val="en-GB"/>
        </w:rPr>
        <w:t>titano</w:t>
      </w:r>
      <w:r w:rsidRPr="00C53ACC">
        <w:rPr>
          <w:rFonts w:cs="Times New Roman"/>
          <w:lang w:val="en-GB"/>
        </w:rPr>
        <w:t>magnetite nanolites during the F-DSC experiments.</w:t>
      </w:r>
      <w:r w:rsidR="00E24199">
        <w:rPr>
          <w:rFonts w:cs="Times New Roman"/>
          <w:lang w:val="en-GB"/>
        </w:rPr>
        <w:t xml:space="preserve"> </w:t>
      </w:r>
      <w:r w:rsidRPr="00C53ACC">
        <w:rPr>
          <w:rFonts w:cs="Times New Roman"/>
          <w:lang w:val="en-GB"/>
        </w:rPr>
        <w:t>Finally, by applying Eq. 2</w:t>
      </w:r>
      <w:r w:rsidR="00BC79C3">
        <w:rPr>
          <w:rFonts w:cs="Times New Roman"/>
          <w:lang w:val="en-GB"/>
        </w:rPr>
        <w:t xml:space="preserve"> (main text, Materials and Methods section)</w:t>
      </w:r>
      <w:r w:rsidRPr="00C53ACC">
        <w:rPr>
          <w:rFonts w:cs="Times New Roman"/>
          <w:lang w:val="en-GB"/>
        </w:rPr>
        <w:t xml:space="preserve">, we associated viscosity values to our characteristic </w:t>
      </w:r>
      <w:r w:rsidRPr="00C53ACC">
        <w:rPr>
          <w:rFonts w:cs="Times New Roman"/>
          <w:i/>
          <w:iCs/>
          <w:lang w:val="en-GB"/>
        </w:rPr>
        <w:t>T</w:t>
      </w:r>
      <w:r w:rsidRPr="00C53ACC">
        <w:rPr>
          <w:rFonts w:cs="Times New Roman"/>
          <w:i/>
          <w:iCs/>
          <w:vertAlign w:val="subscript"/>
          <w:lang w:val="en-GB"/>
        </w:rPr>
        <w:t>onset</w:t>
      </w:r>
      <w:r w:rsidRPr="00C53ACC">
        <w:rPr>
          <w:rFonts w:cs="Times New Roman"/>
          <w:lang w:val="en-GB"/>
        </w:rPr>
        <w:t xml:space="preserve"> and </w:t>
      </w:r>
      <w:r w:rsidRPr="00C53ACC">
        <w:rPr>
          <w:rFonts w:cs="Times New Roman"/>
          <w:i/>
          <w:iCs/>
          <w:lang w:val="en-GB"/>
        </w:rPr>
        <w:t>T</w:t>
      </w:r>
      <w:r w:rsidRPr="00C53ACC">
        <w:rPr>
          <w:rFonts w:cs="Times New Roman"/>
          <w:i/>
          <w:iCs/>
          <w:vertAlign w:val="subscript"/>
          <w:lang w:val="en-GB"/>
        </w:rPr>
        <w:t xml:space="preserve">peak </w:t>
      </w:r>
      <w:r w:rsidRPr="00C53ACC">
        <w:rPr>
          <w:rFonts w:cs="Times New Roman"/>
          <w:lang w:val="en-GB"/>
        </w:rPr>
        <w:t xml:space="preserve">from our F-DSC measurements (Table </w:t>
      </w:r>
      <w:r w:rsidR="00524977">
        <w:rPr>
          <w:rFonts w:cs="Times New Roman"/>
          <w:lang w:val="en-GB"/>
        </w:rPr>
        <w:t>S</w:t>
      </w:r>
      <w:r w:rsidRPr="00C53ACC">
        <w:rPr>
          <w:rFonts w:cs="Times New Roman"/>
          <w:lang w:val="en-GB"/>
        </w:rPr>
        <w:t xml:space="preserve">2).  </w:t>
      </w:r>
    </w:p>
    <w:p w14:paraId="7A5299A5" w14:textId="77777777" w:rsidR="00EB38F5" w:rsidRDefault="00EB38F5" w:rsidP="00EB38F5">
      <w:pPr>
        <w:spacing w:line="480" w:lineRule="auto"/>
        <w:rPr>
          <w:rFonts w:cs="Times New Roman"/>
          <w:lang w:val="en-GB"/>
        </w:rPr>
      </w:pPr>
    </w:p>
    <w:p w14:paraId="0E216D92" w14:textId="16D29C5B" w:rsidR="00C97BA2" w:rsidRPr="00C53ACC" w:rsidRDefault="00C97BA2" w:rsidP="00C97BA2">
      <w:pPr>
        <w:pStyle w:val="Heading2"/>
        <w:spacing w:line="480" w:lineRule="auto"/>
        <w:rPr>
          <w:rFonts w:eastAsiaTheme="minorEastAsia" w:cs="Times New Roman"/>
          <w:lang w:val="en-GB"/>
        </w:rPr>
      </w:pPr>
      <w:r w:rsidRPr="00C53ACC">
        <w:rPr>
          <w:rFonts w:eastAsiaTheme="minorEastAsia" w:cs="Times New Roman"/>
          <w:lang w:val="en-GB"/>
        </w:rPr>
        <w:t>S</w:t>
      </w:r>
      <w:r w:rsidR="00573BC9">
        <w:rPr>
          <w:rFonts w:eastAsiaTheme="minorEastAsia" w:cs="Times New Roman"/>
          <w:lang w:val="en-GB"/>
        </w:rPr>
        <w:t>3</w:t>
      </w:r>
      <w:r w:rsidRPr="00C53ACC">
        <w:rPr>
          <w:rFonts w:eastAsiaTheme="minorEastAsia" w:cs="Times New Roman"/>
          <w:lang w:val="en-GB"/>
        </w:rPr>
        <w:t xml:space="preserve"> Micropenetration and in situ Raman analyses </w:t>
      </w:r>
    </w:p>
    <w:p w14:paraId="33752DAA" w14:textId="1BB68EAE" w:rsidR="00C97BA2" w:rsidRPr="00C53ACC" w:rsidRDefault="00C97BA2" w:rsidP="00C97BA2">
      <w:pPr>
        <w:spacing w:line="480" w:lineRule="auto"/>
        <w:ind w:firstLine="720"/>
        <w:rPr>
          <w:rFonts w:cs="Times New Roman"/>
          <w:lang w:val="en-GB"/>
        </w:rPr>
      </w:pPr>
      <w:r w:rsidRPr="00C53ACC">
        <w:rPr>
          <w:rFonts w:cs="Times New Roman"/>
          <w:lang w:val="en-GB"/>
        </w:rPr>
        <w:t xml:space="preserve">Micropenetration viscometry results are reported in Table </w:t>
      </w:r>
      <w:r w:rsidR="006C622A">
        <w:rPr>
          <w:rFonts w:cs="Times New Roman"/>
          <w:lang w:val="en-GB"/>
        </w:rPr>
        <w:t>S</w:t>
      </w:r>
      <w:r w:rsidRPr="00C53ACC">
        <w:rPr>
          <w:rFonts w:cs="Times New Roman"/>
          <w:lang w:val="en-GB"/>
        </w:rPr>
        <w:t>2 as a function of temperature and experimental duration. We explored samples AND0, AND65 and AND100 targeting temperatures relative to our previous C-DSC measurements. For AND0, we explored the highest characteristic temperature derived via C-DSC (792 ℃), which corresponds to the C-DSC</w:t>
      </w:r>
      <w:r w:rsidRPr="00C53ACC">
        <w:rPr>
          <w:rFonts w:cs="Times New Roman"/>
          <w:vertAlign w:val="subscript"/>
          <w:lang w:val="en-GB"/>
        </w:rPr>
        <w:t xml:space="preserve">20-pk </w:t>
      </w:r>
      <w:r w:rsidRPr="00C53ACC">
        <w:rPr>
          <w:rFonts w:cs="Times New Roman"/>
          <w:lang w:val="en-GB"/>
        </w:rPr>
        <w:t xml:space="preserve">temperature. For AND65, we employed the </w:t>
      </w:r>
      <w:r w:rsidRPr="00C53ACC">
        <w:rPr>
          <w:rFonts w:cs="Times New Roman"/>
          <w:i/>
          <w:iCs/>
          <w:lang w:val="en-GB"/>
        </w:rPr>
        <w:t>T</w:t>
      </w:r>
      <w:r w:rsidRPr="00C53ACC">
        <w:rPr>
          <w:rFonts w:cs="Times New Roman"/>
          <w:i/>
          <w:iCs/>
          <w:vertAlign w:val="subscript"/>
          <w:lang w:val="en-GB"/>
        </w:rPr>
        <w:t>g</w:t>
      </w:r>
      <w:r w:rsidRPr="00C53ACC">
        <w:rPr>
          <w:rFonts w:cs="Times New Roman"/>
          <w:lang w:val="en-GB"/>
        </w:rPr>
        <w:t xml:space="preserve"> (C-DSC</w:t>
      </w:r>
      <w:r w:rsidRPr="00C53ACC">
        <w:rPr>
          <w:rFonts w:cs="Times New Roman"/>
          <w:vertAlign w:val="subscript"/>
          <w:lang w:val="en-GB"/>
        </w:rPr>
        <w:t>10-on</w:t>
      </w:r>
      <w:r w:rsidRPr="00C53ACC">
        <w:rPr>
          <w:rFonts w:cs="Times New Roman"/>
          <w:lang w:val="en-GB"/>
        </w:rPr>
        <w:t xml:space="preserve">, 696 ℃) and two additional temperatures: </w:t>
      </w:r>
      <w:r w:rsidRPr="00C53ACC">
        <w:rPr>
          <w:rFonts w:cs="Times New Roman"/>
          <w:i/>
          <w:iCs/>
          <w:lang w:val="en-GB"/>
        </w:rPr>
        <w:t xml:space="preserve"> T</w:t>
      </w:r>
      <w:r w:rsidRPr="00C53ACC">
        <w:rPr>
          <w:rFonts w:cs="Times New Roman"/>
          <w:i/>
          <w:iCs/>
          <w:vertAlign w:val="subscript"/>
          <w:lang w:val="en-GB"/>
        </w:rPr>
        <w:t>g</w:t>
      </w:r>
      <w:r w:rsidRPr="00C53ACC">
        <w:rPr>
          <w:rFonts w:cs="Times New Roman"/>
          <w:vertAlign w:val="subscript"/>
          <w:lang w:val="en-GB"/>
        </w:rPr>
        <w:t xml:space="preserve"> </w:t>
      </w:r>
      <w:r w:rsidRPr="00C53ACC">
        <w:rPr>
          <w:rFonts w:cs="Times New Roman"/>
          <w:lang w:val="en-GB"/>
        </w:rPr>
        <w:t xml:space="preserve">+ 15 ℃ (711 ℃) and </w:t>
      </w:r>
      <w:r w:rsidRPr="00C53ACC">
        <w:rPr>
          <w:rFonts w:cs="Times New Roman"/>
          <w:i/>
          <w:iCs/>
          <w:lang w:val="en-GB"/>
        </w:rPr>
        <w:t>T</w:t>
      </w:r>
      <w:r w:rsidRPr="00C53ACC">
        <w:rPr>
          <w:rFonts w:cs="Times New Roman"/>
          <w:i/>
          <w:iCs/>
          <w:vertAlign w:val="subscript"/>
          <w:lang w:val="en-GB"/>
        </w:rPr>
        <w:t xml:space="preserve">g </w:t>
      </w:r>
      <w:r w:rsidRPr="00C53ACC">
        <w:rPr>
          <w:rFonts w:cs="Times New Roman"/>
          <w:vertAlign w:val="subscript"/>
          <w:lang w:val="en-GB"/>
        </w:rPr>
        <w:t xml:space="preserve"> </w:t>
      </w:r>
      <w:r w:rsidRPr="00C53ACC">
        <w:rPr>
          <w:rFonts w:cs="Times New Roman"/>
          <w:lang w:val="en-GB"/>
        </w:rPr>
        <w:t xml:space="preserve">+ 65 ℃ (761 ℃). For AND100, we selected the retrieved </w:t>
      </w:r>
      <w:r w:rsidRPr="00C53ACC">
        <w:rPr>
          <w:rFonts w:cs="Times New Roman"/>
          <w:i/>
          <w:iCs/>
          <w:lang w:val="en-GB"/>
        </w:rPr>
        <w:t>T</w:t>
      </w:r>
      <w:r w:rsidRPr="00C53ACC">
        <w:rPr>
          <w:rFonts w:cs="Times New Roman"/>
          <w:i/>
          <w:iCs/>
          <w:vertAlign w:val="subscript"/>
          <w:lang w:val="en-GB"/>
        </w:rPr>
        <w:t>g</w:t>
      </w:r>
      <w:r w:rsidRPr="00C53ACC">
        <w:rPr>
          <w:rFonts w:cs="Times New Roman"/>
          <w:lang w:val="en-GB"/>
        </w:rPr>
        <w:t xml:space="preserve"> (C-DSC</w:t>
      </w:r>
      <w:r w:rsidRPr="00C53ACC">
        <w:rPr>
          <w:rFonts w:cs="Times New Roman"/>
          <w:vertAlign w:val="subscript"/>
          <w:lang w:val="en-GB"/>
        </w:rPr>
        <w:t>10_on</w:t>
      </w:r>
      <w:r w:rsidRPr="00C53ACC">
        <w:rPr>
          <w:rFonts w:cs="Times New Roman"/>
          <w:lang w:val="en-GB"/>
        </w:rPr>
        <w:t>, 654 ℃) and C-DSC</w:t>
      </w:r>
      <w:r w:rsidRPr="00C53ACC">
        <w:rPr>
          <w:rFonts w:cs="Times New Roman"/>
          <w:vertAlign w:val="subscript"/>
          <w:lang w:val="en-GB"/>
        </w:rPr>
        <w:t>20_pk</w:t>
      </w:r>
      <w:r w:rsidRPr="00C53ACC">
        <w:rPr>
          <w:rFonts w:cs="Times New Roman"/>
          <w:lang w:val="en-GB"/>
        </w:rPr>
        <w:t xml:space="preserve"> (724 ℃) temperatures. In addition, we measured the </w:t>
      </w:r>
      <w:r w:rsidRPr="00C53ACC">
        <w:rPr>
          <w:rFonts w:cs="Times New Roman"/>
          <w:lang w:val="en-GB"/>
        </w:rPr>
        <w:lastRenderedPageBreak/>
        <w:t xml:space="preserve">viscosity at 808 ℃ </w:t>
      </w:r>
      <w:r w:rsidR="00791334">
        <w:rPr>
          <w:rFonts w:cs="Times New Roman"/>
          <w:lang w:val="en-GB"/>
        </w:rPr>
        <w:t>which</w:t>
      </w:r>
      <w:r w:rsidR="00791334" w:rsidRPr="00C53ACC">
        <w:rPr>
          <w:rFonts w:cs="Times New Roman"/>
          <w:lang w:val="en-GB"/>
        </w:rPr>
        <w:t xml:space="preserve"> </w:t>
      </w:r>
      <w:r w:rsidRPr="00C53ACC">
        <w:rPr>
          <w:rFonts w:cs="Times New Roman"/>
          <w:lang w:val="en-GB"/>
        </w:rPr>
        <w:t>corresponds to the maximum temperature employed by Okumura et al. (2022) for a similar andesitic melt (And</w:t>
      </w:r>
      <w:r w:rsidRPr="00C53ACC">
        <w:rPr>
          <w:rFonts w:cs="Times New Roman"/>
          <w:vertAlign w:val="superscript"/>
          <w:lang w:val="en-GB"/>
        </w:rPr>
        <w:t>e</w:t>
      </w:r>
      <w:r w:rsidRPr="00C53ACC">
        <w:rPr>
          <w:rFonts w:cs="Times New Roman"/>
          <w:lang w:val="en-GB"/>
        </w:rPr>
        <w:t xml:space="preserve">, Table </w:t>
      </w:r>
      <w:r w:rsidR="006C622A">
        <w:rPr>
          <w:rFonts w:cs="Times New Roman"/>
          <w:lang w:val="en-GB"/>
        </w:rPr>
        <w:t>S</w:t>
      </w:r>
      <w:r w:rsidRPr="00C53ACC">
        <w:rPr>
          <w:rFonts w:cs="Times New Roman"/>
          <w:lang w:val="en-GB"/>
        </w:rPr>
        <w:t xml:space="preserve">1). </w:t>
      </w:r>
    </w:p>
    <w:p w14:paraId="3165B25E" w14:textId="131AFBF3" w:rsidR="00C97BA2" w:rsidRPr="00C53ACC" w:rsidRDefault="00C97BA2" w:rsidP="00C97BA2">
      <w:pPr>
        <w:spacing w:line="480" w:lineRule="auto"/>
        <w:ind w:firstLine="720"/>
        <w:rPr>
          <w:rFonts w:cs="Times New Roman"/>
          <w:lang w:val="en-GB"/>
        </w:rPr>
      </w:pPr>
      <w:bookmarkStart w:id="1" w:name="_Hlk153871288"/>
      <w:r w:rsidRPr="00C53ACC">
        <w:rPr>
          <w:rFonts w:cs="Times New Roman"/>
          <w:lang w:val="en-GB"/>
        </w:rPr>
        <w:t>Micropenetration results (</w:t>
      </w:r>
      <w:r w:rsidR="006C622A">
        <w:rPr>
          <w:rFonts w:cs="Times New Roman"/>
          <w:lang w:val="en-GB"/>
        </w:rPr>
        <w:t>Table S2</w:t>
      </w:r>
      <w:r w:rsidRPr="00C53ACC">
        <w:rPr>
          <w:rFonts w:cs="Times New Roman"/>
          <w:lang w:val="en-GB"/>
        </w:rPr>
        <w:t xml:space="preserve">) </w:t>
      </w:r>
      <w:bookmarkEnd w:id="1"/>
      <w:r w:rsidRPr="00C53ACC">
        <w:rPr>
          <w:rFonts w:cs="Times New Roman"/>
          <w:lang w:val="en-GB"/>
        </w:rPr>
        <w:t xml:space="preserve">showed that viscosity decreases with increasing temperature and that sample AND0 is the most viscous composition, followed by AND65 and then AND100, respectively. For AND0, we measured a viscosity of </w:t>
      </w:r>
      <w:r w:rsidRPr="00C53ACC">
        <w:rPr>
          <w:rFonts w:eastAsiaTheme="minorEastAsia" w:cs="Times New Roman"/>
          <w:lang w:val="en-GB"/>
        </w:rPr>
        <w:t>10</w:t>
      </w:r>
      <w:r w:rsidRPr="00C53ACC">
        <w:rPr>
          <w:rFonts w:eastAsiaTheme="minorEastAsia" w:cs="Times New Roman"/>
          <w:vertAlign w:val="superscript"/>
          <w:lang w:val="en-GB"/>
        </w:rPr>
        <w:t>10.43</w:t>
      </w:r>
      <w:r w:rsidRPr="00C53ACC">
        <w:rPr>
          <w:rFonts w:eastAsiaTheme="minorEastAsia" w:cs="Times New Roman"/>
          <w:lang w:val="en-GB"/>
        </w:rPr>
        <w:t xml:space="preserve"> Pa s at 792 ℃. For </w:t>
      </w:r>
      <w:r w:rsidRPr="00C53ACC">
        <w:rPr>
          <w:rFonts w:cs="Times New Roman"/>
          <w:lang w:val="en-GB"/>
        </w:rPr>
        <w:t xml:space="preserve">AND65, we recorded viscosities of </w:t>
      </w:r>
      <w:r w:rsidRPr="00C53ACC">
        <w:rPr>
          <w:rFonts w:eastAsiaTheme="minorEastAsia" w:cs="Times New Roman"/>
          <w:lang w:val="en-GB"/>
        </w:rPr>
        <w:t>10</w:t>
      </w:r>
      <w:r w:rsidRPr="00C53ACC">
        <w:rPr>
          <w:rFonts w:eastAsiaTheme="minorEastAsia" w:cs="Times New Roman"/>
          <w:vertAlign w:val="superscript"/>
          <w:lang w:val="en-GB"/>
        </w:rPr>
        <w:t>12.13</w:t>
      </w:r>
      <w:r w:rsidRPr="00C53ACC">
        <w:rPr>
          <w:rFonts w:eastAsiaTheme="minorEastAsia" w:cs="Times New Roman"/>
          <w:lang w:val="en-GB"/>
        </w:rPr>
        <w:t>,</w:t>
      </w:r>
      <w:r w:rsidRPr="00C53ACC">
        <w:rPr>
          <w:rFonts w:eastAsiaTheme="minorEastAsia" w:cs="Times New Roman"/>
          <w:vertAlign w:val="superscript"/>
          <w:lang w:val="en-GB"/>
        </w:rPr>
        <w:t xml:space="preserve"> </w:t>
      </w:r>
      <w:r w:rsidRPr="00C53ACC">
        <w:rPr>
          <w:rFonts w:eastAsiaTheme="minorEastAsia" w:cs="Times New Roman"/>
          <w:lang w:val="en-GB"/>
        </w:rPr>
        <w:t>10</w:t>
      </w:r>
      <w:r w:rsidRPr="00C53ACC">
        <w:rPr>
          <w:rFonts w:eastAsiaTheme="minorEastAsia" w:cs="Times New Roman"/>
          <w:vertAlign w:val="superscript"/>
          <w:lang w:val="en-GB"/>
        </w:rPr>
        <w:t xml:space="preserve">10.23 </w:t>
      </w:r>
      <w:r w:rsidRPr="00C53ACC">
        <w:rPr>
          <w:rFonts w:eastAsiaTheme="minorEastAsia" w:cs="Times New Roman"/>
          <w:lang w:val="en-GB"/>
        </w:rPr>
        <w:t>and 10</w:t>
      </w:r>
      <w:r w:rsidRPr="00C53ACC">
        <w:rPr>
          <w:rFonts w:eastAsiaTheme="minorEastAsia" w:cs="Times New Roman"/>
          <w:vertAlign w:val="superscript"/>
          <w:lang w:val="en-GB"/>
        </w:rPr>
        <w:t>11.66</w:t>
      </w:r>
      <w:r w:rsidRPr="00C53ACC">
        <w:rPr>
          <w:rFonts w:eastAsiaTheme="minorEastAsia" w:cs="Times New Roman"/>
          <w:lang w:val="en-GB"/>
        </w:rPr>
        <w:t xml:space="preserve"> Pa s at 696, 711 and 761 ℃, respectively. </w:t>
      </w:r>
      <w:r w:rsidRPr="00C53ACC">
        <w:rPr>
          <w:rFonts w:cs="Times New Roman"/>
          <w:lang w:val="en-GB"/>
        </w:rPr>
        <w:t xml:space="preserve">Notably, for sample AND100, </w:t>
      </w:r>
      <w:bookmarkStart w:id="2" w:name="_Hlk153871554"/>
      <w:r w:rsidRPr="00C53ACC">
        <w:rPr>
          <w:rFonts w:cs="Times New Roman"/>
          <w:lang w:val="en-GB"/>
        </w:rPr>
        <w:t xml:space="preserve">we observed a </w:t>
      </w:r>
      <w:r w:rsidRPr="00C53ACC">
        <w:rPr>
          <w:rFonts w:eastAsiaTheme="minorEastAsia" w:cs="Times New Roman"/>
          <w:lang w:val="en-GB"/>
        </w:rPr>
        <w:t>time-dependent increase in viscosity at fixed temperatures</w:t>
      </w:r>
      <w:bookmarkEnd w:id="2"/>
      <w:r w:rsidRPr="00C53ACC">
        <w:rPr>
          <w:rFonts w:eastAsiaTheme="minorEastAsia" w:cs="Times New Roman"/>
          <w:lang w:val="en-GB"/>
        </w:rPr>
        <w:t xml:space="preserve">. For instance, the viscosity of </w:t>
      </w:r>
      <w:r w:rsidRPr="00C53ACC">
        <w:rPr>
          <w:rFonts w:cs="Times New Roman"/>
          <w:lang w:val="en-GB"/>
        </w:rPr>
        <w:t xml:space="preserve">AND100 </w:t>
      </w:r>
      <w:r w:rsidRPr="00C53ACC">
        <w:rPr>
          <w:rFonts w:eastAsiaTheme="minorEastAsia" w:cs="Times New Roman"/>
          <w:lang w:val="en-GB"/>
        </w:rPr>
        <w:t>at 658.5 ± 1.5 ℃</w:t>
      </w:r>
      <w:r w:rsidRPr="00C53ACC">
        <w:rPr>
          <w:rFonts w:cs="Times New Roman"/>
          <w:lang w:val="en-GB"/>
        </w:rPr>
        <w:t xml:space="preserve"> </w:t>
      </w:r>
      <w:r w:rsidRPr="00C53ACC">
        <w:rPr>
          <w:rFonts w:eastAsiaTheme="minorEastAsia" w:cs="Times New Roman"/>
          <w:lang w:val="en-GB"/>
        </w:rPr>
        <w:t>increased from 10</w:t>
      </w:r>
      <w:r w:rsidRPr="00C53ACC">
        <w:rPr>
          <w:rFonts w:eastAsiaTheme="minorEastAsia" w:cs="Times New Roman"/>
          <w:vertAlign w:val="superscript"/>
          <w:lang w:val="en-GB"/>
        </w:rPr>
        <w:t>12</w:t>
      </w:r>
      <w:r w:rsidRPr="00C53ACC">
        <w:rPr>
          <w:rFonts w:eastAsiaTheme="minorEastAsia" w:cs="Times New Roman"/>
          <w:lang w:val="en-GB"/>
        </w:rPr>
        <w:t xml:space="preserve"> to 10</w:t>
      </w:r>
      <w:r w:rsidRPr="00C53ACC">
        <w:rPr>
          <w:rFonts w:eastAsiaTheme="minorEastAsia" w:cs="Times New Roman"/>
          <w:vertAlign w:val="superscript"/>
          <w:lang w:val="en-GB"/>
        </w:rPr>
        <w:t>12.7</w:t>
      </w:r>
      <w:r w:rsidRPr="00C53ACC">
        <w:rPr>
          <w:rFonts w:eastAsiaTheme="minorEastAsia" w:cs="Times New Roman"/>
          <w:lang w:val="en-GB"/>
        </w:rPr>
        <w:t xml:space="preserve"> Pa s in 60 minutes. At 723 ± 1.5 ℃, we observed an increase from 10</w:t>
      </w:r>
      <w:r w:rsidRPr="00C53ACC">
        <w:rPr>
          <w:rFonts w:eastAsiaTheme="minorEastAsia" w:cs="Times New Roman"/>
          <w:vertAlign w:val="superscript"/>
          <w:lang w:val="en-GB"/>
        </w:rPr>
        <w:t>11.04</w:t>
      </w:r>
      <w:r w:rsidRPr="00C53ACC">
        <w:rPr>
          <w:rFonts w:eastAsiaTheme="minorEastAsia" w:cs="Times New Roman"/>
          <w:lang w:val="en-GB"/>
        </w:rPr>
        <w:t xml:space="preserve"> to 10</w:t>
      </w:r>
      <w:r w:rsidRPr="00C53ACC">
        <w:rPr>
          <w:rFonts w:eastAsiaTheme="minorEastAsia" w:cs="Times New Roman"/>
          <w:vertAlign w:val="superscript"/>
          <w:lang w:val="en-GB"/>
        </w:rPr>
        <w:t>11.90</w:t>
      </w:r>
      <w:r w:rsidRPr="00C53ACC">
        <w:rPr>
          <w:rFonts w:eastAsiaTheme="minorEastAsia" w:cs="Times New Roman"/>
          <w:lang w:val="en-GB"/>
        </w:rPr>
        <w:t xml:space="preserve"> Pa over 90 minutes. Finally, at 807 ± 0.5 ℃, we recorded an increase from 10</w:t>
      </w:r>
      <w:r w:rsidRPr="00C53ACC">
        <w:rPr>
          <w:rFonts w:eastAsiaTheme="minorEastAsia" w:cs="Times New Roman"/>
          <w:vertAlign w:val="superscript"/>
          <w:lang w:val="en-GB"/>
        </w:rPr>
        <w:t>9.74</w:t>
      </w:r>
      <w:r w:rsidRPr="00C53ACC">
        <w:rPr>
          <w:rFonts w:eastAsiaTheme="minorEastAsia" w:cs="Times New Roman"/>
          <w:lang w:val="en-GB"/>
        </w:rPr>
        <w:t xml:space="preserve"> to 10</w:t>
      </w:r>
      <w:r w:rsidRPr="00C53ACC">
        <w:rPr>
          <w:rFonts w:eastAsiaTheme="minorEastAsia" w:cs="Times New Roman"/>
          <w:vertAlign w:val="superscript"/>
          <w:lang w:val="en-GB"/>
        </w:rPr>
        <w:t>10.17</w:t>
      </w:r>
      <w:r w:rsidRPr="00C53ACC">
        <w:rPr>
          <w:rFonts w:eastAsiaTheme="minorEastAsia" w:cs="Times New Roman"/>
          <w:lang w:val="en-GB"/>
        </w:rPr>
        <w:t xml:space="preserve"> Pa s in 60 minutes, exhibiting a similar viscosity increase as the one reported by Okumura et al. (2022) at the same temperature (namely, ⁓0.5 log</w:t>
      </w:r>
      <w:r w:rsidRPr="00C53ACC">
        <w:rPr>
          <w:rFonts w:eastAsiaTheme="minorEastAsia" w:cs="Times New Roman"/>
          <w:vertAlign w:val="subscript"/>
          <w:lang w:val="en-GB"/>
        </w:rPr>
        <w:t>10</w:t>
      </w:r>
      <w:r w:rsidRPr="00C53ACC">
        <w:rPr>
          <w:rFonts w:eastAsiaTheme="minorEastAsia" w:cs="Times New Roman"/>
          <w:lang w:val="en-GB"/>
        </w:rPr>
        <w:t xml:space="preserve"> units).</w:t>
      </w:r>
    </w:p>
    <w:p w14:paraId="2578914C" w14:textId="1B13D7FE" w:rsidR="00C97BA2" w:rsidRPr="00C53ACC" w:rsidRDefault="00791334" w:rsidP="00C97BA2">
      <w:pPr>
        <w:spacing w:line="480" w:lineRule="auto"/>
        <w:ind w:firstLine="720"/>
        <w:rPr>
          <w:rFonts w:cs="Times New Roman"/>
          <w:lang w:val="en-GB"/>
        </w:rPr>
      </w:pPr>
      <w:r>
        <w:rPr>
          <w:rFonts w:cs="Times New Roman"/>
          <w:lang w:val="en-GB"/>
        </w:rPr>
        <w:t>Following</w:t>
      </w:r>
      <w:r w:rsidR="00C97BA2" w:rsidRPr="00C53ACC">
        <w:rPr>
          <w:rFonts w:cs="Times New Roman"/>
          <w:lang w:val="en-GB"/>
        </w:rPr>
        <w:t xml:space="preserve"> Eq. 2, we expected to measure a viscosity of ⁓10</w:t>
      </w:r>
      <w:r w:rsidR="00C97BA2" w:rsidRPr="00C53ACC">
        <w:rPr>
          <w:rFonts w:cs="Times New Roman"/>
          <w:vertAlign w:val="superscript"/>
          <w:lang w:val="en-GB"/>
        </w:rPr>
        <w:t>12</w:t>
      </w:r>
      <w:r w:rsidR="00C97BA2" w:rsidRPr="00C53ACC">
        <w:rPr>
          <w:rFonts w:cs="Times New Roman"/>
          <w:lang w:val="en-GB"/>
        </w:rPr>
        <w:t xml:space="preserve"> Pa s for measurements performed at the calorimetric </w:t>
      </w:r>
      <w:r w:rsidR="00C97BA2" w:rsidRPr="00C53ACC">
        <w:rPr>
          <w:rFonts w:cs="Times New Roman"/>
          <w:i/>
          <w:iCs/>
          <w:lang w:val="en-GB"/>
        </w:rPr>
        <w:t>T</w:t>
      </w:r>
      <w:r w:rsidR="00C97BA2" w:rsidRPr="00C53ACC">
        <w:rPr>
          <w:rFonts w:cs="Times New Roman"/>
          <w:i/>
          <w:iCs/>
          <w:vertAlign w:val="subscript"/>
          <w:lang w:val="en-GB"/>
        </w:rPr>
        <w:t>g</w:t>
      </w:r>
      <w:r w:rsidR="00C97BA2" w:rsidRPr="00C53ACC">
        <w:rPr>
          <w:rFonts w:cs="Times New Roman"/>
          <w:lang w:val="en-GB"/>
        </w:rPr>
        <w:t xml:space="preserve"> (C-DSC</w:t>
      </w:r>
      <w:r w:rsidR="00C97BA2" w:rsidRPr="00C53ACC">
        <w:rPr>
          <w:rFonts w:cs="Times New Roman"/>
          <w:vertAlign w:val="subscript"/>
          <w:lang w:val="en-GB"/>
        </w:rPr>
        <w:t>10-on</w:t>
      </w:r>
      <w:r w:rsidR="00C97BA2" w:rsidRPr="00C53ACC">
        <w:rPr>
          <w:rFonts w:cs="Times New Roman"/>
          <w:lang w:val="en-GB"/>
        </w:rPr>
        <w:t>) and ⁓10</w:t>
      </w:r>
      <w:r w:rsidR="00C97BA2" w:rsidRPr="00C53ACC">
        <w:rPr>
          <w:rFonts w:cs="Times New Roman"/>
          <w:vertAlign w:val="superscript"/>
          <w:lang w:val="en-GB"/>
        </w:rPr>
        <w:t xml:space="preserve">10.3 </w:t>
      </w:r>
      <w:r w:rsidR="00C97BA2" w:rsidRPr="00C53ACC">
        <w:rPr>
          <w:rFonts w:cs="Times New Roman"/>
          <w:lang w:val="en-GB"/>
        </w:rPr>
        <w:t>Pa s for measurements close to the C-DSC</w:t>
      </w:r>
      <w:r w:rsidR="00C97BA2" w:rsidRPr="00C53ACC">
        <w:rPr>
          <w:rFonts w:cs="Times New Roman"/>
          <w:vertAlign w:val="subscript"/>
          <w:lang w:val="en-GB"/>
        </w:rPr>
        <w:t xml:space="preserve">20-peak </w:t>
      </w:r>
      <w:r w:rsidR="00C97BA2" w:rsidRPr="00C53ACC">
        <w:rPr>
          <w:rFonts w:cs="Times New Roman"/>
          <w:lang w:val="en-GB"/>
        </w:rPr>
        <w:t xml:space="preserve">temperature. This was found to be the case for samples AND0 and AND65 where viscosity did not increase over time within the experimental timescale. Nonetheless, in the case of AND100, </w:t>
      </w:r>
      <w:r w:rsidR="00C97BA2" w:rsidRPr="00C53ACC">
        <w:rPr>
          <w:rFonts w:eastAsiaTheme="minorEastAsia" w:cs="Times New Roman"/>
          <w:lang w:val="en-GB"/>
        </w:rPr>
        <w:t xml:space="preserve">our observations indicate that the </w:t>
      </w:r>
      <w:bookmarkStart w:id="3" w:name="_Hlk148606205"/>
      <w:r w:rsidR="00C97BA2" w:rsidRPr="00C53ACC">
        <w:rPr>
          <w:rFonts w:eastAsiaTheme="minorEastAsia" w:cs="Times New Roman"/>
          <w:lang w:val="en-GB"/>
        </w:rPr>
        <w:t xml:space="preserve">initially recorded viscosity in proximity to the calorimetric </w:t>
      </w:r>
      <w:r w:rsidR="00C97BA2" w:rsidRPr="00C53ACC">
        <w:rPr>
          <w:rFonts w:cs="Times New Roman"/>
          <w:i/>
          <w:iCs/>
          <w:lang w:val="en-GB"/>
        </w:rPr>
        <w:t>T</w:t>
      </w:r>
      <w:r w:rsidR="00C97BA2" w:rsidRPr="00C53ACC">
        <w:rPr>
          <w:rFonts w:cs="Times New Roman"/>
          <w:i/>
          <w:iCs/>
          <w:vertAlign w:val="subscript"/>
          <w:lang w:val="en-GB"/>
        </w:rPr>
        <w:t xml:space="preserve">g </w:t>
      </w:r>
      <w:r w:rsidR="00C97BA2" w:rsidRPr="00C53ACC">
        <w:rPr>
          <w:rFonts w:cs="Times New Roman"/>
          <w:lang w:val="en-GB"/>
        </w:rPr>
        <w:t xml:space="preserve">corresponds </w:t>
      </w:r>
      <w:r w:rsidR="0094736E">
        <w:rPr>
          <w:rFonts w:cs="Times New Roman"/>
          <w:lang w:val="en-GB"/>
        </w:rPr>
        <w:t>to</w:t>
      </w:r>
      <w:r w:rsidR="0094736E" w:rsidRPr="00C53ACC">
        <w:rPr>
          <w:rFonts w:cs="Times New Roman"/>
          <w:lang w:val="en-GB"/>
        </w:rPr>
        <w:t xml:space="preserve"> </w:t>
      </w:r>
      <w:r w:rsidR="00C97BA2" w:rsidRPr="00C53ACC">
        <w:rPr>
          <w:rFonts w:cs="Times New Roman"/>
          <w:lang w:val="en-GB"/>
        </w:rPr>
        <w:t xml:space="preserve">the anticipated </w:t>
      </w:r>
      <w:r w:rsidR="00C97BA2" w:rsidRPr="00C53ACC">
        <w:rPr>
          <w:rFonts w:eastAsiaTheme="minorEastAsia" w:cs="Times New Roman"/>
          <w:lang w:val="en-GB"/>
        </w:rPr>
        <w:t xml:space="preserve">C-DSC-derived </w:t>
      </w:r>
      <w:r w:rsidR="00C97BA2" w:rsidRPr="00C53ACC">
        <w:rPr>
          <w:rFonts w:cs="Times New Roman"/>
          <w:lang w:val="en-GB"/>
        </w:rPr>
        <w:t xml:space="preserve">viscosity </w:t>
      </w:r>
      <w:bookmarkEnd w:id="3"/>
      <w:r w:rsidR="00C97BA2" w:rsidRPr="00C53ACC">
        <w:rPr>
          <w:rFonts w:cs="Times New Roman"/>
          <w:lang w:val="en-GB"/>
        </w:rPr>
        <w:t>(</w:t>
      </w:r>
      <w:r w:rsidR="00C97BA2" w:rsidRPr="00C53ACC">
        <w:rPr>
          <w:rFonts w:eastAsiaTheme="minorEastAsia" w:cs="Times New Roman"/>
          <w:lang w:val="en-GB"/>
        </w:rPr>
        <w:t>AND100_MP</w:t>
      </w:r>
      <w:r w:rsidR="00C97BA2" w:rsidRPr="00C53ACC">
        <w:rPr>
          <w:rFonts w:eastAsiaTheme="minorEastAsia" w:cs="Times New Roman"/>
          <w:vertAlign w:val="subscript"/>
          <w:lang w:val="en-GB"/>
        </w:rPr>
        <w:t>660_0</w:t>
      </w:r>
      <w:r w:rsidR="00C97BA2" w:rsidRPr="00C53ACC">
        <w:rPr>
          <w:rFonts w:eastAsiaTheme="minorEastAsia" w:cs="Times New Roman"/>
          <w:lang w:val="en-GB"/>
        </w:rPr>
        <w:t>)</w:t>
      </w:r>
      <w:r w:rsidR="00C97BA2" w:rsidRPr="00C53ACC">
        <w:rPr>
          <w:rFonts w:cs="Times New Roman"/>
          <w:lang w:val="en-GB"/>
        </w:rPr>
        <w:t xml:space="preserve">.  </w:t>
      </w:r>
    </w:p>
    <w:p w14:paraId="1D6ADF96" w14:textId="1BF3A23A" w:rsidR="00C97BA2" w:rsidRPr="009F665C" w:rsidRDefault="00C97BA2" w:rsidP="00C97BA2">
      <w:pPr>
        <w:spacing w:line="480" w:lineRule="auto"/>
        <w:ind w:firstLine="720"/>
        <w:rPr>
          <w:rFonts w:cs="Times New Roman"/>
          <w:lang w:val="en-GB"/>
        </w:rPr>
      </w:pPr>
      <w:r w:rsidRPr="00C53ACC">
        <w:rPr>
          <w:rFonts w:eastAsiaTheme="minorEastAsia" w:cs="Times New Roman"/>
          <w:lang w:val="en-GB"/>
        </w:rPr>
        <w:t>Following the micropenetration measurements, all of our samples underwent subsequent Mössbauer and Raman analyses. Mössbauer and Raman analyses</w:t>
      </w:r>
      <w:r w:rsidRPr="00C53ACC">
        <w:rPr>
          <w:rFonts w:cs="Times New Roman"/>
          <w:lang w:val="en-GB"/>
        </w:rPr>
        <w:t xml:space="preserve"> of samples AND65 and AND0 post-micropenetration experiments show no evidence of relevant modifications during measurements (Table </w:t>
      </w:r>
      <w:r w:rsidR="006C622A">
        <w:rPr>
          <w:rFonts w:cs="Times New Roman"/>
          <w:lang w:val="en-GB"/>
        </w:rPr>
        <w:t>S</w:t>
      </w:r>
      <w:r w:rsidRPr="00C53ACC">
        <w:rPr>
          <w:rFonts w:cs="Times New Roman"/>
          <w:lang w:val="en-GB"/>
        </w:rPr>
        <w:t xml:space="preserve">2, Fig. </w:t>
      </w:r>
      <w:r w:rsidR="006C622A">
        <w:rPr>
          <w:rFonts w:cs="Times New Roman"/>
          <w:lang w:val="en-GB"/>
        </w:rPr>
        <w:t>S</w:t>
      </w:r>
      <w:r w:rsidR="00F52E62">
        <w:rPr>
          <w:rFonts w:cs="Times New Roman"/>
          <w:lang w:val="en-GB"/>
        </w:rPr>
        <w:t>4</w:t>
      </w:r>
      <w:r w:rsidRPr="00C53ACC">
        <w:rPr>
          <w:rFonts w:cs="Times New Roman"/>
          <w:lang w:val="en-GB"/>
        </w:rPr>
        <w:t>). In contrast, Mössbauer results evidence that sample</w:t>
      </w:r>
      <w:r w:rsidR="00791334">
        <w:rPr>
          <w:rFonts w:cs="Times New Roman"/>
          <w:lang w:val="en-GB"/>
        </w:rPr>
        <w:t>s</w:t>
      </w:r>
      <w:r w:rsidRPr="00C53ACC">
        <w:rPr>
          <w:rFonts w:cs="Times New Roman"/>
          <w:lang w:val="en-GB"/>
        </w:rPr>
        <w:t xml:space="preserve"> </w:t>
      </w:r>
      <w:r w:rsidRPr="00C53ACC">
        <w:rPr>
          <w:rFonts w:eastAsiaTheme="minorEastAsia" w:cs="Times New Roman"/>
          <w:lang w:val="en-GB"/>
        </w:rPr>
        <w:t>AND100_MP</w:t>
      </w:r>
      <w:r w:rsidRPr="00C53ACC">
        <w:rPr>
          <w:rFonts w:eastAsiaTheme="minorEastAsia" w:cs="Times New Roman"/>
          <w:vertAlign w:val="subscript"/>
          <w:lang w:val="en-GB"/>
        </w:rPr>
        <w:t>660</w:t>
      </w:r>
      <w:r w:rsidRPr="00C53ACC">
        <w:rPr>
          <w:rFonts w:cs="Times New Roman"/>
          <w:lang w:val="en-GB"/>
        </w:rPr>
        <w:t>, AND</w:t>
      </w:r>
      <w:r w:rsidRPr="00C53ACC">
        <w:rPr>
          <w:rFonts w:eastAsiaTheme="minorEastAsia" w:cs="Times New Roman"/>
          <w:lang w:val="en-GB"/>
        </w:rPr>
        <w:t>100_MP</w:t>
      </w:r>
      <w:r w:rsidRPr="00C53ACC">
        <w:rPr>
          <w:rFonts w:eastAsiaTheme="minorEastAsia" w:cs="Times New Roman"/>
          <w:vertAlign w:val="subscript"/>
          <w:lang w:val="en-GB"/>
        </w:rPr>
        <w:t>723</w:t>
      </w:r>
      <w:r w:rsidRPr="00C53ACC">
        <w:rPr>
          <w:rFonts w:eastAsiaTheme="minorEastAsia" w:cs="Times New Roman"/>
          <w:lang w:val="en-GB"/>
        </w:rPr>
        <w:t xml:space="preserve"> and </w:t>
      </w:r>
      <w:r w:rsidRPr="00C53ACC">
        <w:rPr>
          <w:rFonts w:cs="Times New Roman"/>
          <w:lang w:val="en-GB"/>
        </w:rPr>
        <w:t>AND</w:t>
      </w:r>
      <w:r w:rsidRPr="00C53ACC">
        <w:rPr>
          <w:rFonts w:eastAsiaTheme="minorEastAsia" w:cs="Times New Roman"/>
          <w:lang w:val="en-GB"/>
        </w:rPr>
        <w:t>100_MP</w:t>
      </w:r>
      <w:r w:rsidRPr="00C53ACC">
        <w:rPr>
          <w:rFonts w:eastAsiaTheme="minorEastAsia" w:cs="Times New Roman"/>
          <w:vertAlign w:val="subscript"/>
          <w:lang w:val="en-GB"/>
        </w:rPr>
        <w:t>808</w:t>
      </w:r>
      <w:r w:rsidRPr="00C53ACC">
        <w:rPr>
          <w:rFonts w:cs="Times New Roman"/>
          <w:lang w:val="en-GB"/>
        </w:rPr>
        <w:t xml:space="preserve"> underwent a significant change in </w:t>
      </w:r>
      <w:r w:rsidRPr="00C53ACC">
        <w:rPr>
          <w:rFonts w:cs="Times New Roman"/>
          <w:lang w:val="en-GB"/>
        </w:rPr>
        <w:lastRenderedPageBreak/>
        <w:t>Fe</w:t>
      </w:r>
      <w:r w:rsidRPr="00C53ACC">
        <w:rPr>
          <w:rFonts w:cs="Times New Roman"/>
          <w:vertAlign w:val="superscript"/>
          <w:lang w:val="en-GB"/>
        </w:rPr>
        <w:t>3+</w:t>
      </w:r>
      <w:r w:rsidRPr="00C53ACC">
        <w:rPr>
          <w:rFonts w:cs="Times New Roman"/>
          <w:lang w:val="en-GB"/>
        </w:rPr>
        <w:t>/∑Fe</w:t>
      </w:r>
      <w:r w:rsidRPr="00C53ACC">
        <w:rPr>
          <w:rFonts w:cs="Times New Roman"/>
          <w:vertAlign w:val="subscript"/>
          <w:lang w:val="en-GB"/>
        </w:rPr>
        <w:t>tot,</w:t>
      </w:r>
      <w:r w:rsidR="00F83490">
        <w:rPr>
          <w:rFonts w:cs="Times New Roman"/>
          <w:vertAlign w:val="subscript"/>
          <w:lang w:val="en-GB"/>
        </w:rPr>
        <w:t xml:space="preserve"> </w:t>
      </w:r>
      <w:r w:rsidR="00F83490">
        <w:rPr>
          <w:rFonts w:cs="Times New Roman"/>
          <w:lang w:val="en-GB"/>
        </w:rPr>
        <w:t>namely</w:t>
      </w:r>
      <w:r w:rsidRPr="00B6462A">
        <w:rPr>
          <w:rFonts w:cs="Times New Roman"/>
          <w:lang w:val="en-GB"/>
        </w:rPr>
        <w:t xml:space="preserve"> </w:t>
      </w:r>
      <w:r w:rsidRPr="00C53ACC">
        <w:rPr>
          <w:rFonts w:cs="Times New Roman"/>
          <w:lang w:val="en-GB"/>
        </w:rPr>
        <w:t>from Fe</w:t>
      </w:r>
      <w:r w:rsidRPr="00C53ACC">
        <w:rPr>
          <w:rFonts w:cs="Times New Roman"/>
          <w:vertAlign w:val="superscript"/>
          <w:lang w:val="en-GB"/>
        </w:rPr>
        <w:t>3+</w:t>
      </w:r>
      <w:r w:rsidRPr="00C53ACC">
        <w:rPr>
          <w:rFonts w:cs="Times New Roman"/>
          <w:lang w:val="en-GB"/>
        </w:rPr>
        <w:t>/∑Fe</w:t>
      </w:r>
      <w:r w:rsidRPr="00C53ACC">
        <w:rPr>
          <w:rFonts w:cs="Times New Roman"/>
          <w:vertAlign w:val="subscript"/>
          <w:lang w:val="en-GB"/>
        </w:rPr>
        <w:t xml:space="preserve">tot </w:t>
      </w:r>
      <w:r w:rsidR="00147613">
        <w:rPr>
          <w:rFonts w:cs="Times New Roman"/>
          <w:lang w:val="en-GB"/>
        </w:rPr>
        <w:t>of</w:t>
      </w:r>
      <w:r w:rsidR="00147613" w:rsidRPr="00C53ACC">
        <w:rPr>
          <w:rFonts w:cs="Times New Roman"/>
          <w:lang w:val="en-GB"/>
        </w:rPr>
        <w:t xml:space="preserve"> </w:t>
      </w:r>
      <w:r w:rsidRPr="00C53ACC">
        <w:rPr>
          <w:rFonts w:cs="Times New Roman"/>
          <w:lang w:val="en-GB"/>
        </w:rPr>
        <w:t xml:space="preserve">0.64 to 0.70, 0.79 and 0.83 respectively (Table </w:t>
      </w:r>
      <w:r w:rsidR="006C622A">
        <w:rPr>
          <w:rFonts w:cs="Times New Roman"/>
          <w:lang w:val="en-GB"/>
        </w:rPr>
        <w:t>S</w:t>
      </w:r>
      <w:r w:rsidRPr="00C53ACC">
        <w:rPr>
          <w:rFonts w:cs="Times New Roman"/>
          <w:lang w:val="en-GB"/>
        </w:rPr>
        <w:t>2). Likewise, these samples exhibited notable development of Raman peaks within the 660–690 cm</w:t>
      </w:r>
      <w:r w:rsidRPr="00C53ACC">
        <w:rPr>
          <w:rFonts w:cs="Times New Roman"/>
          <w:vertAlign w:val="superscript"/>
          <w:lang w:val="en-GB"/>
        </w:rPr>
        <w:t>−1</w:t>
      </w:r>
      <w:r w:rsidRPr="00C53ACC">
        <w:rPr>
          <w:rFonts w:cs="Times New Roman"/>
          <w:lang w:val="en-GB"/>
        </w:rPr>
        <w:t xml:space="preserve"> range (Fig. </w:t>
      </w:r>
      <w:r w:rsidR="006C622A">
        <w:rPr>
          <w:rFonts w:cs="Times New Roman"/>
          <w:lang w:val="en-GB"/>
        </w:rPr>
        <w:t>S</w:t>
      </w:r>
      <w:r w:rsidR="00F52E62">
        <w:rPr>
          <w:rFonts w:cs="Times New Roman"/>
          <w:lang w:val="en-GB"/>
        </w:rPr>
        <w:t>4</w:t>
      </w:r>
      <w:r w:rsidRPr="00C53ACC">
        <w:rPr>
          <w:rFonts w:cs="Times New Roman"/>
          <w:lang w:val="en-GB"/>
        </w:rPr>
        <w:t xml:space="preserve">a), suggesting Fe-Ti-oxide nanocrystallization </w:t>
      </w:r>
      <w:r w:rsidRPr="00C53ACC">
        <w:rPr>
          <w:rFonts w:cs="Times New Roman"/>
          <w:lang w:val="en-GB"/>
        </w:rPr>
        <w:fldChar w:fldCharType="begin" w:fldLock="1"/>
      </w:r>
      <w:r w:rsidR="0002472C">
        <w:rPr>
          <w:rFonts w:cs="Times New Roman"/>
          <w:lang w:val="en-GB"/>
        </w:rPr>
        <w:instrText>ADDIN CSL_CITATION {"citationItems":[{"id":"ITEM-1","itemData":{"DOI":"10.1126/sciadv.abb0413","ISSN":"2375-2548","PMID":"32967825","abstract":"This study shows how a few nanometer-sized crystals markedly increase the viscosity of a magma leading to explosive eruptions.","author":[{"dropping-particle":"","family":"Genova","given":"D.","non-dropping-particle":"Di","parse-names":false,"suffix":""},{"dropping-particle":"","family":"Brooker","given":"Richard A","non-dropping-particle":"","parse-names":false,"suffix":""},{"dropping-particle":"","family":"Mader","given":"Heidy M.","non-dropping-particle":"","parse-names":false,"suffix":""},{"dropping-particle":"","family":"Drewitt","given":"James W. E.","non-dropping-particle":"","parse-names":false,"suffix":""},{"dropping-particle":"","family":"Longo","given":"Alessandro","non-dropping-particle":"","parse-names":false,"suffix":""},{"dropping-particle":"","family":"Deubener","given":"Joachim","non-dropping-particle":"","parse-names":false,"suffix":""},{"dropping-particle":"","family":"Neuville","given":"D. R.","non-dropping-particle":"","parse-names":false,"suffix":""},{"dropping-particle":"","family":"Fanara","given":"Sara","non-dropping-particle":"","parse-names":false,"suffix":""},{"dropping-particle":"","family":"Shebanova","given":"Olga","non-dropping-particle":"","parse-names":false,"suffix":""},{"dropping-particle":"","family":"Anzellini","given":"Simone","non-dropping-particle":"","parse-names":false,"suffix":""},{"dropping-particle":"","family":"Arzilli","given":"Fabio","non-dropping-particle":"","parse-names":false,"suffix":""},{"dropping-particle":"","family":"Bamber","given":"Emily C","non-dropping-particle":"","parse-names":false,"suffix":""},{"dropping-particle":"","family":"Hennet","given":"Louis","non-dropping-particle":"","parse-names":false,"suffix":""},{"dropping-particle":"","family":"Spina","given":"Giuseppe","non-dropping-particle":"La","parse-names":false,"suffix":""},{"dropping-particle":"","family":"Miyajima","given":"Nobuyoshi","non-dropping-particle":"","parse-names":false,"suffix":""}],"container-title":"Science Advances","id":"ITEM-1","issue":"39","issued":{"date-parts":[["2020","9","25"]]},"title":"In situ observation of nanolite growth in volcanic melt: A driving force for explosive eruptions","type":"article-journal","volume":"6"},"uris":["http://www.mendeley.com/documents/?uuid=ac265911-5172-4bd3-b80f-528fe2c4c843"]},{"id":"ITEM-2","itemData":{"DOI":"10.1016/j.jnoncrysol.2020.120248","ISSN":"00223093","abstract":"Traditionally depicted as homogeneous materials, manmade and volcanic glasses are often subjected to nanostructuration during demixing and crystallization of their parental melt. While the controlled formation of nanocrystals has been exploited for decades in the industrial production of glass-ceramics to obtain materials with superior properties, nano-heterogeneities have been recently recognized in volcanic products erupted explosively. Here, a multi-pronged approach is adopted to highlight how the emergence of nano-heterogeneities exerts a previously unexplored influence on the viscosity of multicomponent silicate melts. Calorimetry and viscometry provide evidence of how the formation of TiO2- and FeO-bearing nanocrystals increases the effective viscosity of suspensions. Raman spectroscopy and transmission electron microscopy allow the correlation between the increase in viscosity and the degree of sample modification. This study has implications for glass and glass-ceramics manufacturing and for the development of better numerical models of volcanic eruptions, which are key for the operational assessment of volcanic risk.","author":[{"dropping-particle":"","family":"Genova","given":"D.","non-dropping-particle":"Di","parse-names":false,"suffix":""},{"dropping-particle":"","family":"Zandona","given":"A.","non-dropping-particle":"","parse-names":false,"suffix":""},{"dropping-particle":"","family":"Deubener","given":"J.","non-dropping-particle":"","parse-names":false,"suffix":""}],"container-title":"Journal of Non-Crystalline Solids","id":"ITEM-2","issue":"April","issued":{"date-parts":[["2020","10"]]},"page":"120248","publisher":"Elsevier","title":"Unravelling the effect of nano-heterogeneity on the viscosity of silicate melts: Implications for glass manufacturing and volcanic eruptions","type":"article-journal","volume":"545"},"uris":["http://www.mendeley.com/documents/?uuid=6aab638f-9fa1-4ca5-9320-812be977cd0e"]}],"mendeley":{"formattedCitation":"&lt;sup&gt;10,11&lt;/sup&gt;","plainTextFormattedCitation":"10,11","previouslyFormattedCitation":"&lt;sup&gt;10,11&lt;/sup&gt;"},"properties":{"noteIndex":0},"schema":"https://github.com/citation-style-language/schema/raw/master/csl-citation.json"}</w:instrText>
      </w:r>
      <w:r w:rsidRPr="00C53ACC">
        <w:rPr>
          <w:rFonts w:cs="Times New Roman"/>
          <w:lang w:val="en-GB"/>
        </w:rPr>
        <w:fldChar w:fldCharType="separate"/>
      </w:r>
      <w:r w:rsidR="0002472C" w:rsidRPr="0002472C">
        <w:rPr>
          <w:rFonts w:cs="Times New Roman"/>
          <w:noProof/>
          <w:vertAlign w:val="superscript"/>
          <w:lang w:val="en-GB"/>
        </w:rPr>
        <w:t>10,11</w:t>
      </w:r>
      <w:r w:rsidRPr="00C53ACC">
        <w:rPr>
          <w:rFonts w:cs="Times New Roman"/>
          <w:lang w:val="en-GB"/>
        </w:rPr>
        <w:fldChar w:fldCharType="end"/>
      </w:r>
      <w:r w:rsidRPr="00C53ACC">
        <w:rPr>
          <w:rFonts w:cs="Times New Roman"/>
          <w:lang w:val="en-GB"/>
        </w:rPr>
        <w:t xml:space="preserve">. Moreover, samples </w:t>
      </w:r>
      <w:r w:rsidRPr="00C53ACC">
        <w:rPr>
          <w:rFonts w:eastAsiaTheme="minorEastAsia" w:cs="Times New Roman"/>
          <w:lang w:val="en-GB"/>
        </w:rPr>
        <w:t>AND100_MP</w:t>
      </w:r>
      <w:r w:rsidRPr="00C53ACC">
        <w:rPr>
          <w:rFonts w:eastAsiaTheme="minorEastAsia" w:cs="Times New Roman"/>
          <w:vertAlign w:val="subscript"/>
          <w:lang w:val="en-GB"/>
        </w:rPr>
        <w:t>723</w:t>
      </w:r>
      <w:r w:rsidRPr="00C53ACC">
        <w:rPr>
          <w:rFonts w:cs="Times New Roman"/>
          <w:lang w:val="en-GB"/>
        </w:rPr>
        <w:t xml:space="preserve"> and </w:t>
      </w:r>
      <w:r w:rsidRPr="00C53ACC">
        <w:rPr>
          <w:rFonts w:eastAsiaTheme="minorEastAsia" w:cs="Times New Roman"/>
          <w:lang w:val="en-GB"/>
        </w:rPr>
        <w:t>AND100_MP</w:t>
      </w:r>
      <w:r w:rsidRPr="00C53ACC">
        <w:rPr>
          <w:rFonts w:eastAsiaTheme="minorEastAsia" w:cs="Times New Roman"/>
          <w:vertAlign w:val="subscript"/>
          <w:lang w:val="en-GB"/>
        </w:rPr>
        <w:t>808</w:t>
      </w:r>
      <w:r w:rsidRPr="00C53ACC">
        <w:rPr>
          <w:rFonts w:cs="Times New Roman"/>
          <w:lang w:val="en-GB"/>
        </w:rPr>
        <w:t xml:space="preserve"> developed two additional Raman peaks in the 305-335 and 530-550 cm</w:t>
      </w:r>
      <w:r w:rsidRPr="00C53ACC">
        <w:rPr>
          <w:rFonts w:cs="Times New Roman"/>
          <w:vertAlign w:val="superscript"/>
          <w:lang w:val="en-GB"/>
        </w:rPr>
        <w:t xml:space="preserve">-1 </w:t>
      </w:r>
      <w:r w:rsidRPr="00C53ACC">
        <w:rPr>
          <w:rFonts w:cs="Times New Roman"/>
          <w:lang w:val="en-GB"/>
        </w:rPr>
        <w:t xml:space="preserve">ranges (Fig. </w:t>
      </w:r>
      <w:r w:rsidR="006C622A">
        <w:rPr>
          <w:rFonts w:cs="Times New Roman"/>
          <w:lang w:val="en-GB"/>
        </w:rPr>
        <w:t>S</w:t>
      </w:r>
      <w:r w:rsidR="00F52E62">
        <w:rPr>
          <w:rFonts w:cs="Times New Roman"/>
          <w:lang w:val="en-GB"/>
        </w:rPr>
        <w:t>4</w:t>
      </w:r>
      <w:r w:rsidRPr="00C53ACC">
        <w:rPr>
          <w:rFonts w:cs="Times New Roman"/>
          <w:lang w:val="en-GB"/>
        </w:rPr>
        <w:t>a). Additionally, sample AND100_MP</w:t>
      </w:r>
      <w:r w:rsidRPr="00C53ACC">
        <w:rPr>
          <w:rFonts w:cs="Times New Roman"/>
          <w:vertAlign w:val="subscript"/>
          <w:lang w:val="en-GB"/>
        </w:rPr>
        <w:t>808</w:t>
      </w:r>
      <w:r w:rsidRPr="00C53ACC">
        <w:rPr>
          <w:rFonts w:cs="Times New Roman"/>
          <w:lang w:val="en-GB"/>
        </w:rPr>
        <w:t xml:space="preserve"> developed a fourth peak in the 190-200 cm</w:t>
      </w:r>
      <w:r w:rsidRPr="00C53ACC">
        <w:rPr>
          <w:rFonts w:cs="Times New Roman"/>
          <w:vertAlign w:val="superscript"/>
          <w:lang w:val="en-GB"/>
        </w:rPr>
        <w:t xml:space="preserve">-1 </w:t>
      </w:r>
      <w:r w:rsidRPr="00C53ACC">
        <w:rPr>
          <w:rFonts w:cs="Times New Roman"/>
          <w:lang w:val="en-GB"/>
        </w:rPr>
        <w:t xml:space="preserve">range (Fig. </w:t>
      </w:r>
      <w:r w:rsidR="006C622A">
        <w:rPr>
          <w:rFonts w:cs="Times New Roman"/>
          <w:lang w:val="en-GB"/>
        </w:rPr>
        <w:t>S</w:t>
      </w:r>
      <w:r w:rsidR="00F52E62">
        <w:rPr>
          <w:rFonts w:cs="Times New Roman"/>
          <w:lang w:val="en-GB"/>
        </w:rPr>
        <w:t>4</w:t>
      </w:r>
      <w:r w:rsidRPr="00C53ACC">
        <w:rPr>
          <w:rFonts w:cs="Times New Roman"/>
          <w:lang w:val="en-GB"/>
        </w:rPr>
        <w:t xml:space="preserve">a). We notice that these four peaks perfectly match with four of the five theoretically predicted phonon bands of </w:t>
      </w:r>
      <w:r w:rsidR="00B23D01">
        <w:rPr>
          <w:rFonts w:cs="Times New Roman"/>
          <w:lang w:val="en-GB"/>
        </w:rPr>
        <w:t>titano</w:t>
      </w:r>
      <w:r w:rsidRPr="00C53ACC">
        <w:rPr>
          <w:rFonts w:cs="Times New Roman"/>
          <w:lang w:val="en-GB"/>
        </w:rPr>
        <w:t xml:space="preserve">magnetite </w:t>
      </w:r>
      <w:r w:rsidRPr="00C53ACC">
        <w:rPr>
          <w:rFonts w:cs="Times New Roman"/>
          <w:lang w:val="en-GB"/>
        </w:rPr>
        <w:fldChar w:fldCharType="begin" w:fldLock="1"/>
      </w:r>
      <w:r w:rsidR="0002472C">
        <w:rPr>
          <w:rFonts w:cs="Times New Roman"/>
          <w:lang w:val="en-GB"/>
        </w:rPr>
        <w:instrText>ADDIN CSL_CITATION {"citationItems":[{"id":"ITEM-1","itemData":{"DOI":"10.1016/S0022-4596(03)00294-9","ISSN":"00224596","abstract":"A detailed Raman study on natural magnetite has been carried out. Raman spectra show four out of the five predicted Raman bands located at 668, 538, 306, and 193rcm-1. The location of the fifth, unobserved phonon mode, is inferred from spectra of other ferrites at 450-490rcm-1. Polarized experiments on an oriented single crystal provide a new interpretation of the Raman spectrum with the following assignment for symmetries of the observed modes: A1g for 668rcm-1, E g for 306 rcm-1, and T2g for 538, 193, and 450-490rcm-1. The results are compared with those of the earlier Raman studies and possible explanations for the discrepancies are suggested. Some of the inconsistencies can be resolved by considering the effect of oxidation of magnetite during the Raman experiments. © 2003 Elsevier Inc. All rights reserved.","author":[{"dropping-particle":"","family":"Shebanova","given":"Olga N.","non-dropping-particle":"","parse-names":false,"suffix":""},{"dropping-particle":"","family":"Lazor","given":"Peter","non-dropping-particle":"","parse-names":false,"suffix":""}],"container-title":"Journal of Solid State Chemistry","id":"ITEM-1","issue":"2","issued":{"date-parts":[["2003","9"]]},"page":"424-430","title":"Raman spectroscopic study of magnetite (FeFe2O4): a new assignment for the vibrational spectrum","type":"article-journal","volume":"174"},"uris":["http://www.mendeley.com/documents/?uuid=33ffaa7d-a63b-4dd0-a355-344e0c241771"]},{"id":"ITEM-2","itemData":{"DOI":"10.1021/am1004943","ISSN":"1944-8244","abstract":"Thin films of three iron oxide polymorphs, hematite, maghemite, and magnetite, were produced on KBr substrates using a conventional electron beam deposition technique coupled with thermal annealing. This method allowed for iron oxide thin films free from chemical precursor contaminants. The films were characterized using Fourier-transform infrared spectroscopy (FTIR), Raman microspectroscopy, and ellipsometry. These spectroscopic techniques allowed for a clear assignment of the phase of the iron oxide polymorph films produced along with an examination of the degree of crystallinity possessed by the films. The films produced were uniform in phase and exhibited decreasing crystallinity as the thickness increased from 40 to 250 nm. © 2010 American Chemical Society.","author":[{"dropping-particle":"","family":"Jubb","given":"Aaron M.","non-dropping-particle":"","parse-names":false,"suffix":""},{"dropping-particle":"","family":"Allen","given":"Heather C.","non-dropping-particle":"","parse-names":false,"suffix":""}],"container-title":"ACS Applied Materials &amp; Interfaces","id":"ITEM-2","issue":"10","issued":{"date-parts":[["2010","10","27"]]},"page":"2804-2812","title":"Vibrational Spectroscopic Characterization of Hematite, Maghemite, and Magnetite Thin Films Produced by Vapor Deposition","type":"article-journal","volume":"2"},"uris":["http://www.mendeley.com/documents/?uuid=befbc512-39eb-4606-9f23-2953636f2bea"]}],"mendeley":{"formattedCitation":"&lt;sup&gt;21,22&lt;/sup&gt;","plainTextFormattedCitation":"21,22","previouslyFormattedCitation":"&lt;sup&gt;21,22&lt;/sup&gt;"},"properties":{"noteIndex":0},"schema":"https://github.com/citation-style-language/schema/raw/master/csl-citation.json"}</w:instrText>
      </w:r>
      <w:r w:rsidRPr="00C53ACC">
        <w:rPr>
          <w:rFonts w:cs="Times New Roman"/>
          <w:lang w:val="en-GB"/>
        </w:rPr>
        <w:fldChar w:fldCharType="separate"/>
      </w:r>
      <w:r w:rsidR="0002472C" w:rsidRPr="0002472C">
        <w:rPr>
          <w:rFonts w:cs="Times New Roman"/>
          <w:noProof/>
          <w:vertAlign w:val="superscript"/>
          <w:lang w:val="en-GB"/>
        </w:rPr>
        <w:t>21,22</w:t>
      </w:r>
      <w:r w:rsidRPr="00C53ACC">
        <w:rPr>
          <w:rFonts w:cs="Times New Roman"/>
          <w:lang w:val="en-GB"/>
        </w:rPr>
        <w:fldChar w:fldCharType="end"/>
      </w:r>
      <w:r w:rsidRPr="00C53ACC">
        <w:rPr>
          <w:rFonts w:cs="Times New Roman"/>
          <w:lang w:val="en-GB"/>
        </w:rPr>
        <w:t xml:space="preserve">. In addition, we noted that the boson peak position of sample </w:t>
      </w:r>
      <w:r w:rsidRPr="00C53ACC">
        <w:rPr>
          <w:rFonts w:eastAsiaTheme="minorEastAsia" w:cs="Times New Roman"/>
          <w:lang w:val="en-GB"/>
        </w:rPr>
        <w:t>AND100_MP</w:t>
      </w:r>
      <w:r w:rsidRPr="00C53ACC">
        <w:rPr>
          <w:rFonts w:eastAsiaTheme="minorEastAsia" w:cs="Times New Roman"/>
          <w:vertAlign w:val="subscript"/>
          <w:lang w:val="en-GB"/>
        </w:rPr>
        <w:t>660</w:t>
      </w:r>
      <w:r w:rsidRPr="00C53ACC">
        <w:rPr>
          <w:rFonts w:cs="Times New Roman"/>
          <w:lang w:val="en-GB"/>
        </w:rPr>
        <w:t xml:space="preserve"> shifted from 70 to 57 cm</w:t>
      </w:r>
      <w:r w:rsidRPr="00C53ACC">
        <w:rPr>
          <w:rFonts w:cs="Times New Roman"/>
          <w:vertAlign w:val="superscript"/>
          <w:lang w:val="en-GB"/>
        </w:rPr>
        <w:t>-1</w:t>
      </w:r>
      <w:r w:rsidRPr="00C53ACC">
        <w:rPr>
          <w:rFonts w:cs="Times New Roman"/>
          <w:lang w:val="en-GB"/>
        </w:rPr>
        <w:t xml:space="preserve">, while for samples </w:t>
      </w:r>
      <w:r w:rsidRPr="00C53ACC">
        <w:rPr>
          <w:rFonts w:eastAsiaTheme="minorEastAsia" w:cs="Times New Roman"/>
          <w:lang w:val="en-GB"/>
        </w:rPr>
        <w:t>AND100_MP</w:t>
      </w:r>
      <w:r w:rsidRPr="00C53ACC">
        <w:rPr>
          <w:rFonts w:eastAsiaTheme="minorEastAsia" w:cs="Times New Roman"/>
          <w:vertAlign w:val="subscript"/>
          <w:lang w:val="en-GB"/>
        </w:rPr>
        <w:t>723</w:t>
      </w:r>
      <w:r w:rsidRPr="00C53ACC">
        <w:rPr>
          <w:rFonts w:cs="Times New Roman"/>
          <w:lang w:val="en-GB"/>
        </w:rPr>
        <w:t xml:space="preserve"> and </w:t>
      </w:r>
      <w:r w:rsidRPr="00C53ACC">
        <w:rPr>
          <w:rFonts w:eastAsiaTheme="minorEastAsia" w:cs="Times New Roman"/>
          <w:lang w:val="en-GB"/>
        </w:rPr>
        <w:t>AND100_MP</w:t>
      </w:r>
      <w:r w:rsidRPr="00C53ACC">
        <w:rPr>
          <w:rFonts w:eastAsiaTheme="minorEastAsia" w:cs="Times New Roman"/>
          <w:vertAlign w:val="subscript"/>
          <w:lang w:val="en-GB"/>
        </w:rPr>
        <w:t>808</w:t>
      </w:r>
      <w:r w:rsidRPr="00C53ACC">
        <w:rPr>
          <w:rFonts w:cs="Times New Roman"/>
          <w:lang w:val="en-GB"/>
        </w:rPr>
        <w:t xml:space="preserve">, the boson peaks completely disappeared after micropenetration experiments. Importantly, we observed a direct correlation between the degree of iron oxidation and nanocrystallization and the experimental temperature. Specifically, samples that deviated further from </w:t>
      </w:r>
      <w:r w:rsidRPr="00C53ACC">
        <w:rPr>
          <w:rFonts w:cs="Times New Roman"/>
          <w:i/>
          <w:iCs/>
          <w:lang w:val="en-GB"/>
        </w:rPr>
        <w:t>T</w:t>
      </w:r>
      <w:r w:rsidRPr="00C53ACC">
        <w:rPr>
          <w:rFonts w:cs="Times New Roman"/>
          <w:i/>
          <w:iCs/>
          <w:vertAlign w:val="subscript"/>
          <w:lang w:val="en-GB"/>
        </w:rPr>
        <w:t>g</w:t>
      </w:r>
      <w:r w:rsidRPr="00C53ACC">
        <w:rPr>
          <w:rFonts w:cs="Times New Roman"/>
          <w:lang w:val="en-GB"/>
        </w:rPr>
        <w:t xml:space="preserve"> exhibited more pronounced changes during the measurements. </w:t>
      </w:r>
      <w:r w:rsidR="003A6513" w:rsidRPr="003A6513">
        <w:rPr>
          <w:rFonts w:cs="Times New Roman"/>
          <w:lang w:val="en-GB"/>
        </w:rPr>
        <w:t>To further explore this phenomenon, we conducted in situ Raman measurements while heating AND100 to 655, 723 and 808 ℃, following a similar heat treatment we implemented for our micropenetration experiments. A comparison between room-temperature Raman spectra after micropenetration measurements and</w:t>
      </w:r>
      <w:r w:rsidR="006C190A">
        <w:rPr>
          <w:rFonts w:cs="Times New Roman"/>
          <w:lang w:val="en-GB"/>
        </w:rPr>
        <w:t xml:space="preserve"> after</w:t>
      </w:r>
      <w:r w:rsidR="003A6513" w:rsidRPr="003A6513">
        <w:rPr>
          <w:rFonts w:cs="Times New Roman"/>
          <w:lang w:val="en-GB"/>
        </w:rPr>
        <w:t xml:space="preserve"> in situ</w:t>
      </w:r>
      <w:r w:rsidR="006C190A">
        <w:rPr>
          <w:rFonts w:cs="Times New Roman"/>
          <w:lang w:val="en-GB"/>
        </w:rPr>
        <w:t xml:space="preserve"> Raman</w:t>
      </w:r>
      <w:r w:rsidR="003A6513" w:rsidRPr="003A6513">
        <w:rPr>
          <w:rFonts w:cs="Times New Roman"/>
          <w:lang w:val="en-GB"/>
        </w:rPr>
        <w:t xml:space="preserve"> experiments at a given temperature (Fig. </w:t>
      </w:r>
      <w:r w:rsidR="006C622A">
        <w:rPr>
          <w:rFonts w:cs="Times New Roman"/>
          <w:lang w:val="en-GB"/>
        </w:rPr>
        <w:t>S</w:t>
      </w:r>
      <w:r w:rsidR="00F52E62">
        <w:rPr>
          <w:rFonts w:cs="Times New Roman"/>
          <w:lang w:val="en-GB"/>
        </w:rPr>
        <w:t>4</w:t>
      </w:r>
      <w:r w:rsidR="003A6513" w:rsidRPr="003A6513">
        <w:rPr>
          <w:rFonts w:cs="Times New Roman"/>
          <w:lang w:val="en-GB"/>
        </w:rPr>
        <w:t>b) displayed similar spectroscopic features. In addition, we explored the applicability of Raman spectroscopy to identify presence of Fe-Ti-oxides and to investigate glass structures at high temperatures. Investigating nano-bearing glass, we observed that the intensity of the peak at 660–690 cm</w:t>
      </w:r>
      <w:r w:rsidR="003A6513" w:rsidRPr="002C0EB2">
        <w:rPr>
          <w:rFonts w:cs="Times New Roman"/>
          <w:vertAlign w:val="superscript"/>
          <w:lang w:val="en-GB"/>
        </w:rPr>
        <w:t>−1</w:t>
      </w:r>
      <w:r w:rsidR="003A6513" w:rsidRPr="003A6513">
        <w:rPr>
          <w:rFonts w:cs="Times New Roman"/>
          <w:lang w:val="en-GB"/>
        </w:rPr>
        <w:t xml:space="preserve"> range gradually decreases with increasing temperature from the room temperature until it completely disappears at about 500 ℃. While cooling, the mentioned peak reemerges in a similar fashion. However, since the concentration of nanolites remains constant below the glass transition, this effect is purely spectroscopic. </w:t>
      </w:r>
    </w:p>
    <w:p w14:paraId="28104234" w14:textId="77777777" w:rsidR="00C97BA2" w:rsidRPr="00C53ACC" w:rsidRDefault="00C97BA2" w:rsidP="00C97BA2">
      <w:pPr>
        <w:spacing w:line="480" w:lineRule="auto"/>
        <w:jc w:val="center"/>
        <w:rPr>
          <w:rFonts w:cs="Times New Roman"/>
          <w:lang w:val="en-GB"/>
        </w:rPr>
      </w:pPr>
      <w:r w:rsidRPr="00C53ACC">
        <w:rPr>
          <w:rFonts w:cs="Times New Roman"/>
          <w:noProof/>
          <w:lang w:val="de-DE" w:eastAsia="de-DE"/>
        </w:rPr>
        <w:lastRenderedPageBreak/>
        <w:drawing>
          <wp:inline distT="0" distB="0" distL="0" distR="0" wp14:anchorId="3BD41BB9" wp14:editId="53384F8A">
            <wp:extent cx="3821430" cy="6132830"/>
            <wp:effectExtent l="0" t="0" r="7620" b="1270"/>
            <wp:docPr id="743165982"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165982" name="Picture 1" descr="A graph of different colored line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21430" cy="6132830"/>
                    </a:xfrm>
                    <a:prstGeom prst="rect">
                      <a:avLst/>
                    </a:prstGeom>
                  </pic:spPr>
                </pic:pic>
              </a:graphicData>
            </a:graphic>
          </wp:inline>
        </w:drawing>
      </w:r>
    </w:p>
    <w:p w14:paraId="12C88E06" w14:textId="6763F25C" w:rsidR="00C97BA2" w:rsidRDefault="00C97BA2" w:rsidP="00F241D0">
      <w:pPr>
        <w:spacing w:line="240" w:lineRule="auto"/>
        <w:rPr>
          <w:rFonts w:eastAsiaTheme="minorEastAsia" w:cs="Times New Roman"/>
          <w:lang w:val="en-GB"/>
        </w:rPr>
      </w:pPr>
      <w:r w:rsidRPr="00E50ABE">
        <w:rPr>
          <w:rFonts w:eastAsiaTheme="minorEastAsia" w:cs="Times New Roman"/>
          <w:b/>
          <w:bCs/>
          <w:lang w:val="en-GB"/>
        </w:rPr>
        <w:t>Figure S</w:t>
      </w:r>
      <w:r w:rsidR="00F241D0" w:rsidRPr="00E50ABE">
        <w:rPr>
          <w:rFonts w:eastAsiaTheme="minorEastAsia" w:cs="Times New Roman"/>
          <w:b/>
          <w:bCs/>
          <w:lang w:val="en-GB"/>
        </w:rPr>
        <w:t>4</w:t>
      </w:r>
      <w:r w:rsidRPr="00C53ACC">
        <w:rPr>
          <w:rFonts w:eastAsiaTheme="minorEastAsia" w:cs="Times New Roman"/>
          <w:lang w:val="en-GB"/>
        </w:rPr>
        <w:t>. a Raman spectra of samples after micropenetration measurements.</w:t>
      </w:r>
      <w:r w:rsidRPr="00C53ACC">
        <w:rPr>
          <w:rFonts w:cs="Times New Roman"/>
          <w:lang w:val="en-GB"/>
        </w:rPr>
        <w:t xml:space="preserve"> </w:t>
      </w:r>
      <w:r w:rsidRPr="00C53ACC">
        <w:rPr>
          <w:rFonts w:eastAsiaTheme="minorEastAsia" w:cs="Times New Roman"/>
          <w:lang w:val="en-GB"/>
        </w:rPr>
        <w:t xml:space="preserve">The numeric suffixes correspond to the experimental temperature. b Raman spectra of AND100 after </w:t>
      </w:r>
      <w:r w:rsidRPr="00C53ACC">
        <w:rPr>
          <w:rFonts w:eastAsiaTheme="minorEastAsia" w:cs="Times New Roman"/>
          <w:i/>
          <w:iCs/>
          <w:lang w:val="en-GB"/>
        </w:rPr>
        <w:t>in situ</w:t>
      </w:r>
      <w:r w:rsidRPr="00C53ACC">
        <w:rPr>
          <w:rFonts w:eastAsiaTheme="minorEastAsia" w:cs="Times New Roman"/>
          <w:lang w:val="en-GB"/>
        </w:rPr>
        <w:t xml:space="preserve"> Raman experiments. The shaded area in grey corresponds to Raman peaks for </w:t>
      </w:r>
      <w:r w:rsidR="00B23D01">
        <w:rPr>
          <w:rFonts w:eastAsiaTheme="minorEastAsia" w:cs="Times New Roman"/>
          <w:lang w:val="en-GB"/>
        </w:rPr>
        <w:t>titano</w:t>
      </w:r>
      <w:r w:rsidRPr="00C53ACC">
        <w:rPr>
          <w:rFonts w:eastAsiaTheme="minorEastAsia" w:cs="Times New Roman"/>
          <w:lang w:val="en-GB"/>
        </w:rPr>
        <w:t xml:space="preserve">magnetite </w:t>
      </w:r>
      <w:r w:rsidRPr="00C53ACC">
        <w:rPr>
          <w:rFonts w:cs="Times New Roman"/>
          <w:lang w:val="en-GB"/>
        </w:rPr>
        <w:fldChar w:fldCharType="begin" w:fldLock="1"/>
      </w:r>
      <w:r w:rsidR="0002472C">
        <w:rPr>
          <w:rFonts w:cs="Times New Roman"/>
          <w:lang w:val="en-GB"/>
        </w:rPr>
        <w:instrText>ADDIN CSL_CITATION {"citationItems":[{"id":"ITEM-1","itemData":{"DOI":"10.1016/S0022-4596(03)00294-9","ISSN":"00224596","abstract":"A detailed Raman study on natural magnetite has been carried out. Raman spectra show four out of the five predicted Raman bands located at 668, 538, 306, and 193rcm-1. The location of the fifth, unobserved phonon mode, is inferred from spectra of other ferrites at 450-490rcm-1. Polarized experiments on an oriented single crystal provide a new interpretation of the Raman spectrum with the following assignment for symmetries of the observed modes: A1g for 668rcm-1, E g for 306 rcm-1, and T2g for 538, 193, and 450-490rcm-1. The results are compared with those of the earlier Raman studies and possible explanations for the discrepancies are suggested. Some of the inconsistencies can be resolved by considering the effect of oxidation of magnetite during the Raman experiments. © 2003 Elsevier Inc. All rights reserved.","author":[{"dropping-particle":"","family":"Shebanova","given":"Olga N.","non-dropping-particle":"","parse-names":false,"suffix":""},{"dropping-particle":"","family":"Lazor","given":"Peter","non-dropping-particle":"","parse-names":false,"suffix":""}],"container-title":"Journal of Solid State Chemistry","id":"ITEM-1","issue":"2","issued":{"date-parts":[["2003","9"]]},"page":"424-430","title":"Raman spectroscopic study of magnetite (FeFe2O4): a new assignment for the vibrational spectrum","type":"article-journal","volume":"174"},"uris":["http://www.mendeley.com/documents/?uuid=33ffaa7d-a63b-4dd0-a355-344e0c241771"]},{"id":"ITEM-2","itemData":{"DOI":"10.1021/am1004943","ISSN":"1944-8244","abstract":"Thin films of three iron oxide polymorphs, hematite, maghemite, and magnetite, were produced on KBr substrates using a conventional electron beam deposition technique coupled with thermal annealing. This method allowed for iron oxide thin films free from chemical precursor contaminants. The films were characterized using Fourier-transform infrared spectroscopy (FTIR), Raman microspectroscopy, and ellipsometry. These spectroscopic techniques allowed for a clear assignment of the phase of the iron oxide polymorph films produced along with an examination of the degree of crystallinity possessed by the films. The films produced were uniform in phase and exhibited decreasing crystallinity as the thickness increased from 40 to 250 nm. © 2010 American Chemical Society.","author":[{"dropping-particle":"","family":"Jubb","given":"Aaron M.","non-dropping-particle":"","parse-names":false,"suffix":""},{"dropping-particle":"","family":"Allen","given":"Heather C.","non-dropping-particle":"","parse-names":false,"suffix":""}],"container-title":"ACS Applied Materials &amp; Interfaces","id":"ITEM-2","issue":"10","issued":{"date-parts":[["2010","10","27"]]},"page":"2804-2812","title":"Vibrational Spectroscopic Characterization of Hematite, Maghemite, and Magnetite Thin Films Produced by Vapor Deposition","type":"article-journal","volume":"2"},"uris":["http://www.mendeley.com/documents/?uuid=befbc512-39eb-4606-9f23-2953636f2bea"]}],"mendeley":{"formattedCitation":"&lt;sup&gt;21,22&lt;/sup&gt;","plainTextFormattedCitation":"21,22","previouslyFormattedCitation":"&lt;sup&gt;21,22&lt;/sup&gt;"},"properties":{"noteIndex":0},"schema":"https://github.com/citation-style-language/schema/raw/master/csl-citation.json"}</w:instrText>
      </w:r>
      <w:r w:rsidRPr="00C53ACC">
        <w:rPr>
          <w:rFonts w:cs="Times New Roman"/>
          <w:lang w:val="en-GB"/>
        </w:rPr>
        <w:fldChar w:fldCharType="separate"/>
      </w:r>
      <w:r w:rsidR="0002472C" w:rsidRPr="0002472C">
        <w:rPr>
          <w:rFonts w:cs="Times New Roman"/>
          <w:noProof/>
          <w:vertAlign w:val="superscript"/>
          <w:lang w:val="en-GB"/>
        </w:rPr>
        <w:t>21,22</w:t>
      </w:r>
      <w:r w:rsidRPr="00C53ACC">
        <w:rPr>
          <w:rFonts w:cs="Times New Roman"/>
          <w:lang w:val="en-GB"/>
        </w:rPr>
        <w:fldChar w:fldCharType="end"/>
      </w:r>
      <w:r w:rsidRPr="00C53ACC">
        <w:rPr>
          <w:rFonts w:eastAsiaTheme="minorEastAsia" w:cs="Times New Roman"/>
          <w:lang w:val="en-GB"/>
        </w:rPr>
        <w:t>.</w:t>
      </w:r>
    </w:p>
    <w:p w14:paraId="70009C60" w14:textId="77777777" w:rsidR="00E24199" w:rsidRDefault="00E24199" w:rsidP="00C97BA2">
      <w:pPr>
        <w:spacing w:line="480" w:lineRule="auto"/>
        <w:rPr>
          <w:rFonts w:eastAsiaTheme="minorEastAsia" w:cs="Times New Roman"/>
          <w:lang w:val="en-GB"/>
        </w:rPr>
      </w:pPr>
    </w:p>
    <w:p w14:paraId="16C49FC7" w14:textId="078EA3AE" w:rsidR="00573BC9" w:rsidRDefault="00573BC9" w:rsidP="00573BC9">
      <w:pPr>
        <w:pStyle w:val="Heading2"/>
        <w:spacing w:line="480" w:lineRule="auto"/>
        <w:rPr>
          <w:rFonts w:eastAsiaTheme="minorEastAsia" w:cs="Times New Roman"/>
          <w:lang w:val="en-GB"/>
        </w:rPr>
      </w:pPr>
      <w:r w:rsidRPr="00C53ACC">
        <w:rPr>
          <w:rFonts w:eastAsiaTheme="minorEastAsia" w:cs="Times New Roman"/>
          <w:lang w:val="en-GB"/>
        </w:rPr>
        <w:lastRenderedPageBreak/>
        <w:t>S</w:t>
      </w:r>
      <w:r>
        <w:rPr>
          <w:rFonts w:eastAsiaTheme="minorEastAsia" w:cs="Times New Roman"/>
          <w:lang w:val="en-GB"/>
        </w:rPr>
        <w:t>4</w:t>
      </w:r>
      <w:r w:rsidRPr="00C53ACC">
        <w:rPr>
          <w:rFonts w:eastAsiaTheme="minorEastAsia" w:cs="Times New Roman"/>
          <w:lang w:val="en-GB"/>
        </w:rPr>
        <w:t xml:space="preserve"> </w:t>
      </w:r>
      <w:r>
        <w:rPr>
          <w:rFonts w:eastAsiaTheme="minorEastAsia" w:cs="Times New Roman"/>
          <w:lang w:val="en-GB"/>
        </w:rPr>
        <w:t xml:space="preserve">In-situ TEM </w:t>
      </w:r>
      <w:r w:rsidRPr="00C53ACC">
        <w:rPr>
          <w:rFonts w:eastAsiaTheme="minorEastAsia" w:cs="Times New Roman"/>
          <w:lang w:val="en-GB"/>
        </w:rPr>
        <w:t xml:space="preserve">analyses </w:t>
      </w:r>
    </w:p>
    <w:p w14:paraId="10325403" w14:textId="77777777" w:rsidR="00573BC9" w:rsidRDefault="00573BC9" w:rsidP="00573BC9">
      <w:pPr>
        <w:spacing w:line="480" w:lineRule="auto"/>
        <w:ind w:firstLine="720"/>
        <w:rPr>
          <w:lang w:val="en-GB"/>
        </w:rPr>
      </w:pPr>
      <w:r w:rsidRPr="00450D27">
        <w:rPr>
          <w:lang w:val="en-GB"/>
        </w:rPr>
        <w:t>Energy-dispersive X-ray spectra (EDS)</w:t>
      </w:r>
      <w:r>
        <w:rPr>
          <w:lang w:val="en-GB"/>
        </w:rPr>
        <w:t xml:space="preserve"> before and after experiments are shown in Table S3. These results </w:t>
      </w:r>
      <w:r w:rsidRPr="00450D27">
        <w:rPr>
          <w:lang w:val="en-GB"/>
        </w:rPr>
        <w:t>are affected by systematic errors due to the contribution of the sample holder to EDS spectra (visible as an increase in SiO</w:t>
      </w:r>
      <w:r w:rsidRPr="002B6821">
        <w:rPr>
          <w:vertAlign w:val="subscript"/>
          <w:lang w:val="en-GB"/>
        </w:rPr>
        <w:t>2</w:t>
      </w:r>
      <w:r w:rsidRPr="00450D27">
        <w:rPr>
          <w:lang w:val="en-GB"/>
        </w:rPr>
        <w:t>, P</w:t>
      </w:r>
      <w:r w:rsidRPr="002B6821">
        <w:rPr>
          <w:vertAlign w:val="subscript"/>
          <w:lang w:val="en-GB"/>
        </w:rPr>
        <w:t>2</w:t>
      </w:r>
      <w:r w:rsidRPr="00450D27">
        <w:rPr>
          <w:lang w:val="en-GB"/>
        </w:rPr>
        <w:t>O</w:t>
      </w:r>
      <w:r w:rsidRPr="002B6821">
        <w:rPr>
          <w:vertAlign w:val="subscript"/>
          <w:lang w:val="en-GB"/>
        </w:rPr>
        <w:t>5</w:t>
      </w:r>
      <w:r w:rsidRPr="00450D27">
        <w:rPr>
          <w:lang w:val="en-GB"/>
        </w:rPr>
        <w:t xml:space="preserve"> and Na</w:t>
      </w:r>
      <w:r w:rsidRPr="002B6821">
        <w:rPr>
          <w:vertAlign w:val="subscript"/>
          <w:lang w:val="en-GB"/>
        </w:rPr>
        <w:t>2</w:t>
      </w:r>
      <w:r w:rsidRPr="00450D27">
        <w:rPr>
          <w:lang w:val="en-GB"/>
        </w:rPr>
        <w:t>O contents).</w:t>
      </w:r>
      <w:r>
        <w:rPr>
          <w:lang w:val="en-GB"/>
        </w:rPr>
        <w:t xml:space="preserve"> </w:t>
      </w:r>
    </w:p>
    <w:p w14:paraId="75CDABD6" w14:textId="77777777" w:rsidR="00573BC9" w:rsidRPr="00A4251F" w:rsidRDefault="00573BC9" w:rsidP="00573BC9">
      <w:pPr>
        <w:spacing w:line="480" w:lineRule="auto"/>
        <w:rPr>
          <w:rFonts w:cs="Times New Roman"/>
          <w:lang w:val="en-GB"/>
        </w:rPr>
      </w:pPr>
    </w:p>
    <w:tbl>
      <w:tblPr>
        <w:tblW w:w="8505" w:type="dxa"/>
        <w:tblLook w:val="04A0" w:firstRow="1" w:lastRow="0" w:firstColumn="1" w:lastColumn="0" w:noHBand="0" w:noVBand="1"/>
      </w:tblPr>
      <w:tblGrid>
        <w:gridCol w:w="1366"/>
        <w:gridCol w:w="2745"/>
        <w:gridCol w:w="1701"/>
        <w:gridCol w:w="2693"/>
      </w:tblGrid>
      <w:tr w:rsidR="00573BC9" w:rsidRPr="00A4251F" w14:paraId="15188DF1" w14:textId="77777777" w:rsidTr="0028433D">
        <w:trPr>
          <w:trHeight w:val="282"/>
        </w:trPr>
        <w:tc>
          <w:tcPr>
            <w:tcW w:w="8505" w:type="dxa"/>
            <w:gridSpan w:val="4"/>
            <w:tcBorders>
              <w:top w:val="nil"/>
              <w:left w:val="nil"/>
              <w:bottom w:val="nil"/>
              <w:right w:val="nil"/>
            </w:tcBorders>
            <w:shd w:val="clear" w:color="000000" w:fill="FFFFFF"/>
            <w:noWrap/>
            <w:vAlign w:val="bottom"/>
            <w:hideMark/>
          </w:tcPr>
          <w:p w14:paraId="6E462C26" w14:textId="7CBF861C" w:rsidR="00573BC9" w:rsidRPr="00A4251F" w:rsidRDefault="00573BC9" w:rsidP="0028433D">
            <w:pPr>
              <w:spacing w:line="240" w:lineRule="auto"/>
              <w:jc w:val="left"/>
              <w:rPr>
                <w:rFonts w:eastAsia="Times New Roman" w:cs="Times New Roman"/>
                <w:color w:val="000000"/>
                <w:szCs w:val="24"/>
              </w:rPr>
            </w:pPr>
            <w:r w:rsidRPr="00E50ABE">
              <w:rPr>
                <w:rFonts w:eastAsia="Times New Roman" w:cs="Times New Roman"/>
                <w:b/>
                <w:bCs/>
                <w:color w:val="000000"/>
                <w:szCs w:val="24"/>
              </w:rPr>
              <w:t>Table S3</w:t>
            </w:r>
            <w:r w:rsidRPr="00A4251F">
              <w:rPr>
                <w:rFonts w:eastAsia="Times New Roman" w:cs="Times New Roman"/>
                <w:color w:val="000000"/>
                <w:szCs w:val="24"/>
              </w:rPr>
              <w:t>. High-temperature</w:t>
            </w:r>
            <w:r>
              <w:rPr>
                <w:rFonts w:eastAsia="Times New Roman" w:cs="Times New Roman"/>
                <w:color w:val="000000"/>
                <w:szCs w:val="24"/>
              </w:rPr>
              <w:t xml:space="preserve"> EDS</w:t>
            </w:r>
            <w:r w:rsidRPr="00A4251F">
              <w:rPr>
                <w:rFonts w:eastAsia="Times New Roman" w:cs="Times New Roman"/>
                <w:color w:val="000000"/>
                <w:szCs w:val="24"/>
              </w:rPr>
              <w:t xml:space="preserve"> </w:t>
            </w:r>
            <w:r>
              <w:rPr>
                <w:rFonts w:eastAsia="Times New Roman" w:cs="Times New Roman"/>
                <w:color w:val="000000"/>
                <w:szCs w:val="24"/>
              </w:rPr>
              <w:t>(</w:t>
            </w:r>
            <w:r w:rsidRPr="00A4251F">
              <w:rPr>
                <w:rFonts w:eastAsia="Times New Roman" w:cs="Times New Roman"/>
                <w:color w:val="000000"/>
                <w:szCs w:val="24"/>
              </w:rPr>
              <w:t>TEM</w:t>
            </w:r>
            <w:r>
              <w:rPr>
                <w:rFonts w:eastAsia="Times New Roman" w:cs="Times New Roman"/>
                <w:color w:val="000000"/>
                <w:szCs w:val="24"/>
              </w:rPr>
              <w:t xml:space="preserve">) results. </w:t>
            </w:r>
          </w:p>
        </w:tc>
      </w:tr>
      <w:tr w:rsidR="00573BC9" w:rsidRPr="00A4251F" w14:paraId="48038045" w14:textId="77777777" w:rsidTr="0028433D">
        <w:trPr>
          <w:trHeight w:val="330"/>
        </w:trPr>
        <w:tc>
          <w:tcPr>
            <w:tcW w:w="1366" w:type="dxa"/>
            <w:tcBorders>
              <w:top w:val="single" w:sz="4" w:space="0" w:color="auto"/>
              <w:left w:val="nil"/>
              <w:bottom w:val="single" w:sz="8" w:space="0" w:color="auto"/>
              <w:right w:val="nil"/>
            </w:tcBorders>
            <w:shd w:val="clear" w:color="000000" w:fill="FFFFFF"/>
            <w:noWrap/>
            <w:hideMark/>
          </w:tcPr>
          <w:p w14:paraId="6A0A0BD3" w14:textId="77777777" w:rsidR="00573BC9" w:rsidRPr="00A4251F" w:rsidRDefault="00573BC9" w:rsidP="0028433D">
            <w:pPr>
              <w:spacing w:line="240" w:lineRule="auto"/>
              <w:jc w:val="left"/>
              <w:rPr>
                <w:rFonts w:eastAsia="Times New Roman" w:cs="Times New Roman"/>
                <w:b/>
                <w:bCs/>
                <w:color w:val="000000"/>
                <w:szCs w:val="24"/>
              </w:rPr>
            </w:pPr>
            <w:r w:rsidRPr="00A4251F">
              <w:rPr>
                <w:rFonts w:eastAsia="Times New Roman" w:cs="Times New Roman"/>
                <w:b/>
                <w:bCs/>
                <w:color w:val="000000"/>
                <w:szCs w:val="24"/>
              </w:rPr>
              <w:t> </w:t>
            </w:r>
          </w:p>
        </w:tc>
        <w:tc>
          <w:tcPr>
            <w:tcW w:w="2745" w:type="dxa"/>
            <w:tcBorders>
              <w:top w:val="single" w:sz="4" w:space="0" w:color="auto"/>
              <w:left w:val="nil"/>
              <w:bottom w:val="single" w:sz="8" w:space="0" w:color="auto"/>
              <w:right w:val="nil"/>
            </w:tcBorders>
            <w:shd w:val="clear" w:color="000000" w:fill="FFFFFF"/>
            <w:noWrap/>
            <w:vAlign w:val="center"/>
            <w:hideMark/>
          </w:tcPr>
          <w:p w14:paraId="1E747D1D" w14:textId="77777777" w:rsidR="00573BC9" w:rsidRPr="00A4251F" w:rsidRDefault="00573BC9" w:rsidP="0028433D">
            <w:pPr>
              <w:spacing w:line="240" w:lineRule="auto"/>
              <w:jc w:val="center"/>
              <w:rPr>
                <w:rFonts w:eastAsia="Times New Roman" w:cs="Times New Roman"/>
                <w:b/>
                <w:bCs/>
                <w:color w:val="000000"/>
                <w:szCs w:val="24"/>
              </w:rPr>
            </w:pPr>
            <w:r w:rsidRPr="00A4251F">
              <w:rPr>
                <w:rFonts w:eastAsia="Times New Roman" w:cs="Times New Roman"/>
                <w:b/>
                <w:bCs/>
                <w:color w:val="000000"/>
                <w:szCs w:val="24"/>
              </w:rPr>
              <w:t>Bulk</w:t>
            </w:r>
            <w:r w:rsidRPr="00A4251F">
              <w:rPr>
                <w:rFonts w:eastAsia="Times New Roman" w:cs="Times New Roman"/>
                <w:b/>
                <w:bCs/>
                <w:color w:val="000000"/>
                <w:szCs w:val="24"/>
                <w:vertAlign w:val="subscript"/>
              </w:rPr>
              <w:t>before</w:t>
            </w:r>
          </w:p>
        </w:tc>
        <w:tc>
          <w:tcPr>
            <w:tcW w:w="1701" w:type="dxa"/>
            <w:tcBorders>
              <w:top w:val="single" w:sz="4" w:space="0" w:color="auto"/>
              <w:left w:val="nil"/>
              <w:bottom w:val="single" w:sz="8" w:space="0" w:color="auto"/>
              <w:right w:val="nil"/>
            </w:tcBorders>
            <w:shd w:val="clear" w:color="000000" w:fill="FFFFFF"/>
            <w:noWrap/>
            <w:vAlign w:val="center"/>
            <w:hideMark/>
          </w:tcPr>
          <w:p w14:paraId="75F084BE" w14:textId="77777777" w:rsidR="00573BC9" w:rsidRPr="00A4251F" w:rsidRDefault="00573BC9" w:rsidP="0028433D">
            <w:pPr>
              <w:spacing w:line="240" w:lineRule="auto"/>
              <w:jc w:val="center"/>
              <w:rPr>
                <w:rFonts w:eastAsia="Times New Roman" w:cs="Times New Roman"/>
                <w:b/>
                <w:bCs/>
                <w:color w:val="000000"/>
                <w:szCs w:val="24"/>
              </w:rPr>
            </w:pPr>
            <w:r w:rsidRPr="00A4251F">
              <w:rPr>
                <w:rFonts w:eastAsia="Times New Roman" w:cs="Times New Roman"/>
                <w:b/>
                <w:bCs/>
                <w:color w:val="000000"/>
                <w:szCs w:val="24"/>
              </w:rPr>
              <w:t>Bulk</w:t>
            </w:r>
            <w:r w:rsidRPr="00A4251F">
              <w:rPr>
                <w:rFonts w:eastAsia="Times New Roman" w:cs="Times New Roman"/>
                <w:b/>
                <w:bCs/>
                <w:color w:val="000000"/>
                <w:szCs w:val="24"/>
                <w:vertAlign w:val="subscript"/>
              </w:rPr>
              <w:t>after, e-beam</w:t>
            </w:r>
            <w:r w:rsidRPr="00A4251F">
              <w:rPr>
                <w:rFonts w:eastAsia="Times New Roman" w:cs="Times New Roman"/>
                <w:b/>
                <w:bCs/>
                <w:color w:val="000000"/>
                <w:szCs w:val="24"/>
                <w:vertAlign w:val="superscript"/>
              </w:rPr>
              <w:t>a</w:t>
            </w:r>
          </w:p>
        </w:tc>
        <w:tc>
          <w:tcPr>
            <w:tcW w:w="2693" w:type="dxa"/>
            <w:tcBorders>
              <w:top w:val="single" w:sz="4" w:space="0" w:color="auto"/>
              <w:left w:val="nil"/>
              <w:bottom w:val="single" w:sz="8" w:space="0" w:color="auto"/>
              <w:right w:val="nil"/>
            </w:tcBorders>
            <w:shd w:val="clear" w:color="000000" w:fill="FFFFFF"/>
            <w:noWrap/>
            <w:vAlign w:val="center"/>
            <w:hideMark/>
          </w:tcPr>
          <w:p w14:paraId="27216A9B" w14:textId="77777777" w:rsidR="00573BC9" w:rsidRPr="00A4251F" w:rsidRDefault="00573BC9" w:rsidP="0028433D">
            <w:pPr>
              <w:spacing w:line="240" w:lineRule="auto"/>
              <w:jc w:val="center"/>
              <w:rPr>
                <w:rFonts w:eastAsia="Times New Roman" w:cs="Times New Roman"/>
                <w:b/>
                <w:bCs/>
                <w:color w:val="000000"/>
                <w:szCs w:val="24"/>
              </w:rPr>
            </w:pPr>
            <w:r w:rsidRPr="00A4251F">
              <w:rPr>
                <w:rFonts w:eastAsia="Times New Roman" w:cs="Times New Roman"/>
                <w:b/>
                <w:bCs/>
                <w:color w:val="000000"/>
                <w:szCs w:val="24"/>
              </w:rPr>
              <w:t>Bulk</w:t>
            </w:r>
            <w:r w:rsidRPr="00A4251F">
              <w:rPr>
                <w:rFonts w:eastAsia="Times New Roman" w:cs="Times New Roman"/>
                <w:b/>
                <w:bCs/>
                <w:color w:val="000000"/>
                <w:szCs w:val="24"/>
                <w:vertAlign w:val="subscript"/>
              </w:rPr>
              <w:t>after, no-beam</w:t>
            </w:r>
            <w:r w:rsidRPr="00A4251F">
              <w:rPr>
                <w:rFonts w:eastAsia="Times New Roman" w:cs="Times New Roman"/>
                <w:b/>
                <w:bCs/>
                <w:color w:val="000000"/>
                <w:szCs w:val="24"/>
                <w:vertAlign w:val="superscript"/>
              </w:rPr>
              <w:t>b</w:t>
            </w:r>
          </w:p>
        </w:tc>
      </w:tr>
      <w:tr w:rsidR="00573BC9" w:rsidRPr="00A4251F" w14:paraId="4A21A482" w14:textId="77777777" w:rsidTr="0028433D">
        <w:trPr>
          <w:trHeight w:val="285"/>
        </w:trPr>
        <w:tc>
          <w:tcPr>
            <w:tcW w:w="1366" w:type="dxa"/>
            <w:tcBorders>
              <w:top w:val="nil"/>
              <w:left w:val="nil"/>
              <w:bottom w:val="nil"/>
              <w:right w:val="nil"/>
            </w:tcBorders>
            <w:shd w:val="clear" w:color="000000" w:fill="FFFFFF"/>
            <w:noWrap/>
            <w:hideMark/>
          </w:tcPr>
          <w:p w14:paraId="495CA73D" w14:textId="77777777" w:rsidR="00573BC9" w:rsidRPr="00A4251F" w:rsidRDefault="00573BC9" w:rsidP="0028433D">
            <w:pPr>
              <w:spacing w:line="240" w:lineRule="auto"/>
              <w:jc w:val="left"/>
              <w:rPr>
                <w:rFonts w:eastAsia="Times New Roman" w:cs="Times New Roman"/>
                <w:color w:val="000000"/>
                <w:szCs w:val="24"/>
              </w:rPr>
            </w:pPr>
            <w:r w:rsidRPr="00A4251F">
              <w:rPr>
                <w:rFonts w:eastAsia="Times New Roman" w:cs="Times New Roman"/>
                <w:color w:val="000000"/>
                <w:szCs w:val="24"/>
              </w:rPr>
              <w:t>SiO</w:t>
            </w:r>
            <w:r w:rsidRPr="00A4251F">
              <w:rPr>
                <w:rFonts w:eastAsia="Times New Roman" w:cs="Times New Roman"/>
                <w:color w:val="000000"/>
                <w:szCs w:val="24"/>
                <w:vertAlign w:val="subscript"/>
              </w:rPr>
              <w:t>2</w:t>
            </w:r>
          </w:p>
        </w:tc>
        <w:tc>
          <w:tcPr>
            <w:tcW w:w="2745" w:type="dxa"/>
            <w:tcBorders>
              <w:top w:val="nil"/>
              <w:left w:val="nil"/>
              <w:bottom w:val="nil"/>
              <w:right w:val="nil"/>
            </w:tcBorders>
            <w:shd w:val="clear" w:color="000000" w:fill="FFFFFF"/>
            <w:noWrap/>
            <w:vAlign w:val="center"/>
            <w:hideMark/>
          </w:tcPr>
          <w:p w14:paraId="0288B6A4"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61.0</w:t>
            </w:r>
          </w:p>
        </w:tc>
        <w:tc>
          <w:tcPr>
            <w:tcW w:w="1701" w:type="dxa"/>
            <w:tcBorders>
              <w:top w:val="nil"/>
              <w:left w:val="nil"/>
              <w:bottom w:val="nil"/>
              <w:right w:val="nil"/>
            </w:tcBorders>
            <w:shd w:val="clear" w:color="000000" w:fill="FFFFFF"/>
            <w:noWrap/>
            <w:vAlign w:val="center"/>
            <w:hideMark/>
          </w:tcPr>
          <w:p w14:paraId="51D35F22"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65.9</w:t>
            </w:r>
          </w:p>
        </w:tc>
        <w:tc>
          <w:tcPr>
            <w:tcW w:w="2693" w:type="dxa"/>
            <w:tcBorders>
              <w:top w:val="nil"/>
              <w:left w:val="nil"/>
              <w:bottom w:val="nil"/>
              <w:right w:val="nil"/>
            </w:tcBorders>
            <w:shd w:val="clear" w:color="000000" w:fill="FFFFFF"/>
            <w:noWrap/>
            <w:vAlign w:val="center"/>
            <w:hideMark/>
          </w:tcPr>
          <w:p w14:paraId="34F585FA"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61.3</w:t>
            </w:r>
          </w:p>
        </w:tc>
      </w:tr>
      <w:tr w:rsidR="00573BC9" w:rsidRPr="00A4251F" w14:paraId="3A42A8E8" w14:textId="77777777" w:rsidTr="0028433D">
        <w:trPr>
          <w:trHeight w:val="285"/>
        </w:trPr>
        <w:tc>
          <w:tcPr>
            <w:tcW w:w="1366" w:type="dxa"/>
            <w:tcBorders>
              <w:top w:val="nil"/>
              <w:left w:val="nil"/>
              <w:bottom w:val="nil"/>
              <w:right w:val="nil"/>
            </w:tcBorders>
            <w:shd w:val="clear" w:color="000000" w:fill="FFFFFF"/>
            <w:noWrap/>
            <w:hideMark/>
          </w:tcPr>
          <w:p w14:paraId="07B0DD28" w14:textId="77777777" w:rsidR="00573BC9" w:rsidRPr="00A4251F" w:rsidRDefault="00573BC9" w:rsidP="0028433D">
            <w:pPr>
              <w:spacing w:line="240" w:lineRule="auto"/>
              <w:jc w:val="left"/>
              <w:rPr>
                <w:rFonts w:eastAsia="Times New Roman" w:cs="Times New Roman"/>
                <w:color w:val="000000"/>
                <w:szCs w:val="24"/>
              </w:rPr>
            </w:pPr>
            <w:r w:rsidRPr="00A4251F">
              <w:rPr>
                <w:rFonts w:eastAsia="Times New Roman" w:cs="Times New Roman"/>
                <w:color w:val="000000"/>
                <w:szCs w:val="24"/>
              </w:rPr>
              <w:t>TiO</w:t>
            </w:r>
            <w:r w:rsidRPr="00A4251F">
              <w:rPr>
                <w:rFonts w:eastAsia="Times New Roman" w:cs="Times New Roman"/>
                <w:color w:val="000000"/>
                <w:szCs w:val="24"/>
                <w:vertAlign w:val="subscript"/>
              </w:rPr>
              <w:t>2</w:t>
            </w:r>
          </w:p>
        </w:tc>
        <w:tc>
          <w:tcPr>
            <w:tcW w:w="2745" w:type="dxa"/>
            <w:tcBorders>
              <w:top w:val="nil"/>
              <w:left w:val="nil"/>
              <w:bottom w:val="nil"/>
              <w:right w:val="nil"/>
            </w:tcBorders>
            <w:shd w:val="clear" w:color="000000" w:fill="FFFFFF"/>
            <w:noWrap/>
            <w:vAlign w:val="center"/>
            <w:hideMark/>
          </w:tcPr>
          <w:p w14:paraId="2720F76A"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1.0</w:t>
            </w:r>
          </w:p>
        </w:tc>
        <w:tc>
          <w:tcPr>
            <w:tcW w:w="1701" w:type="dxa"/>
            <w:tcBorders>
              <w:top w:val="nil"/>
              <w:left w:val="nil"/>
              <w:bottom w:val="nil"/>
              <w:right w:val="nil"/>
            </w:tcBorders>
            <w:shd w:val="clear" w:color="000000" w:fill="FFFFFF"/>
            <w:noWrap/>
            <w:vAlign w:val="center"/>
            <w:hideMark/>
          </w:tcPr>
          <w:p w14:paraId="36C0539B"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0.9</w:t>
            </w:r>
          </w:p>
        </w:tc>
        <w:tc>
          <w:tcPr>
            <w:tcW w:w="2693" w:type="dxa"/>
            <w:tcBorders>
              <w:top w:val="nil"/>
              <w:left w:val="nil"/>
              <w:bottom w:val="nil"/>
              <w:right w:val="nil"/>
            </w:tcBorders>
            <w:shd w:val="clear" w:color="000000" w:fill="FFFFFF"/>
            <w:noWrap/>
            <w:vAlign w:val="center"/>
            <w:hideMark/>
          </w:tcPr>
          <w:p w14:paraId="0B5440B2"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0.8</w:t>
            </w:r>
          </w:p>
        </w:tc>
      </w:tr>
      <w:tr w:rsidR="00573BC9" w:rsidRPr="00A4251F" w14:paraId="4DD93A63" w14:textId="77777777" w:rsidTr="0028433D">
        <w:trPr>
          <w:trHeight w:val="285"/>
        </w:trPr>
        <w:tc>
          <w:tcPr>
            <w:tcW w:w="1366" w:type="dxa"/>
            <w:tcBorders>
              <w:top w:val="nil"/>
              <w:left w:val="nil"/>
              <w:bottom w:val="nil"/>
              <w:right w:val="nil"/>
            </w:tcBorders>
            <w:shd w:val="clear" w:color="000000" w:fill="FFFFFF"/>
            <w:noWrap/>
            <w:hideMark/>
          </w:tcPr>
          <w:p w14:paraId="2A56A79F" w14:textId="77777777" w:rsidR="00573BC9" w:rsidRPr="00A4251F" w:rsidRDefault="00573BC9" w:rsidP="0028433D">
            <w:pPr>
              <w:spacing w:line="240" w:lineRule="auto"/>
              <w:jc w:val="left"/>
              <w:rPr>
                <w:rFonts w:eastAsia="Times New Roman" w:cs="Times New Roman"/>
                <w:color w:val="000000"/>
                <w:szCs w:val="24"/>
              </w:rPr>
            </w:pPr>
            <w:r w:rsidRPr="00A4251F">
              <w:rPr>
                <w:rFonts w:eastAsia="Times New Roman" w:cs="Times New Roman"/>
                <w:color w:val="000000"/>
                <w:szCs w:val="24"/>
              </w:rPr>
              <w:t>Al</w:t>
            </w:r>
            <w:r w:rsidRPr="00A4251F">
              <w:rPr>
                <w:rFonts w:eastAsia="Times New Roman" w:cs="Times New Roman"/>
                <w:color w:val="000000"/>
                <w:szCs w:val="24"/>
                <w:vertAlign w:val="subscript"/>
              </w:rPr>
              <w:t>2</w:t>
            </w:r>
            <w:r w:rsidRPr="00A4251F">
              <w:rPr>
                <w:rFonts w:eastAsia="Times New Roman" w:cs="Times New Roman"/>
                <w:color w:val="000000"/>
                <w:szCs w:val="24"/>
              </w:rPr>
              <w:t>O</w:t>
            </w:r>
            <w:r w:rsidRPr="00A4251F">
              <w:rPr>
                <w:rFonts w:eastAsia="Times New Roman" w:cs="Times New Roman"/>
                <w:color w:val="000000"/>
                <w:szCs w:val="24"/>
                <w:vertAlign w:val="subscript"/>
              </w:rPr>
              <w:t>3</w:t>
            </w:r>
          </w:p>
        </w:tc>
        <w:tc>
          <w:tcPr>
            <w:tcW w:w="2745" w:type="dxa"/>
            <w:tcBorders>
              <w:top w:val="nil"/>
              <w:left w:val="nil"/>
              <w:bottom w:val="nil"/>
              <w:right w:val="nil"/>
            </w:tcBorders>
            <w:shd w:val="clear" w:color="000000" w:fill="FFFFFF"/>
            <w:noWrap/>
            <w:vAlign w:val="center"/>
            <w:hideMark/>
          </w:tcPr>
          <w:p w14:paraId="59694259"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14.1</w:t>
            </w:r>
          </w:p>
        </w:tc>
        <w:tc>
          <w:tcPr>
            <w:tcW w:w="1701" w:type="dxa"/>
            <w:tcBorders>
              <w:top w:val="nil"/>
              <w:left w:val="nil"/>
              <w:bottom w:val="nil"/>
              <w:right w:val="nil"/>
            </w:tcBorders>
            <w:shd w:val="clear" w:color="000000" w:fill="FFFFFF"/>
            <w:noWrap/>
            <w:vAlign w:val="center"/>
            <w:hideMark/>
          </w:tcPr>
          <w:p w14:paraId="36232407"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18</w:t>
            </w:r>
          </w:p>
        </w:tc>
        <w:tc>
          <w:tcPr>
            <w:tcW w:w="2693" w:type="dxa"/>
            <w:tcBorders>
              <w:top w:val="nil"/>
              <w:left w:val="nil"/>
              <w:bottom w:val="nil"/>
              <w:right w:val="nil"/>
            </w:tcBorders>
            <w:shd w:val="clear" w:color="000000" w:fill="FFFFFF"/>
            <w:noWrap/>
            <w:vAlign w:val="center"/>
            <w:hideMark/>
          </w:tcPr>
          <w:p w14:paraId="7D29F642"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15.7</w:t>
            </w:r>
          </w:p>
        </w:tc>
      </w:tr>
      <w:tr w:rsidR="00573BC9" w:rsidRPr="00A4251F" w14:paraId="4271AAB1" w14:textId="77777777" w:rsidTr="0028433D">
        <w:trPr>
          <w:trHeight w:val="285"/>
        </w:trPr>
        <w:tc>
          <w:tcPr>
            <w:tcW w:w="1366" w:type="dxa"/>
            <w:tcBorders>
              <w:top w:val="nil"/>
              <w:left w:val="nil"/>
              <w:bottom w:val="nil"/>
              <w:right w:val="nil"/>
            </w:tcBorders>
            <w:shd w:val="clear" w:color="000000" w:fill="FFFFFF"/>
            <w:noWrap/>
            <w:hideMark/>
          </w:tcPr>
          <w:p w14:paraId="21A1BDE9" w14:textId="77777777" w:rsidR="00573BC9" w:rsidRPr="00A4251F" w:rsidRDefault="00573BC9" w:rsidP="0028433D">
            <w:pPr>
              <w:spacing w:line="240" w:lineRule="auto"/>
              <w:jc w:val="left"/>
              <w:rPr>
                <w:rFonts w:eastAsia="Times New Roman" w:cs="Times New Roman"/>
                <w:color w:val="000000"/>
                <w:szCs w:val="24"/>
              </w:rPr>
            </w:pPr>
            <w:r w:rsidRPr="00A4251F">
              <w:rPr>
                <w:rFonts w:eastAsia="Times New Roman" w:cs="Times New Roman"/>
                <w:color w:val="000000"/>
                <w:szCs w:val="24"/>
              </w:rPr>
              <w:t>FeO</w:t>
            </w:r>
            <w:r w:rsidRPr="00A4251F">
              <w:rPr>
                <w:rFonts w:eastAsia="Times New Roman" w:cs="Times New Roman"/>
                <w:color w:val="000000"/>
                <w:szCs w:val="24"/>
                <w:vertAlign w:val="subscript"/>
              </w:rPr>
              <w:t>tot</w:t>
            </w:r>
          </w:p>
        </w:tc>
        <w:tc>
          <w:tcPr>
            <w:tcW w:w="2745" w:type="dxa"/>
            <w:tcBorders>
              <w:top w:val="nil"/>
              <w:left w:val="nil"/>
              <w:bottom w:val="nil"/>
              <w:right w:val="nil"/>
            </w:tcBorders>
            <w:shd w:val="clear" w:color="000000" w:fill="FFFFFF"/>
            <w:noWrap/>
            <w:vAlign w:val="center"/>
            <w:hideMark/>
          </w:tcPr>
          <w:p w14:paraId="54FF543B"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7.0</w:t>
            </w:r>
          </w:p>
        </w:tc>
        <w:tc>
          <w:tcPr>
            <w:tcW w:w="1701" w:type="dxa"/>
            <w:tcBorders>
              <w:top w:val="nil"/>
              <w:left w:val="nil"/>
              <w:bottom w:val="nil"/>
              <w:right w:val="nil"/>
            </w:tcBorders>
            <w:shd w:val="clear" w:color="000000" w:fill="FFFFFF"/>
            <w:noWrap/>
            <w:vAlign w:val="center"/>
            <w:hideMark/>
          </w:tcPr>
          <w:p w14:paraId="624F4B4D"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6.7</w:t>
            </w:r>
          </w:p>
        </w:tc>
        <w:tc>
          <w:tcPr>
            <w:tcW w:w="2693" w:type="dxa"/>
            <w:tcBorders>
              <w:top w:val="nil"/>
              <w:left w:val="nil"/>
              <w:bottom w:val="nil"/>
              <w:right w:val="nil"/>
            </w:tcBorders>
            <w:shd w:val="clear" w:color="000000" w:fill="FFFFFF"/>
            <w:noWrap/>
            <w:vAlign w:val="center"/>
            <w:hideMark/>
          </w:tcPr>
          <w:p w14:paraId="1708AA15"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6.7</w:t>
            </w:r>
          </w:p>
        </w:tc>
      </w:tr>
      <w:tr w:rsidR="00573BC9" w:rsidRPr="00A4251F" w14:paraId="68E0BD8A" w14:textId="77777777" w:rsidTr="0028433D">
        <w:trPr>
          <w:trHeight w:val="255"/>
        </w:trPr>
        <w:tc>
          <w:tcPr>
            <w:tcW w:w="1366" w:type="dxa"/>
            <w:tcBorders>
              <w:top w:val="nil"/>
              <w:left w:val="nil"/>
              <w:bottom w:val="nil"/>
              <w:right w:val="nil"/>
            </w:tcBorders>
            <w:shd w:val="clear" w:color="000000" w:fill="FFFFFF"/>
            <w:noWrap/>
            <w:hideMark/>
          </w:tcPr>
          <w:p w14:paraId="1DAE1195" w14:textId="77777777" w:rsidR="00573BC9" w:rsidRPr="00A4251F" w:rsidRDefault="00573BC9" w:rsidP="0028433D">
            <w:pPr>
              <w:spacing w:line="240" w:lineRule="auto"/>
              <w:jc w:val="left"/>
              <w:rPr>
                <w:rFonts w:eastAsia="Times New Roman" w:cs="Times New Roman"/>
                <w:color w:val="000000"/>
                <w:szCs w:val="24"/>
              </w:rPr>
            </w:pPr>
            <w:r w:rsidRPr="00A4251F">
              <w:rPr>
                <w:rFonts w:eastAsia="Times New Roman" w:cs="Times New Roman"/>
                <w:color w:val="000000"/>
                <w:szCs w:val="24"/>
              </w:rPr>
              <w:t>MgO</w:t>
            </w:r>
          </w:p>
        </w:tc>
        <w:tc>
          <w:tcPr>
            <w:tcW w:w="2745" w:type="dxa"/>
            <w:tcBorders>
              <w:top w:val="nil"/>
              <w:left w:val="nil"/>
              <w:bottom w:val="nil"/>
              <w:right w:val="nil"/>
            </w:tcBorders>
            <w:shd w:val="clear" w:color="000000" w:fill="FFFFFF"/>
            <w:noWrap/>
            <w:vAlign w:val="center"/>
            <w:hideMark/>
          </w:tcPr>
          <w:p w14:paraId="39E54D55"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2.2</w:t>
            </w:r>
          </w:p>
        </w:tc>
        <w:tc>
          <w:tcPr>
            <w:tcW w:w="1701" w:type="dxa"/>
            <w:tcBorders>
              <w:top w:val="nil"/>
              <w:left w:val="nil"/>
              <w:bottom w:val="nil"/>
              <w:right w:val="nil"/>
            </w:tcBorders>
            <w:shd w:val="clear" w:color="000000" w:fill="FFFFFF"/>
            <w:noWrap/>
            <w:vAlign w:val="center"/>
            <w:hideMark/>
          </w:tcPr>
          <w:p w14:paraId="2CD4854E"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2.1</w:t>
            </w:r>
          </w:p>
        </w:tc>
        <w:tc>
          <w:tcPr>
            <w:tcW w:w="2693" w:type="dxa"/>
            <w:tcBorders>
              <w:top w:val="nil"/>
              <w:left w:val="nil"/>
              <w:bottom w:val="nil"/>
              <w:right w:val="nil"/>
            </w:tcBorders>
            <w:shd w:val="clear" w:color="000000" w:fill="FFFFFF"/>
            <w:noWrap/>
            <w:vAlign w:val="center"/>
            <w:hideMark/>
          </w:tcPr>
          <w:p w14:paraId="700AC97D"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2.7</w:t>
            </w:r>
          </w:p>
        </w:tc>
      </w:tr>
      <w:tr w:rsidR="00573BC9" w:rsidRPr="00A4251F" w14:paraId="3F7889ED" w14:textId="77777777" w:rsidTr="0028433D">
        <w:trPr>
          <w:trHeight w:val="255"/>
        </w:trPr>
        <w:tc>
          <w:tcPr>
            <w:tcW w:w="1366" w:type="dxa"/>
            <w:tcBorders>
              <w:top w:val="nil"/>
              <w:left w:val="nil"/>
              <w:bottom w:val="nil"/>
              <w:right w:val="nil"/>
            </w:tcBorders>
            <w:shd w:val="clear" w:color="000000" w:fill="FFFFFF"/>
            <w:noWrap/>
            <w:hideMark/>
          </w:tcPr>
          <w:p w14:paraId="10D43E2A" w14:textId="77777777" w:rsidR="00573BC9" w:rsidRPr="00A4251F" w:rsidRDefault="00573BC9" w:rsidP="0028433D">
            <w:pPr>
              <w:spacing w:line="240" w:lineRule="auto"/>
              <w:jc w:val="left"/>
              <w:rPr>
                <w:rFonts w:eastAsia="Times New Roman" w:cs="Times New Roman"/>
                <w:color w:val="000000"/>
                <w:szCs w:val="24"/>
              </w:rPr>
            </w:pPr>
            <w:r w:rsidRPr="00A4251F">
              <w:rPr>
                <w:rFonts w:eastAsia="Times New Roman" w:cs="Times New Roman"/>
                <w:color w:val="000000"/>
                <w:szCs w:val="24"/>
              </w:rPr>
              <w:t>CaO</w:t>
            </w:r>
          </w:p>
        </w:tc>
        <w:tc>
          <w:tcPr>
            <w:tcW w:w="2745" w:type="dxa"/>
            <w:tcBorders>
              <w:top w:val="nil"/>
              <w:left w:val="nil"/>
              <w:bottom w:val="nil"/>
              <w:right w:val="nil"/>
            </w:tcBorders>
            <w:shd w:val="clear" w:color="000000" w:fill="FFFFFF"/>
            <w:noWrap/>
            <w:vAlign w:val="center"/>
            <w:hideMark/>
          </w:tcPr>
          <w:p w14:paraId="39617B5E"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6.2</w:t>
            </w:r>
          </w:p>
        </w:tc>
        <w:tc>
          <w:tcPr>
            <w:tcW w:w="1701" w:type="dxa"/>
            <w:tcBorders>
              <w:top w:val="nil"/>
              <w:left w:val="nil"/>
              <w:bottom w:val="nil"/>
              <w:right w:val="nil"/>
            </w:tcBorders>
            <w:shd w:val="clear" w:color="000000" w:fill="FFFFFF"/>
            <w:noWrap/>
            <w:vAlign w:val="center"/>
            <w:hideMark/>
          </w:tcPr>
          <w:p w14:paraId="6BC6A222"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5</w:t>
            </w:r>
          </w:p>
        </w:tc>
        <w:tc>
          <w:tcPr>
            <w:tcW w:w="2693" w:type="dxa"/>
            <w:tcBorders>
              <w:top w:val="nil"/>
              <w:left w:val="nil"/>
              <w:bottom w:val="nil"/>
              <w:right w:val="nil"/>
            </w:tcBorders>
            <w:shd w:val="clear" w:color="000000" w:fill="FFFFFF"/>
            <w:noWrap/>
            <w:vAlign w:val="center"/>
            <w:hideMark/>
          </w:tcPr>
          <w:p w14:paraId="3E46DC27"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7.2</w:t>
            </w:r>
          </w:p>
        </w:tc>
      </w:tr>
      <w:tr w:rsidR="00573BC9" w:rsidRPr="00A4251F" w14:paraId="505DA9EE" w14:textId="77777777" w:rsidTr="0028433D">
        <w:trPr>
          <w:trHeight w:val="300"/>
        </w:trPr>
        <w:tc>
          <w:tcPr>
            <w:tcW w:w="1366" w:type="dxa"/>
            <w:tcBorders>
              <w:top w:val="nil"/>
              <w:left w:val="nil"/>
              <w:bottom w:val="nil"/>
              <w:right w:val="nil"/>
            </w:tcBorders>
            <w:shd w:val="clear" w:color="000000" w:fill="FFFFFF"/>
            <w:noWrap/>
            <w:hideMark/>
          </w:tcPr>
          <w:p w14:paraId="0E502710" w14:textId="77777777" w:rsidR="00573BC9" w:rsidRPr="00A4251F" w:rsidRDefault="00573BC9" w:rsidP="0028433D">
            <w:pPr>
              <w:spacing w:line="240" w:lineRule="auto"/>
              <w:jc w:val="left"/>
              <w:rPr>
                <w:rFonts w:eastAsia="Times New Roman" w:cs="Times New Roman"/>
                <w:color w:val="000000"/>
                <w:szCs w:val="24"/>
              </w:rPr>
            </w:pPr>
            <w:r w:rsidRPr="00A4251F">
              <w:rPr>
                <w:rFonts w:eastAsia="Times New Roman" w:cs="Times New Roman"/>
                <w:color w:val="000000"/>
                <w:szCs w:val="24"/>
              </w:rPr>
              <w:t>Na</w:t>
            </w:r>
            <w:r w:rsidRPr="00A4251F">
              <w:rPr>
                <w:rFonts w:eastAsia="Times New Roman" w:cs="Times New Roman"/>
                <w:color w:val="000000"/>
                <w:szCs w:val="24"/>
                <w:vertAlign w:val="subscript"/>
              </w:rPr>
              <w:t>2</w:t>
            </w:r>
            <w:r w:rsidRPr="00A4251F">
              <w:rPr>
                <w:rFonts w:eastAsia="Times New Roman" w:cs="Times New Roman"/>
                <w:color w:val="000000"/>
                <w:szCs w:val="24"/>
              </w:rPr>
              <w:t>O</w:t>
            </w:r>
          </w:p>
        </w:tc>
        <w:tc>
          <w:tcPr>
            <w:tcW w:w="2745" w:type="dxa"/>
            <w:tcBorders>
              <w:top w:val="nil"/>
              <w:left w:val="nil"/>
              <w:bottom w:val="nil"/>
              <w:right w:val="nil"/>
            </w:tcBorders>
            <w:shd w:val="clear" w:color="000000" w:fill="FFFFFF"/>
            <w:noWrap/>
            <w:vAlign w:val="center"/>
            <w:hideMark/>
          </w:tcPr>
          <w:p w14:paraId="33F73BBF"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3.1</w:t>
            </w:r>
          </w:p>
        </w:tc>
        <w:tc>
          <w:tcPr>
            <w:tcW w:w="1701" w:type="dxa"/>
            <w:tcBorders>
              <w:top w:val="nil"/>
              <w:left w:val="nil"/>
              <w:bottom w:val="nil"/>
              <w:right w:val="nil"/>
            </w:tcBorders>
            <w:shd w:val="clear" w:color="000000" w:fill="FFFFFF"/>
            <w:noWrap/>
            <w:vAlign w:val="center"/>
            <w:hideMark/>
          </w:tcPr>
          <w:p w14:paraId="2EBBEB4D"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0</w:t>
            </w:r>
          </w:p>
        </w:tc>
        <w:tc>
          <w:tcPr>
            <w:tcW w:w="2693" w:type="dxa"/>
            <w:tcBorders>
              <w:top w:val="nil"/>
              <w:left w:val="nil"/>
              <w:bottom w:val="nil"/>
              <w:right w:val="nil"/>
            </w:tcBorders>
            <w:shd w:val="clear" w:color="000000" w:fill="FFFFFF"/>
            <w:noWrap/>
            <w:vAlign w:val="center"/>
            <w:hideMark/>
          </w:tcPr>
          <w:p w14:paraId="7A3EA570"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2.7</w:t>
            </w:r>
          </w:p>
        </w:tc>
      </w:tr>
      <w:tr w:rsidR="00573BC9" w:rsidRPr="00A4251F" w14:paraId="25C880C0" w14:textId="77777777" w:rsidTr="0028433D">
        <w:trPr>
          <w:trHeight w:val="300"/>
        </w:trPr>
        <w:tc>
          <w:tcPr>
            <w:tcW w:w="1366" w:type="dxa"/>
            <w:tcBorders>
              <w:top w:val="nil"/>
              <w:left w:val="nil"/>
              <w:bottom w:val="nil"/>
              <w:right w:val="nil"/>
            </w:tcBorders>
            <w:shd w:val="clear" w:color="000000" w:fill="FFFFFF"/>
            <w:noWrap/>
            <w:hideMark/>
          </w:tcPr>
          <w:p w14:paraId="344CED33" w14:textId="77777777" w:rsidR="00573BC9" w:rsidRPr="00A4251F" w:rsidRDefault="00573BC9" w:rsidP="0028433D">
            <w:pPr>
              <w:spacing w:line="240" w:lineRule="auto"/>
              <w:jc w:val="left"/>
              <w:rPr>
                <w:rFonts w:eastAsia="Times New Roman" w:cs="Times New Roman"/>
                <w:color w:val="000000"/>
                <w:szCs w:val="24"/>
              </w:rPr>
            </w:pPr>
            <w:r w:rsidRPr="00A4251F">
              <w:rPr>
                <w:rFonts w:eastAsia="Times New Roman" w:cs="Times New Roman"/>
                <w:color w:val="000000"/>
                <w:szCs w:val="24"/>
              </w:rPr>
              <w:t>K</w:t>
            </w:r>
            <w:r w:rsidRPr="00A4251F">
              <w:rPr>
                <w:rFonts w:eastAsia="Times New Roman" w:cs="Times New Roman"/>
                <w:color w:val="000000"/>
                <w:szCs w:val="24"/>
                <w:vertAlign w:val="subscript"/>
              </w:rPr>
              <w:t>2</w:t>
            </w:r>
            <w:r w:rsidRPr="00A4251F">
              <w:rPr>
                <w:rFonts w:eastAsia="Times New Roman" w:cs="Times New Roman"/>
                <w:color w:val="000000"/>
                <w:szCs w:val="24"/>
              </w:rPr>
              <w:t>O</w:t>
            </w:r>
          </w:p>
        </w:tc>
        <w:tc>
          <w:tcPr>
            <w:tcW w:w="2745" w:type="dxa"/>
            <w:tcBorders>
              <w:top w:val="nil"/>
              <w:left w:val="nil"/>
              <w:bottom w:val="nil"/>
              <w:right w:val="nil"/>
            </w:tcBorders>
            <w:shd w:val="clear" w:color="000000" w:fill="FFFFFF"/>
            <w:noWrap/>
            <w:vAlign w:val="center"/>
            <w:hideMark/>
          </w:tcPr>
          <w:p w14:paraId="063479EC"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1.6</w:t>
            </w:r>
          </w:p>
        </w:tc>
        <w:tc>
          <w:tcPr>
            <w:tcW w:w="1701" w:type="dxa"/>
            <w:tcBorders>
              <w:top w:val="nil"/>
              <w:left w:val="nil"/>
              <w:bottom w:val="nil"/>
              <w:right w:val="nil"/>
            </w:tcBorders>
            <w:shd w:val="clear" w:color="000000" w:fill="FFFFFF"/>
            <w:noWrap/>
            <w:vAlign w:val="center"/>
            <w:hideMark/>
          </w:tcPr>
          <w:p w14:paraId="263615A6"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0</w:t>
            </w:r>
          </w:p>
        </w:tc>
        <w:tc>
          <w:tcPr>
            <w:tcW w:w="2693" w:type="dxa"/>
            <w:tcBorders>
              <w:top w:val="nil"/>
              <w:left w:val="nil"/>
              <w:bottom w:val="nil"/>
              <w:right w:val="nil"/>
            </w:tcBorders>
            <w:shd w:val="clear" w:color="000000" w:fill="FFFFFF"/>
            <w:noWrap/>
            <w:vAlign w:val="center"/>
            <w:hideMark/>
          </w:tcPr>
          <w:p w14:paraId="03E93CA7"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1.3</w:t>
            </w:r>
          </w:p>
        </w:tc>
      </w:tr>
      <w:tr w:rsidR="00573BC9" w:rsidRPr="00A4251F" w14:paraId="4FE67FFF" w14:textId="77777777" w:rsidTr="0028433D">
        <w:trPr>
          <w:trHeight w:val="300"/>
        </w:trPr>
        <w:tc>
          <w:tcPr>
            <w:tcW w:w="1366" w:type="dxa"/>
            <w:tcBorders>
              <w:top w:val="nil"/>
              <w:left w:val="nil"/>
              <w:bottom w:val="single" w:sz="8" w:space="0" w:color="auto"/>
              <w:right w:val="nil"/>
            </w:tcBorders>
            <w:shd w:val="clear" w:color="000000" w:fill="FFFFFF"/>
            <w:noWrap/>
            <w:hideMark/>
          </w:tcPr>
          <w:p w14:paraId="1800146D" w14:textId="77777777" w:rsidR="00573BC9" w:rsidRPr="00A4251F" w:rsidRDefault="00573BC9" w:rsidP="0028433D">
            <w:pPr>
              <w:spacing w:line="240" w:lineRule="auto"/>
              <w:jc w:val="left"/>
              <w:rPr>
                <w:rFonts w:eastAsia="Times New Roman" w:cs="Times New Roman"/>
                <w:color w:val="000000"/>
                <w:szCs w:val="24"/>
              </w:rPr>
            </w:pPr>
            <w:r w:rsidRPr="00A4251F">
              <w:rPr>
                <w:rFonts w:eastAsia="Times New Roman" w:cs="Times New Roman"/>
                <w:color w:val="000000"/>
                <w:szCs w:val="24"/>
              </w:rPr>
              <w:t>P</w:t>
            </w:r>
            <w:r w:rsidRPr="00A4251F">
              <w:rPr>
                <w:rFonts w:eastAsia="Times New Roman" w:cs="Times New Roman"/>
                <w:color w:val="000000"/>
                <w:szCs w:val="24"/>
                <w:vertAlign w:val="subscript"/>
              </w:rPr>
              <w:t>2</w:t>
            </w:r>
            <w:r w:rsidRPr="00A4251F">
              <w:rPr>
                <w:rFonts w:eastAsia="Times New Roman" w:cs="Times New Roman"/>
                <w:color w:val="000000"/>
                <w:szCs w:val="24"/>
              </w:rPr>
              <w:t>O</w:t>
            </w:r>
            <w:r w:rsidRPr="00A4251F">
              <w:rPr>
                <w:rFonts w:eastAsia="Times New Roman" w:cs="Times New Roman"/>
                <w:color w:val="000000"/>
                <w:szCs w:val="24"/>
                <w:vertAlign w:val="subscript"/>
              </w:rPr>
              <w:t>5</w:t>
            </w:r>
          </w:p>
        </w:tc>
        <w:tc>
          <w:tcPr>
            <w:tcW w:w="2745" w:type="dxa"/>
            <w:tcBorders>
              <w:top w:val="nil"/>
              <w:left w:val="nil"/>
              <w:bottom w:val="single" w:sz="8" w:space="0" w:color="auto"/>
              <w:right w:val="nil"/>
            </w:tcBorders>
            <w:shd w:val="clear" w:color="000000" w:fill="FFFFFF"/>
            <w:noWrap/>
            <w:vAlign w:val="center"/>
            <w:hideMark/>
          </w:tcPr>
          <w:p w14:paraId="561C68CC"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3.8</w:t>
            </w:r>
          </w:p>
        </w:tc>
        <w:tc>
          <w:tcPr>
            <w:tcW w:w="1701" w:type="dxa"/>
            <w:tcBorders>
              <w:top w:val="nil"/>
              <w:left w:val="nil"/>
              <w:bottom w:val="single" w:sz="8" w:space="0" w:color="auto"/>
              <w:right w:val="nil"/>
            </w:tcBorders>
            <w:shd w:val="clear" w:color="000000" w:fill="FFFFFF"/>
            <w:noWrap/>
            <w:vAlign w:val="center"/>
            <w:hideMark/>
          </w:tcPr>
          <w:p w14:paraId="1AED33BA"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1.4</w:t>
            </w:r>
          </w:p>
        </w:tc>
        <w:tc>
          <w:tcPr>
            <w:tcW w:w="2693" w:type="dxa"/>
            <w:tcBorders>
              <w:top w:val="nil"/>
              <w:left w:val="nil"/>
              <w:bottom w:val="single" w:sz="8" w:space="0" w:color="auto"/>
              <w:right w:val="nil"/>
            </w:tcBorders>
            <w:shd w:val="clear" w:color="000000" w:fill="FFFFFF"/>
            <w:noWrap/>
            <w:vAlign w:val="center"/>
            <w:hideMark/>
          </w:tcPr>
          <w:p w14:paraId="18E62357" w14:textId="77777777" w:rsidR="00573BC9" w:rsidRPr="00A4251F" w:rsidRDefault="00573BC9" w:rsidP="0028433D">
            <w:pPr>
              <w:spacing w:line="240" w:lineRule="auto"/>
              <w:jc w:val="center"/>
              <w:rPr>
                <w:rFonts w:eastAsia="Times New Roman" w:cs="Times New Roman"/>
                <w:color w:val="000000"/>
                <w:szCs w:val="24"/>
              </w:rPr>
            </w:pPr>
            <w:r w:rsidRPr="00A4251F">
              <w:rPr>
                <w:rFonts w:eastAsia="Times New Roman" w:cs="Times New Roman"/>
                <w:color w:val="000000"/>
                <w:szCs w:val="24"/>
              </w:rPr>
              <w:t>1.6</w:t>
            </w:r>
          </w:p>
        </w:tc>
      </w:tr>
      <w:tr w:rsidR="00573BC9" w:rsidRPr="00A4251F" w14:paraId="37DFF6FA" w14:textId="77777777" w:rsidTr="0028433D">
        <w:trPr>
          <w:trHeight w:val="300"/>
        </w:trPr>
        <w:tc>
          <w:tcPr>
            <w:tcW w:w="8505" w:type="dxa"/>
            <w:gridSpan w:val="4"/>
            <w:tcBorders>
              <w:top w:val="nil"/>
              <w:left w:val="nil"/>
              <w:bottom w:val="nil"/>
              <w:right w:val="nil"/>
            </w:tcBorders>
            <w:shd w:val="clear" w:color="000000" w:fill="FFFFFF"/>
            <w:noWrap/>
            <w:vAlign w:val="bottom"/>
            <w:hideMark/>
          </w:tcPr>
          <w:p w14:paraId="58C926BD" w14:textId="77777777" w:rsidR="00573BC9" w:rsidRPr="00A4251F" w:rsidRDefault="00573BC9" w:rsidP="0028433D">
            <w:pPr>
              <w:spacing w:line="240" w:lineRule="auto"/>
              <w:jc w:val="left"/>
              <w:rPr>
                <w:rFonts w:eastAsia="Times New Roman" w:cs="Times New Roman"/>
                <w:color w:val="000000"/>
                <w:szCs w:val="24"/>
              </w:rPr>
            </w:pPr>
            <w:r w:rsidRPr="00A4251F">
              <w:rPr>
                <w:rFonts w:eastAsia="Times New Roman" w:cs="Times New Roman"/>
                <w:color w:val="000000"/>
                <w:szCs w:val="24"/>
                <w:vertAlign w:val="superscript"/>
              </w:rPr>
              <w:t>a</w:t>
            </w:r>
            <w:r w:rsidRPr="00A4251F">
              <w:rPr>
                <w:rFonts w:eastAsia="Times New Roman" w:cs="Times New Roman"/>
                <w:color w:val="000000"/>
                <w:szCs w:val="24"/>
              </w:rPr>
              <w:t>EDS result of the post in-situ area affected by the electron beam</w:t>
            </w:r>
            <w:r w:rsidRPr="004914F6">
              <w:rPr>
                <w:rFonts w:eastAsia="Times New Roman" w:cs="Times New Roman"/>
                <w:color w:val="000000"/>
                <w:szCs w:val="24"/>
              </w:rPr>
              <w:t>.</w:t>
            </w:r>
          </w:p>
        </w:tc>
      </w:tr>
      <w:tr w:rsidR="00573BC9" w:rsidRPr="00A4251F" w14:paraId="37334A83" w14:textId="77777777" w:rsidTr="0028433D">
        <w:trPr>
          <w:trHeight w:val="300"/>
        </w:trPr>
        <w:tc>
          <w:tcPr>
            <w:tcW w:w="8505" w:type="dxa"/>
            <w:gridSpan w:val="4"/>
            <w:tcBorders>
              <w:top w:val="nil"/>
              <w:left w:val="nil"/>
              <w:bottom w:val="nil"/>
              <w:right w:val="nil"/>
            </w:tcBorders>
            <w:shd w:val="clear" w:color="000000" w:fill="FFFFFF"/>
            <w:noWrap/>
            <w:vAlign w:val="bottom"/>
            <w:hideMark/>
          </w:tcPr>
          <w:p w14:paraId="2612B841" w14:textId="77777777" w:rsidR="00573BC9" w:rsidRPr="00A4251F" w:rsidRDefault="00573BC9" w:rsidP="0028433D">
            <w:pPr>
              <w:spacing w:line="240" w:lineRule="auto"/>
              <w:jc w:val="left"/>
              <w:rPr>
                <w:rFonts w:eastAsia="Times New Roman" w:cs="Times New Roman"/>
                <w:color w:val="000000"/>
                <w:szCs w:val="24"/>
              </w:rPr>
            </w:pPr>
            <w:r w:rsidRPr="00A4251F">
              <w:rPr>
                <w:rFonts w:eastAsia="Times New Roman" w:cs="Times New Roman"/>
                <w:color w:val="000000"/>
                <w:szCs w:val="24"/>
                <w:vertAlign w:val="superscript"/>
              </w:rPr>
              <w:t>b</w:t>
            </w:r>
            <w:r w:rsidRPr="00A4251F">
              <w:rPr>
                <w:rFonts w:eastAsia="Times New Roman" w:cs="Times New Roman"/>
                <w:color w:val="000000"/>
                <w:szCs w:val="24"/>
              </w:rPr>
              <w:t xml:space="preserve">EDS </w:t>
            </w:r>
            <w:r w:rsidRPr="004914F6">
              <w:rPr>
                <w:rFonts w:eastAsia="Times New Roman" w:cs="Times New Roman"/>
                <w:color w:val="000000"/>
                <w:szCs w:val="24"/>
              </w:rPr>
              <w:t>result</w:t>
            </w:r>
            <w:r w:rsidRPr="00A4251F">
              <w:rPr>
                <w:rFonts w:eastAsia="Times New Roman" w:cs="Times New Roman"/>
                <w:color w:val="000000"/>
                <w:szCs w:val="24"/>
              </w:rPr>
              <w:t xml:space="preserve"> of an adjacent region that was not directly affected by the electron beam</w:t>
            </w:r>
            <w:r w:rsidRPr="004914F6">
              <w:rPr>
                <w:rFonts w:eastAsia="Times New Roman" w:cs="Times New Roman"/>
                <w:color w:val="000000"/>
                <w:szCs w:val="24"/>
              </w:rPr>
              <w:t>.</w:t>
            </w:r>
          </w:p>
        </w:tc>
      </w:tr>
    </w:tbl>
    <w:p w14:paraId="45BE6692" w14:textId="77777777" w:rsidR="00573BC9" w:rsidRPr="00A4251F" w:rsidRDefault="00573BC9" w:rsidP="00573BC9">
      <w:pPr>
        <w:spacing w:line="480" w:lineRule="auto"/>
        <w:rPr>
          <w:rFonts w:cs="Times New Roman"/>
          <w:sz w:val="20"/>
          <w:szCs w:val="20"/>
          <w:lang w:val="en-GB"/>
        </w:rPr>
      </w:pPr>
    </w:p>
    <w:p w14:paraId="3471C6DB" w14:textId="77777777" w:rsidR="00573BC9" w:rsidRDefault="00573BC9" w:rsidP="00573BC9">
      <w:pPr>
        <w:spacing w:line="480" w:lineRule="auto"/>
        <w:rPr>
          <w:rFonts w:cs="Times New Roman"/>
          <w:lang w:val="en-GB"/>
        </w:rPr>
      </w:pPr>
    </w:p>
    <w:p w14:paraId="0BE694E8" w14:textId="77777777" w:rsidR="00573BC9" w:rsidRDefault="00573BC9" w:rsidP="00573BC9">
      <w:pPr>
        <w:pStyle w:val="NormalWeb"/>
      </w:pPr>
      <w:r>
        <w:rPr>
          <w:noProof/>
          <w:lang w:val="de-DE" w:eastAsia="de-DE"/>
        </w:rPr>
        <w:lastRenderedPageBreak/>
        <w:drawing>
          <wp:inline distT="0" distB="0" distL="0" distR="0" wp14:anchorId="6BDB320C" wp14:editId="531BD9F0">
            <wp:extent cx="5943600" cy="4015740"/>
            <wp:effectExtent l="0" t="0" r="0" b="3810"/>
            <wp:docPr id="1476966325" name="Picture 3" descr="A collage of different colors of different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966325" name="Picture 3" descr="A collage of different colors of different shapes&#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4015740"/>
                    </a:xfrm>
                    <a:prstGeom prst="rect">
                      <a:avLst/>
                    </a:prstGeom>
                    <a:noFill/>
                    <a:ln>
                      <a:noFill/>
                    </a:ln>
                  </pic:spPr>
                </pic:pic>
              </a:graphicData>
            </a:graphic>
          </wp:inline>
        </w:drawing>
      </w:r>
    </w:p>
    <w:p w14:paraId="27EB377D" w14:textId="65B4015E" w:rsidR="00573BC9" w:rsidRDefault="00573BC9" w:rsidP="00573BC9">
      <w:pPr>
        <w:spacing w:line="240" w:lineRule="auto"/>
        <w:rPr>
          <w:rFonts w:cs="Times New Roman"/>
          <w:lang w:val="en-GB"/>
        </w:rPr>
      </w:pPr>
      <w:r w:rsidRPr="00E50ABE">
        <w:rPr>
          <w:rFonts w:eastAsiaTheme="minorEastAsia"/>
          <w:b/>
          <w:bCs/>
          <w:lang w:val="en-GB"/>
        </w:rPr>
        <w:t>Figure S</w:t>
      </w:r>
      <w:r w:rsidR="00F241D0" w:rsidRPr="00E50ABE">
        <w:rPr>
          <w:rFonts w:eastAsiaTheme="minorEastAsia"/>
          <w:b/>
          <w:bCs/>
          <w:lang w:val="en-GB"/>
        </w:rPr>
        <w:t>5</w:t>
      </w:r>
      <w:r>
        <w:rPr>
          <w:rFonts w:eastAsiaTheme="minorEastAsia"/>
          <w:lang w:val="en-GB"/>
        </w:rPr>
        <w:t xml:space="preserve">. </w:t>
      </w:r>
      <w:r w:rsidRPr="00443DA2">
        <w:rPr>
          <w:rFonts w:eastAsiaTheme="minorEastAsia"/>
          <w:lang w:val="en-GB"/>
        </w:rPr>
        <w:t>HAADF and EDS elemental map of sample AND100</w:t>
      </w:r>
      <w:r>
        <w:rPr>
          <w:rFonts w:eastAsiaTheme="minorEastAsia"/>
          <w:lang w:val="en-GB"/>
        </w:rPr>
        <w:t xml:space="preserve"> after in-situ high-temperature experiments. Maps show the distribution of </w:t>
      </w:r>
      <w:r w:rsidRPr="00443DA2">
        <w:rPr>
          <w:rFonts w:eastAsiaTheme="minorEastAsia"/>
          <w:lang w:val="en-GB"/>
        </w:rPr>
        <w:t>Fe, Si, Al, and Fe+</w:t>
      </w:r>
      <w:r>
        <w:rPr>
          <w:rFonts w:eastAsiaTheme="minorEastAsia"/>
          <w:lang w:val="en-GB"/>
        </w:rPr>
        <w:t>Si</w:t>
      </w:r>
      <w:r w:rsidRPr="00443DA2">
        <w:rPr>
          <w:rFonts w:eastAsiaTheme="minorEastAsia"/>
          <w:lang w:val="en-GB"/>
        </w:rPr>
        <w:t xml:space="preserve">+Al. </w:t>
      </w:r>
    </w:p>
    <w:p w14:paraId="05BC7A86" w14:textId="77777777" w:rsidR="00573BC9" w:rsidRDefault="00573BC9" w:rsidP="00573BC9">
      <w:pPr>
        <w:spacing w:line="480" w:lineRule="auto"/>
        <w:rPr>
          <w:rFonts w:cs="Times New Roman"/>
          <w:lang w:val="en-GB"/>
        </w:rPr>
      </w:pPr>
    </w:p>
    <w:p w14:paraId="2AB51E6E" w14:textId="77777777" w:rsidR="00573BC9" w:rsidRDefault="00573BC9" w:rsidP="00573BC9">
      <w:pPr>
        <w:pStyle w:val="Heading1"/>
        <w:rPr>
          <w:sz w:val="22"/>
          <w:szCs w:val="22"/>
          <w:lang w:val="en-GB"/>
        </w:rPr>
      </w:pPr>
      <w:r>
        <w:rPr>
          <w:noProof/>
          <w:lang w:val="de-DE" w:eastAsia="de-DE"/>
        </w:rPr>
        <w:lastRenderedPageBreak/>
        <w:drawing>
          <wp:inline distT="0" distB="0" distL="0" distR="0" wp14:anchorId="6E84C100" wp14:editId="5070F80A">
            <wp:extent cx="5943600" cy="4546600"/>
            <wp:effectExtent l="0" t="0" r="0" b="6350"/>
            <wp:docPr id="1664813294" name="Picture 1" descr="A graph with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813294" name="Picture 1" descr="A graph with a red line&#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4546600"/>
                    </a:xfrm>
                    <a:prstGeom prst="rect">
                      <a:avLst/>
                    </a:prstGeom>
                    <a:noFill/>
                    <a:ln>
                      <a:noFill/>
                    </a:ln>
                  </pic:spPr>
                </pic:pic>
              </a:graphicData>
            </a:graphic>
          </wp:inline>
        </w:drawing>
      </w:r>
      <w:r w:rsidRPr="00C97BA2">
        <w:rPr>
          <w:sz w:val="22"/>
          <w:szCs w:val="22"/>
          <w:lang w:val="en-GB"/>
        </w:rPr>
        <w:t xml:space="preserve"> </w:t>
      </w:r>
    </w:p>
    <w:p w14:paraId="015D1AD6" w14:textId="579ADE2E" w:rsidR="00573BC9" w:rsidRPr="009D543F" w:rsidRDefault="00573BC9" w:rsidP="00573BC9">
      <w:pPr>
        <w:spacing w:line="240" w:lineRule="auto"/>
        <w:rPr>
          <w:rFonts w:eastAsiaTheme="minorEastAsia"/>
          <w:vertAlign w:val="subscript"/>
          <w:lang w:val="en-GB"/>
        </w:rPr>
      </w:pPr>
      <w:r w:rsidRPr="00E50ABE">
        <w:rPr>
          <w:rFonts w:eastAsiaTheme="minorEastAsia"/>
          <w:b/>
          <w:bCs/>
          <w:lang w:val="en-GB"/>
        </w:rPr>
        <w:t>Figure S</w:t>
      </w:r>
      <w:r w:rsidR="00F241D0" w:rsidRPr="00E50ABE">
        <w:rPr>
          <w:rFonts w:eastAsiaTheme="minorEastAsia"/>
          <w:b/>
          <w:bCs/>
          <w:lang w:val="en-GB"/>
        </w:rPr>
        <w:t>6</w:t>
      </w:r>
      <w:r w:rsidRPr="009D543F">
        <w:rPr>
          <w:rFonts w:eastAsiaTheme="minorEastAsia"/>
          <w:lang w:val="en-GB"/>
        </w:rPr>
        <w:t>. T</w:t>
      </w:r>
      <w:r>
        <w:rPr>
          <w:rFonts w:eastAsiaTheme="minorEastAsia"/>
          <w:lang w:val="en-GB"/>
        </w:rPr>
        <w:t xml:space="preserve">emperature profile for High-temperature TEM experiment </w:t>
      </w:r>
    </w:p>
    <w:p w14:paraId="5CC4D08E" w14:textId="77777777" w:rsidR="00573BC9" w:rsidRPr="00C53ACC" w:rsidRDefault="00573BC9" w:rsidP="00C97BA2">
      <w:pPr>
        <w:spacing w:line="480" w:lineRule="auto"/>
        <w:rPr>
          <w:rFonts w:eastAsiaTheme="minorEastAsia" w:cs="Times New Roman"/>
          <w:lang w:val="en-GB"/>
        </w:rPr>
      </w:pPr>
    </w:p>
    <w:p w14:paraId="067F882E" w14:textId="66E429F4" w:rsidR="00E24199" w:rsidRPr="00C53ACC" w:rsidRDefault="00E24199" w:rsidP="00E24199">
      <w:pPr>
        <w:pStyle w:val="Heading2"/>
        <w:spacing w:line="480" w:lineRule="auto"/>
        <w:rPr>
          <w:rFonts w:eastAsiaTheme="minorEastAsia" w:cs="Times New Roman"/>
          <w:lang w:val="en-GB"/>
        </w:rPr>
      </w:pPr>
      <w:r w:rsidRPr="00C53ACC">
        <w:rPr>
          <w:rFonts w:eastAsiaTheme="minorEastAsia" w:cs="Times New Roman"/>
          <w:lang w:val="en-GB"/>
        </w:rPr>
        <w:t>S</w:t>
      </w:r>
      <w:r w:rsidR="003B6BFF">
        <w:rPr>
          <w:rFonts w:eastAsiaTheme="minorEastAsia" w:cs="Times New Roman"/>
          <w:lang w:val="en-GB"/>
        </w:rPr>
        <w:t>5</w:t>
      </w:r>
      <w:r w:rsidRPr="00C53ACC">
        <w:rPr>
          <w:rFonts w:eastAsiaTheme="minorEastAsia" w:cs="Times New Roman"/>
          <w:lang w:val="en-GB"/>
        </w:rPr>
        <w:t xml:space="preserve"> Concentric cylinder (CC) measurements  </w:t>
      </w:r>
    </w:p>
    <w:p w14:paraId="6597FDC9" w14:textId="5267F741" w:rsidR="00E24199" w:rsidRDefault="00E24199" w:rsidP="00E24199">
      <w:pPr>
        <w:spacing w:line="480" w:lineRule="auto"/>
        <w:rPr>
          <w:rFonts w:cs="Times New Roman"/>
          <w:lang w:val="en-GB"/>
        </w:rPr>
      </w:pPr>
      <w:r w:rsidRPr="00C53ACC">
        <w:rPr>
          <w:rFonts w:cs="Times New Roman"/>
          <w:lang w:val="en-GB"/>
        </w:rPr>
        <w:tab/>
        <w:t xml:space="preserve">The viscosity of AND100ox and AND0 melts were determined using a </w:t>
      </w:r>
      <w:r w:rsidRPr="00C53ACC">
        <w:rPr>
          <w:rFonts w:eastAsiaTheme="minorEastAsia" w:cs="Times New Roman"/>
          <w:lang w:val="en-GB"/>
        </w:rPr>
        <w:t>concentric cylinder setup</w:t>
      </w:r>
      <w:r w:rsidRPr="00C53ACC">
        <w:rPr>
          <w:rFonts w:cs="Times New Roman"/>
          <w:lang w:val="en-GB"/>
        </w:rPr>
        <w:t xml:space="preserve">. High-temperature melt viscosity results are reported as a function of temperature in Table </w:t>
      </w:r>
      <w:r>
        <w:rPr>
          <w:rFonts w:cs="Times New Roman"/>
          <w:lang w:val="en-GB"/>
        </w:rPr>
        <w:t>S</w:t>
      </w:r>
      <w:r w:rsidRPr="00C53ACC">
        <w:rPr>
          <w:rFonts w:cs="Times New Roman"/>
          <w:lang w:val="en-GB"/>
        </w:rPr>
        <w:t xml:space="preserve">2 and shown in Fig. </w:t>
      </w:r>
      <w:r>
        <w:rPr>
          <w:rFonts w:cs="Times New Roman"/>
          <w:lang w:val="en-GB"/>
        </w:rPr>
        <w:t>S</w:t>
      </w:r>
      <w:r w:rsidR="00F52E62">
        <w:rPr>
          <w:rFonts w:cs="Times New Roman"/>
          <w:lang w:val="en-GB"/>
        </w:rPr>
        <w:t>7</w:t>
      </w:r>
      <w:r w:rsidRPr="00C53ACC">
        <w:rPr>
          <w:rFonts w:cs="Times New Roman"/>
          <w:lang w:val="en-GB"/>
        </w:rPr>
        <w:t>. AND100 melt viscosity increases from 10</w:t>
      </w:r>
      <w:r w:rsidRPr="00C53ACC">
        <w:rPr>
          <w:rFonts w:cs="Times New Roman"/>
          <w:vertAlign w:val="superscript"/>
          <w:lang w:val="en-GB"/>
        </w:rPr>
        <w:t xml:space="preserve">2.0 </w:t>
      </w:r>
      <w:r w:rsidRPr="00C53ACC">
        <w:rPr>
          <w:rFonts w:cs="Times New Roman"/>
          <w:lang w:val="en-GB"/>
        </w:rPr>
        <w:t>to 10</w:t>
      </w:r>
      <w:r w:rsidRPr="00C53ACC">
        <w:rPr>
          <w:rFonts w:cs="Times New Roman"/>
          <w:vertAlign w:val="superscript"/>
          <w:lang w:val="en-GB"/>
        </w:rPr>
        <w:t xml:space="preserve">3.8 </w:t>
      </w:r>
      <w:r w:rsidRPr="00C53ACC">
        <w:rPr>
          <w:rFonts w:cs="Times New Roman"/>
          <w:lang w:val="en-GB"/>
        </w:rPr>
        <w:t>Pa s when decreasing the temperature from 1435 to 1150 ℃. The AND0 viscosity grew from 10</w:t>
      </w:r>
      <w:r w:rsidRPr="00C53ACC">
        <w:rPr>
          <w:rFonts w:cs="Times New Roman"/>
          <w:vertAlign w:val="superscript"/>
          <w:lang w:val="en-GB"/>
        </w:rPr>
        <w:t xml:space="preserve">2.8 </w:t>
      </w:r>
      <w:r w:rsidRPr="00C53ACC">
        <w:rPr>
          <w:rFonts w:cs="Times New Roman"/>
          <w:lang w:val="en-GB"/>
        </w:rPr>
        <w:t>to 10</w:t>
      </w:r>
      <w:r w:rsidRPr="00C53ACC">
        <w:rPr>
          <w:rFonts w:cs="Times New Roman"/>
          <w:vertAlign w:val="superscript"/>
          <w:lang w:val="en-GB"/>
        </w:rPr>
        <w:t xml:space="preserve">4.9 </w:t>
      </w:r>
      <w:r w:rsidRPr="00C53ACC">
        <w:rPr>
          <w:rFonts w:cs="Times New Roman"/>
          <w:lang w:val="en-GB"/>
        </w:rPr>
        <w:t>Pa s when decreasing the temperature from 1404 to 1130 ℃. At constant temperature, the viscosity of AND100 is at least ~10</w:t>
      </w:r>
      <w:r w:rsidRPr="00C53ACC">
        <w:rPr>
          <w:rFonts w:cs="Times New Roman"/>
          <w:vertAlign w:val="superscript"/>
          <w:lang w:val="en-GB"/>
        </w:rPr>
        <w:t>0.8</w:t>
      </w:r>
      <w:r w:rsidRPr="00C53ACC">
        <w:rPr>
          <w:rFonts w:cs="Times New Roman"/>
          <w:lang w:val="en-GB"/>
        </w:rPr>
        <w:t xml:space="preserve"> Pa s lower than AND0 in this temperature range, showing </w:t>
      </w:r>
      <w:r>
        <w:rPr>
          <w:rFonts w:cs="Times New Roman"/>
          <w:lang w:val="en-GB"/>
        </w:rPr>
        <w:t xml:space="preserve">a </w:t>
      </w:r>
      <w:r w:rsidRPr="00C53ACC">
        <w:rPr>
          <w:rFonts w:cs="Times New Roman"/>
          <w:lang w:val="en-GB"/>
        </w:rPr>
        <w:t>direct relationship with SiO</w:t>
      </w:r>
      <w:r w:rsidRPr="00C53ACC">
        <w:rPr>
          <w:rFonts w:cs="Times New Roman"/>
          <w:vertAlign w:val="subscript"/>
          <w:lang w:val="en-GB"/>
        </w:rPr>
        <w:t>2</w:t>
      </w:r>
      <w:r w:rsidRPr="00C53ACC">
        <w:rPr>
          <w:rFonts w:cs="Times New Roman"/>
          <w:lang w:val="en-GB"/>
        </w:rPr>
        <w:t xml:space="preserve"> content and thereby NBO/T (Table </w:t>
      </w:r>
      <w:r>
        <w:rPr>
          <w:rFonts w:cs="Times New Roman"/>
          <w:lang w:val="en-GB"/>
        </w:rPr>
        <w:t>S</w:t>
      </w:r>
      <w:r w:rsidRPr="00C53ACC">
        <w:rPr>
          <w:rFonts w:cs="Times New Roman"/>
          <w:lang w:val="en-GB"/>
        </w:rPr>
        <w:t xml:space="preserve">1). </w:t>
      </w:r>
    </w:p>
    <w:p w14:paraId="12F00740" w14:textId="77777777" w:rsidR="00E24199" w:rsidRDefault="00E24199" w:rsidP="00E24199">
      <w:pPr>
        <w:spacing w:line="480" w:lineRule="auto"/>
        <w:rPr>
          <w:rFonts w:cs="Times New Roman"/>
          <w:lang w:val="en-GB"/>
        </w:rPr>
      </w:pPr>
    </w:p>
    <w:p w14:paraId="50A37455" w14:textId="2CE7DFF5" w:rsidR="008E6A96" w:rsidRDefault="008E6A96" w:rsidP="008E6A96">
      <w:pPr>
        <w:pStyle w:val="NormalWeb"/>
      </w:pPr>
      <w:r>
        <w:rPr>
          <w:noProof/>
          <w:lang w:val="de-DE" w:eastAsia="de-DE"/>
        </w:rPr>
        <w:lastRenderedPageBreak/>
        <w:drawing>
          <wp:inline distT="0" distB="0" distL="0" distR="0" wp14:anchorId="59E8BCE5" wp14:editId="03007AB3">
            <wp:extent cx="5410200" cy="5410200"/>
            <wp:effectExtent l="0" t="0" r="0" b="0"/>
            <wp:docPr id="1083546301" name="Picture 1" descr="A graph of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546301" name="Picture 1" descr="A graph of different colored dots&#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10200" cy="5410200"/>
                    </a:xfrm>
                    <a:prstGeom prst="rect">
                      <a:avLst/>
                    </a:prstGeom>
                    <a:noFill/>
                    <a:ln>
                      <a:noFill/>
                    </a:ln>
                  </pic:spPr>
                </pic:pic>
              </a:graphicData>
            </a:graphic>
          </wp:inline>
        </w:drawing>
      </w:r>
    </w:p>
    <w:p w14:paraId="1050B60D" w14:textId="36668F80" w:rsidR="00E24199" w:rsidRPr="009D543F" w:rsidRDefault="00E24199" w:rsidP="00E24199">
      <w:pPr>
        <w:spacing w:line="240" w:lineRule="auto"/>
        <w:rPr>
          <w:rFonts w:eastAsiaTheme="minorEastAsia"/>
          <w:lang w:val="en-GB"/>
        </w:rPr>
      </w:pPr>
      <w:r w:rsidRPr="00E50ABE">
        <w:rPr>
          <w:rFonts w:eastAsiaTheme="minorEastAsia"/>
          <w:b/>
          <w:bCs/>
          <w:lang w:val="en-GB"/>
        </w:rPr>
        <w:t>Figure S</w:t>
      </w:r>
      <w:r w:rsidR="00F241D0" w:rsidRPr="00E50ABE">
        <w:rPr>
          <w:rFonts w:eastAsiaTheme="minorEastAsia"/>
          <w:b/>
          <w:bCs/>
          <w:lang w:val="en-GB"/>
        </w:rPr>
        <w:t>7</w:t>
      </w:r>
      <w:r w:rsidRPr="009D543F">
        <w:rPr>
          <w:rFonts w:eastAsiaTheme="minorEastAsia"/>
          <w:lang w:val="en-GB"/>
        </w:rPr>
        <w:t xml:space="preserve">. Concentric cylinder results and literature viscosity data </w:t>
      </w:r>
      <w:r w:rsidRPr="009D543F">
        <w:rPr>
          <w:rFonts w:eastAsiaTheme="minorEastAsia"/>
          <w:lang w:val="en-GB"/>
        </w:rPr>
        <w:fldChar w:fldCharType="begin" w:fldLock="1"/>
      </w:r>
      <w:r w:rsidR="0002472C">
        <w:rPr>
          <w:rFonts w:eastAsiaTheme="minorEastAsia"/>
          <w:lang w:val="en-GB"/>
        </w:rPr>
        <w:instrText xml:space="preserve">ADDIN CSL_CITATION {"citationItems":[{"id":"ITEM-1","itemData":{"DOI":"10.1007/BF00698324","ISSN":"00107999","abstract":"The heat capacities of a rhyolite and an andesite glass and liquid have been investigated from relative-enthalpy measurements made between 400 and 1800 K. For the glass phases, the experimental data agree with empirical models of calculation of the heat capacity. For the liquid phases, the agreement is less good owing to strong interactions between alkali metals and aluminum, which are not currently accounted for by empirical heat capacity models. The viscosity of both liquids has been measured from the glass transition to 1800 K. The temperature dependence of the viscosity is quantitatively related to the configurational heat capacity (determined calorimetrically) through the configurational entropy theory of relaxation processes. For both rhyolite and andesite melts, the heat capacity and viscosity do not differ markedly from those obtained by additive modeling from components with mineral compositions. © 1993 Springer-Verlag.","author":[{"dropping-particle":"","family":"Neuville","given":"D. R.","non-dropping-particle":"","parse-names":false,"suffix":""},{"dropping-particle":"","family":"Courtial","given":"Philippe","non-dropping-particle":"","parse-names":false,"suffix":""},{"dropping-particle":"","family":"Dingwell","given":"D. B.","non-dropping-particle":"","parse-names":false,"suffix":""},{"dropping-particle":"","family":"Richet","given":"P.","non-dropping-particle":"","parse-names":false,"suffix":""}],"container-title":"Contributions to Mineralogy and Petrology","id":"ITEM-1","issue":"4","issued":{"date-parts":[["1993"]]},"page":"572-581","title":"Thermodynamic and rheological properties of rhyolite and andesite melts","type":"article-journal","volume":"113"},"uris":["http://www.mendeley.com/documents/?uuid=ceb0f91d-ec14-4a5e-8778-84c66734f944"]},{"id":"ITEM-2","itemData":{"DOI":"10.1016/0009-2541(95)00172-7","ISSN":"00092541","abstract":"The viscosity of a synthetic andesite-like melt has been measured between 1010 and 1014 P for water contents in the range 0-3.5 wt%. The very slow kinetics of water exsolution over this viscosity range allowed the measurements to be made at 1 bar with a high precision. After a steep viscosity decrease of &gt; 5 orders of magnitude for 1 wt% H2O, an additional 2.5 wt% H2O causes a further viscosity decrease of only 2 orders of magnitude. These viscosity decreases are qualitatively similar to those observed previously for more silica-rich compositions. The new data join smoothly with available high-temperature measurements made at high pressures on water-bearing andesite melts. Because the intrinsic effects of pressure are as small for water-bearing as for water-free samples, the depressing effect of water on the viscosity of natural andesite melts can be estimated. Changes in water speciation as a function of either temperature or pressure do not seem to have marked effects on the viscosity. Although quantitative applications are not yet possible, the configurational entropy theory accounts qualitatively for these features.","author":[{"dropping-particle":"","family":"Richet","given":"P.","non-dropping-particle":"","parse-names":false,"suffix":""},{"dropping-particle":"","family":"Lejeune","given":"Anne Marie Marie","non-dropping-particle":"","parse-names":false,"suffix":""},{"dropping-particle":"","family":"Holtz","given":"François","non-dropping-particle":"","parse-names":false,"suffix":""},{"dropping-particle":"","family":"Roux","given":"Jacques","non-dropping-particle":"","parse-names":false,"suffix":""}],"container-title":"Chemical Geology","id":"ITEM-2","issue":"1-4","issued":{"date-parts":[["1996"]]},"page":"185-197","title":"Water and the viscosity of andesite melts","type":"article-journal","volume":"128"},"uris":["http://www.mendeley.com/documents/?uuid=de9bbea4-ffc5-4180-9a78-571201eca83a"]},{"id":"ITEM-3","itemData":{"DOI":"10.1016/j.chemgeo.2006.01.007","ISSN":"00092541","abstract":"We present new viscosity measurements for melts spanning a wide range of anhydrous compositions including: rhyolite, trachyte, moldavite, andesite, latite, pantellerite, basalt and basanite. Micropenetration and concentric cylinder viscometry measurements cover a viscosity range of 10- 1 to 1012 Pas and a temperature range from 700 to 1650 °C. These new measurements, combined with other published data, provide a high-quality database comprising </w:instrText>
      </w:r>
      <w:r w:rsidR="0002472C">
        <w:rPr>
          <w:rFonts w:ascii="Cambria Math" w:eastAsiaTheme="minorEastAsia" w:hAnsi="Cambria Math" w:cs="Cambria Math"/>
          <w:lang w:val="en-GB"/>
        </w:rPr>
        <w:instrText>∼</w:instrText>
      </w:r>
      <w:r w:rsidR="0002472C">
        <w:rPr>
          <w:rFonts w:eastAsiaTheme="minorEastAsia"/>
          <w:lang w:val="en-GB"/>
        </w:rPr>
        <w:instrText xml:space="preserve"> 800 experimental data on 44 well-characterized melt compositions. This database is used to recalibrate the model proposed by Giordano and Dingwell [Giordano, D., Dingwell, D.B., 2003a. Non-Arrhenian multicomponent melt viscosity: a model. Earth Planet. Sci. Lett. 208, 337-349] for predicting the viscosity of natural silicate melts. The present contribution clearly shows that: (1) the viscosity (η)-temperature relationship of natural silicate liquids is very well represented by the VFT equation [log η = A + B / (T - C)] over the full range of viscosity considered here, (2) the use of a constant high-T limiting value of melt viscosity (e.g., A) is fully consistent with the experimental data, (3) there are 3 different compositional suites (peralkaline, metaluminous and peraluminous) that exhibit different patterns in viscosity, (4) the viscosity of metaluminous liquids is well described by a simple mathematical expression involving the compositional parameter (SM) but the compositional dependence of viscosity for peralkaline and peraluminous melts is not fully controlled by SM. For these extreme compositions we refitted the model using a temperature-dependent parameter based on the excess of alkalies relative to alumina (e.g., AE/SM). The recalibrated model reproduces the entire database to within 5% relative error (e.g., RMSE of 0.45 logunits). © 2006 Elsevier B.V. All rights reserved.","author":[{"dropping-particle":"","family":"Giordano","given":"D.","non-dropping-particle":"","parse-names":false,"suffix":""},{"dropping-particle":"","family":"Mangiacapra","given":"A.","non-dropping-particle":"","parse-names":false,"suffix":""},{"dropping-particle":"","family":"Potuzak","given":"M.","non-dropping-particle":"","parse-names":false,"suffix":""},{"dropping-particle":"","family":"Russell","given":"J. K.","non-dropping-particle":"","parse-names":false,"suffix":""},{"dropping-particle":"","family":"Romano","given":"C.","non-dropping-particle":"","parse-names":false,"suffix":""},{"dropping-particle":"","family":"Dingwell","given":"D. B.","non-dropping-particle":"","parse-names":false,"suffix":""},{"dropping-particle":"","family":"Muro","given":"A.","non-dropping-particle":"Di","parse-names":false,"suffix":""}],"container-title":"Chemical Geology","id":"ITEM-3","issue":"1-3","issued":{"date-parts":[["2006"]]},"page":"42-56","title":"An expanded non-Arrhenian model for silicate melt viscosity: A treatment for metaluminous, peraluminous and peralkaline liquids","type":"article-journal","volume":"229"},"uris":["http://www.mendeley.com/documents/?uuid=91ceee87-71f2-4dc6-85c1-1f39e7a33ffb"]}],"mendeley":{"formattedCitation":"&lt;sup&gt;2,4,5&lt;/sup&gt;","plainTextFormattedCitation":"2,4,5","previouslyFormattedCitation":"&lt;sup&gt;2,4,5&lt;/sup&gt;"},"properties":{"noteIndex":0},"schema":"https://github.com/citation-style-language/schema/raw/master/csl-citation.json"}</w:instrText>
      </w:r>
      <w:r w:rsidRPr="009D543F">
        <w:rPr>
          <w:rFonts w:eastAsiaTheme="minorEastAsia"/>
          <w:lang w:val="en-GB"/>
        </w:rPr>
        <w:fldChar w:fldCharType="separate"/>
      </w:r>
      <w:r w:rsidR="0002472C" w:rsidRPr="0002472C">
        <w:rPr>
          <w:rFonts w:eastAsiaTheme="minorEastAsia"/>
          <w:noProof/>
          <w:vertAlign w:val="superscript"/>
          <w:lang w:val="en-GB"/>
        </w:rPr>
        <w:t>2,4,5</w:t>
      </w:r>
      <w:r w:rsidRPr="009D543F">
        <w:rPr>
          <w:rFonts w:eastAsiaTheme="minorEastAsia"/>
          <w:lang w:val="en-GB"/>
        </w:rPr>
        <w:fldChar w:fldCharType="end"/>
      </w:r>
      <w:r w:rsidRPr="009D543F">
        <w:rPr>
          <w:rFonts w:eastAsiaTheme="minorEastAsia"/>
          <w:lang w:val="en-GB"/>
        </w:rPr>
        <w:t xml:space="preserve">. </w:t>
      </w:r>
    </w:p>
    <w:p w14:paraId="32FD3A72" w14:textId="77777777" w:rsidR="00C97BA2" w:rsidRPr="00C53ACC" w:rsidRDefault="00C97BA2" w:rsidP="00C97BA2">
      <w:pPr>
        <w:spacing w:line="480" w:lineRule="auto"/>
        <w:rPr>
          <w:rFonts w:eastAsiaTheme="minorEastAsia" w:cs="Times New Roman"/>
          <w:lang w:val="en-GB"/>
        </w:rPr>
      </w:pPr>
    </w:p>
    <w:p w14:paraId="34AD046B" w14:textId="634C7C08" w:rsidR="00C97BA2" w:rsidRPr="00474001" w:rsidRDefault="00C97BA2" w:rsidP="00C97BA2">
      <w:pPr>
        <w:pStyle w:val="Heading2"/>
        <w:spacing w:line="480" w:lineRule="auto"/>
        <w:rPr>
          <w:rFonts w:eastAsiaTheme="minorEastAsia" w:cs="Times New Roman"/>
          <w:lang w:val="en-GB"/>
        </w:rPr>
      </w:pPr>
      <w:r>
        <w:rPr>
          <w:rFonts w:eastAsiaTheme="minorEastAsia" w:cs="Times New Roman"/>
          <w:lang w:val="en-GB"/>
        </w:rPr>
        <w:t>S</w:t>
      </w:r>
      <w:r w:rsidR="00184391">
        <w:rPr>
          <w:rFonts w:eastAsiaTheme="minorEastAsia" w:cs="Times New Roman"/>
          <w:lang w:val="en-GB"/>
        </w:rPr>
        <w:t>6</w:t>
      </w:r>
      <w:r w:rsidRPr="00474001">
        <w:rPr>
          <w:rFonts w:eastAsiaTheme="minorEastAsia" w:cs="Times New Roman"/>
          <w:lang w:val="en-GB"/>
        </w:rPr>
        <w:t xml:space="preserve"> Viscosity models of andesitic melts free of nanocrystals</w:t>
      </w:r>
    </w:p>
    <w:p w14:paraId="6C8F55CF" w14:textId="36732766" w:rsidR="00C97BA2" w:rsidRPr="00474001" w:rsidRDefault="00C97BA2" w:rsidP="00C97BA2">
      <w:pPr>
        <w:spacing w:line="480" w:lineRule="auto"/>
        <w:ind w:firstLine="720"/>
        <w:rPr>
          <w:rFonts w:cs="Times New Roman"/>
          <w:lang w:val="en-GB"/>
        </w:rPr>
      </w:pPr>
      <w:r w:rsidRPr="00474001">
        <w:rPr>
          <w:rFonts w:cs="Times New Roman"/>
          <w:szCs w:val="24"/>
          <w:lang w:val="en-GB"/>
        </w:rPr>
        <w:t>Considering our comprehensive experimental investigations, we introduce novel viscosity parameterizations for various andesitic melts (</w:t>
      </w:r>
      <w:r w:rsidR="009A43D3">
        <w:rPr>
          <w:rFonts w:cs="Times New Roman"/>
          <w:szCs w:val="24"/>
          <w:lang w:val="en-GB"/>
        </w:rPr>
        <w:t>Fig. S8</w:t>
      </w:r>
      <w:r w:rsidRPr="00474001">
        <w:rPr>
          <w:rFonts w:cs="Times New Roman"/>
          <w:szCs w:val="24"/>
          <w:lang w:val="en-GB"/>
        </w:rPr>
        <w:t>). These curves are obtained by fitting viscosity data from samples free of nanolites</w:t>
      </w:r>
      <w:r w:rsidR="002B72DF">
        <w:rPr>
          <w:rFonts w:cs="Times New Roman"/>
          <w:szCs w:val="24"/>
          <w:lang w:val="en-GB"/>
        </w:rPr>
        <w:t xml:space="preserve"> (further details in </w:t>
      </w:r>
      <w:bookmarkStart w:id="4" w:name="_Hlk156377129"/>
      <w:r w:rsidR="002B72DF">
        <w:rPr>
          <w:rFonts w:cs="Times New Roman"/>
          <w:szCs w:val="24"/>
          <w:lang w:val="en-GB"/>
        </w:rPr>
        <w:t>S2.1, S2.2 and S3</w:t>
      </w:r>
      <w:bookmarkEnd w:id="4"/>
      <w:r w:rsidR="002B72DF">
        <w:rPr>
          <w:rFonts w:cs="Times New Roman"/>
          <w:szCs w:val="24"/>
          <w:lang w:val="en-GB"/>
        </w:rPr>
        <w:t>)</w:t>
      </w:r>
      <w:r w:rsidRPr="00474001">
        <w:rPr>
          <w:rFonts w:cs="Times New Roman"/>
          <w:szCs w:val="24"/>
          <w:lang w:val="en-GB"/>
        </w:rPr>
        <w:t>, classified by consistent iron oxidation states.</w:t>
      </w:r>
      <w:r w:rsidRPr="00474001">
        <w:rPr>
          <w:rFonts w:cs="Times New Roman"/>
          <w:lang w:val="en-GB"/>
        </w:rPr>
        <w:t xml:space="preserve"> We utilized the MYEGA parametrization (Eq. 5), with log</w:t>
      </w:r>
      <w:r w:rsidRPr="00474001">
        <w:rPr>
          <w:rFonts w:cs="Times New Roman"/>
          <w:vertAlign w:val="subscript"/>
          <w:lang w:val="en-GB"/>
        </w:rPr>
        <w:t>10</w:t>
      </w:r>
      <w:r w:rsidRPr="00474001">
        <w:rPr>
          <w:rFonts w:cs="Times New Roman"/>
          <w:i/>
          <w:lang w:val="el-GR"/>
        </w:rPr>
        <w:t>η</w:t>
      </w:r>
      <w:r w:rsidRPr="00474001">
        <w:rPr>
          <w:rFonts w:cs="Times New Roman"/>
          <w:i/>
          <w:vertAlign w:val="subscript"/>
          <w:lang w:val="en-GB"/>
        </w:rPr>
        <w:t>∞</w:t>
      </w:r>
      <w:r w:rsidRPr="00474001">
        <w:rPr>
          <w:rFonts w:cs="Times New Roman"/>
          <w:lang w:val="en-GB"/>
        </w:rPr>
        <w:t xml:space="preserve"> fixed at -2.93 </w:t>
      </w:r>
      <w:r w:rsidRPr="00474001">
        <w:rPr>
          <w:rFonts w:eastAsiaTheme="minorEastAsia" w:cs="Times New Roman"/>
          <w:lang w:val="en-GB"/>
        </w:rPr>
        <w:fldChar w:fldCharType="begin" w:fldLock="1"/>
      </w:r>
      <w:r w:rsidR="0002472C">
        <w:rPr>
          <w:rFonts w:eastAsiaTheme="minorEastAsia" w:cs="Times New Roman"/>
          <w:lang w:val="en-GB"/>
        </w:rPr>
        <w:instrText>ADDIN CSL_CITATION {"citationItems":[{"id":"ITEM-1","itemData":{"DOI":"10.1029/2021GC009918","ISSN":"15252027","abstract":"The viscosity of volcanic melts is a dominant factor in controlling the fluid dynamics of magmas and thereby eruption style. It can vary by several orders of magnitude, depending on temperature, chemical composition, and water content. The experimentally accessible temperature range is restricted by melt crystallization and gas exsolution. Therefore, modeling viscosity as a function of temperature and water content is central to physical volcanology. We present a model that describes these dependencies by combining a physically motivated equation for temperature dependence of viscosity and a glass transition temperature ((Formula presented.)) model for the effects of water. The equation uses the viscosity at infinite temperature (Formula presented.), (Formula presented.), and the steepness factor (Formula presented.) as fitting parameters. We investigate the effect of leaving (Formula presented.) free as a parameter and fixing its value, by fitting anhydrous viscosity data of 45 volcanic melts using the temperature dependent model. Both approaches describe experimental data well. Using a constant (Formula presented.) therefore provides a viable route for extrapolating viscosity from data restricted to small temperature intervals. Our model describes hydrous data over a wide compositional range of terrestrial magmas (26 data sets) with comparable or better quality than literature fits. With (Formula presented.) constrained, we finally apply our model to viscosities derived by differential scanning calorimetry and find—by comparing to viscometry based data and models—that this approach can be used to reliably describe the dependence of viscosity on temperature and water content. This introduces important implications for modeling the effects of nanostructure formation on viscosity.","author":[{"dropping-particle":"","family":"Langhammer","given":"D.","non-dropping-particle":"","parse-names":false,"suffix":""},{"dropping-particle":"","family":"Genova","given":"D.","non-dropping-particle":"Di","parse-names":false,"suffix":""},{"dropping-particle":"","family":"Steinle-Neumann","given":"G.","non-dropping-particle":"","parse-names":false,"suffix":""}],"container-title":"Geochemistry, Geophysics, Geosystems","id":"ITEM-1","issue":"8","issued":{"date-parts":[["2021","8"]]},"page":"1-26","publisher":"John Wiley &amp; Sons, Ltd","title":"Modeling the Viscosity of Anhydrous and Hydrous Volcanic Melts","type":"article-journal","volume":"22"},"uris":["http://www.mendeley.com/documents/?uuid=61b26d79-9a24-485e-b3b7-629e7ddcd412"]},{"id":"ITEM-2","itemData":{"DOI":"10.1038/s43247-022-00615-2","ISSN":"2662-4435","abstract":"An increasing number of studies are being presented demonstrating that volcanic glasses can be heterogeneous at the nanoscale. These nano-heterogeneities can develop both during viscosity measurements in the laboratory and during magma eruptions. Our multifaceted study identifies here total transition metal oxide content as a crucial compositional factor governing the tendency of basalt melts and glasses towards nanolitization: at both anhydrous and hydrous conditions, an undercooled trachybasalt melt from Mt. Etna readily develops nanocrystals whose formation also hampers viscosity measurements, while a similar but FeO- and TiO 2 -poorer basalt melt from Stromboli proves far more stable at similar conditions. We therefore outline a procedure to reliably derive pure liquid viscosity without the effect of nanocrystals, additionally discussing how subtle compositional differences may contribute to the different eruptive styles of Mt. Etna and Stromboli.","author":[{"dropping-particle":"","family":"Scarani","given":"Alex","non-dropping-particle":"","parse-names":false,"suffix":""},{"dropping-particle":"","family":"Zandonà","given":"Alessio","non-dropping-particle":"","parse-names":false,"suffix":""},{"dropping-particle":"","family":"Fiore","given":"Fabrizio","non-dropping-particle":"Di","parse-names":false,"suffix":""},{"dropping-particle":"","family":"Valdivia","given":"Pedro","non-dropping-particle":"","parse-names":false,"suffix":""},{"dropping-particle":"","family":"Putra","given":"Rizaldi","non-dropping-particle":"","parse-names":false,"suffix":""},{"dropping-particle":"","family":"Miyajima","given":"Nobuyoshi","non-dropping-particle":"","parse-names":false,"suffix":""},{"dropping-particle":"","family":"Bornhöft","given":"Hansjörg","non-dropping-particle":"","parse-names":false,"suffix":""},{"dropping-particle":"","family":"Vona","given":"Alessandro","non-dropping-particle":"","parse-names":false,"suffix":""},{"dropping-particle":"","family":"Deubener","given":"Joachim","non-dropping-particle":"","parse-names":false,"suffix":""},{"dropping-particle":"","family":"Romano","given":"Claudia","non-dropping-particle":"","parse-names":false,"suffix":""},{"dropping-particle":"","family":"Genova","given":"D.","non-dropping-particle":"Di","parse-names":false,"suffix":""},{"dropping-particle":"","family":"Zandona","given":"A.","non-dropping-particle":"","parse-names":false,"suffix":""}],"container-title":"Communications Earth &amp; Environment","id":"ITEM-2","issue":"1","issued":{"date-parts":[["2022","11","18"]]},"page":"284","publisher":"Springer US","title":"A chemical threshold controls nanocrystallization and degassing behaviour in basalt magmas","type":"article-journal","volume":"3"},"uris":["http://www.mendeley.com/documents/?uuid=d663be6f-e1f8-4679-ae88-2dc326577f04"]},{"id":"ITEM-3","itemData":{"DOI":"10.1073/pnas.0911705106","ISSN":"1091-6490","PMID":"19903878","abstract":"The low-temperature dynamics of ultraviscous liquids hold the key to understanding the nature of glass transition and relaxation phenomena, including the potential existence of an ideal thermodynamic glass transition. Unfortunately, existing viscosity models, such as the Vogel-Fulcher-Tammann (VFT) and Avramov-Milchev (AM) equations, exhibit systematic error when extrapolating to low temperatures. We present a model offering an improved description of the viscosity-temperature relationship for both inorganic and organic liquids using the same number of parameters as VFT and AM. The model has a clear physical foundation based on the temperature dependence of configurational entropy, and it offers an accurate prediction of low-temperature isokoms without any singularity at finite temperature. Our results cast doubt on the existence of a Kauzmann entropy catastrophe and associated ideal glass transition.","author":[{"dropping-particle":"","family":"Mauro","given":"John C.","non-dropping-particle":"","parse-names":false,"suffix":""},{"dropping-particle":"","family":"Yue","given":"Yuanzheng","non-dropping-particle":"","parse-names":false,"suffix":""},{"dropping-particle":"","family":"Ellison","given":"Adam J.","non-dropping-particle":"","parse-names":false,"suffix":""},{"dropping-particle":"","family":"Gupta","given":"Prabhat K.","non-dropping-particle":"","parse-names":false,"suffix":""},{"dropping-particle":"","family":"Allan","given":"Douglas C.","non-dropping-particle":"","parse-names":false,"suffix":""}],"container-title":"Proceedings of the National Academy of Sciences of the United States of America","id":"ITEM-3","issue":"47","issued":{"date-parts":[["2009","11","24"]]},"page":"19780-4","title":"Viscosity of glass-forming liquids.","type":"article-journal","volume":"106"},"uris":["http://www.mendeley.com/documents/?uuid=76b0d076-97c4-4a4a-a3a6-041f0246af99"]},{"id":"ITEM-4","itemData":{"DOI":"10.1007/s00410-023-02024-w","ISBN":"0123456789","ISSN":"0010-7999","abstract":"Melt viscosity is one of the most critical physical properties controlling magma transport dynamics and eruptive style. Although viscosity measurements are widely used to study and model the flow behavior of magmas, recent research has revealed that nanocrystallization of Fe–Ti-oxides can compromise the reliability of viscosity data. This phenomenon can occur during laboratory measurements around the glass transition temperature ( T g ) and lead to the depletion of iron and titanium in the residual melt phase, with a significant increase in viscosity. Accurate viscosity measurements play a crucial role in determining the reliability of empirical models for magma viscosity, which are used to evaluate eruptive scenarios in hazardous areas. Here, we quantify the reliability of empirical models by elaborating a new viscosity model of Stromboli basalt that relies exclusively on viscosity data obtained from nanocrystal-free samples. We show that empirical models so far used to estimate melt viscosity at eruptive conditions overestimate Stromboli viscosity by a factor ranging between 2 and 5. In the context of numerical modelling of magmatic processes at Stromboli volcano, we analyse and interpret this finding. Based on our findings, we draw the conclusion that Stromboli basalt is anticipated to ascend from the storage area to the vent at a faster rate than previously hypothesized.","author":[{"dropping-particle":"","family":"Valdivia","given":"Pedro","non-dropping-particle":"","parse-names":false,"suffix":""},{"dropping-particle":"","family":"Zandonà","given":"Alessio","non-dropping-particle":"","parse-names":false,"suffix":""},{"dropping-particle":"","family":"Kurnosov","given":"Alexander","non-dropping-particle":"","parse-names":false,"suffix":""},{"dropping-particle":"","family":"Ballaran","given":"Tiziana Boffa","non-dropping-particle":"","parse-names":false,"suffix":""},{"dropping-particle":"","family":"Deubener","given":"Joachim","non-dropping-particle":"","parse-names":false,"suffix":""},{"dropping-particle":"","family":"Genova","given":"Danilo","non-dropping-particle":"Di","parse-names":false,"suffix":""}],"container-title":"Contributions to Mineralogy and Petrology","id":"ITEM-4","issue":"7","issued":{"date-parts":[["2023","7","26"]]},"page":"45","publisher":"Springer Berlin Heidelberg","title":"Are volcanic melts less viscous than we thought? The case of Stromboli basalt","type":"article-journal","volume":"178"},"uris":["http://www.mendeley.com/documents/?uuid=7eaf5bd5-c344-4572-b407-09255c15b8db"]}],"mendeley":{"formattedCitation":"&lt;sup&gt;15,17,23,24&lt;/sup&gt;","plainTextFormattedCitation":"15,17,23,24","previouslyFormattedCitation":"&lt;sup&gt;15,17,23,24&lt;/sup&gt;"},"properties":{"noteIndex":0},"schema":"https://github.com/citation-style-language/schema/raw/master/csl-citation.json"}</w:instrText>
      </w:r>
      <w:r w:rsidRPr="00474001">
        <w:rPr>
          <w:rFonts w:eastAsiaTheme="minorEastAsia" w:cs="Times New Roman"/>
          <w:lang w:val="en-GB"/>
        </w:rPr>
        <w:fldChar w:fldCharType="separate"/>
      </w:r>
      <w:r w:rsidR="0002472C" w:rsidRPr="0002472C">
        <w:rPr>
          <w:rFonts w:eastAsiaTheme="minorEastAsia" w:cs="Times New Roman"/>
          <w:noProof/>
          <w:vertAlign w:val="superscript"/>
          <w:lang w:val="en-GB"/>
        </w:rPr>
        <w:t>15,17,23,24</w:t>
      </w:r>
      <w:r w:rsidRPr="00474001">
        <w:rPr>
          <w:rFonts w:eastAsiaTheme="minorEastAsia" w:cs="Times New Roman"/>
          <w:lang w:val="en-GB"/>
        </w:rPr>
        <w:fldChar w:fldCharType="end"/>
      </w:r>
      <w:r w:rsidRPr="00474001">
        <w:rPr>
          <w:rFonts w:eastAsiaTheme="minorEastAsia" w:cs="Times New Roman"/>
          <w:lang w:val="en-GB"/>
        </w:rPr>
        <w:t xml:space="preserve"> to fit the </w:t>
      </w:r>
      <w:r w:rsidRPr="00474001">
        <w:rPr>
          <w:rFonts w:cs="Times New Roman"/>
          <w:lang w:val="en-GB"/>
        </w:rPr>
        <w:t>melt fragility index (</w:t>
      </w:r>
      <w:r w:rsidRPr="00474001">
        <w:rPr>
          <w:rFonts w:cs="Times New Roman"/>
          <w:i/>
          <w:iCs/>
          <w:lang w:val="en-GB"/>
        </w:rPr>
        <w:t>m</w:t>
      </w:r>
      <w:r w:rsidRPr="00474001">
        <w:rPr>
          <w:rFonts w:cs="Times New Roman"/>
          <w:lang w:val="en-GB"/>
        </w:rPr>
        <w:t xml:space="preserve">). Together with our C-DSC-derived </w:t>
      </w:r>
      <w:r w:rsidRPr="00474001">
        <w:rPr>
          <w:rFonts w:eastAsiaTheme="minorEastAsia" w:cs="Times New Roman"/>
          <w:i/>
          <w:iCs/>
          <w:lang w:val="en-GB"/>
        </w:rPr>
        <w:t>T</w:t>
      </w:r>
      <w:r w:rsidRPr="00474001">
        <w:rPr>
          <w:rFonts w:eastAsiaTheme="minorEastAsia" w:cs="Times New Roman"/>
          <w:i/>
          <w:iCs/>
          <w:vertAlign w:val="subscript"/>
          <w:lang w:val="en-GB"/>
        </w:rPr>
        <w:t>g</w:t>
      </w:r>
      <w:r w:rsidRPr="00474001">
        <w:rPr>
          <w:rFonts w:eastAsiaTheme="minorEastAsia" w:cs="Times New Roman"/>
          <w:lang w:val="en-GB"/>
        </w:rPr>
        <w:t xml:space="preserve">  </w:t>
      </w:r>
      <w:r w:rsidRPr="00474001">
        <w:rPr>
          <w:rFonts w:eastAsiaTheme="minorEastAsia" w:cs="Times New Roman"/>
          <w:lang w:val="en-GB"/>
        </w:rPr>
        <w:lastRenderedPageBreak/>
        <w:t>(Table 2)</w:t>
      </w:r>
      <w:r w:rsidRPr="00474001">
        <w:rPr>
          <w:rFonts w:eastAsiaTheme="minorEastAsia" w:cs="Times New Roman"/>
          <w:i/>
          <w:iCs/>
          <w:lang w:val="en-GB"/>
        </w:rPr>
        <w:t>,</w:t>
      </w:r>
      <w:r w:rsidRPr="00474001">
        <w:rPr>
          <w:rFonts w:eastAsiaTheme="minorEastAsia" w:cs="Times New Roman"/>
          <w:lang w:val="en-GB"/>
        </w:rPr>
        <w:t xml:space="preserve"> this approach enables us to characterize melt viscosity over a broad</w:t>
      </w:r>
      <w:r w:rsidRPr="00474001">
        <w:rPr>
          <w:rFonts w:cs="Times New Roman"/>
          <w:lang w:val="en-GB"/>
        </w:rPr>
        <w:t xml:space="preserve"> range of temperatures. </w:t>
      </w:r>
    </w:p>
    <w:p w14:paraId="79E1093B" w14:textId="3B226D4C" w:rsidR="00C97BA2" w:rsidRPr="00474001" w:rsidRDefault="00C97BA2" w:rsidP="00C97BA2">
      <w:pPr>
        <w:spacing w:line="480" w:lineRule="auto"/>
        <w:ind w:firstLine="720"/>
        <w:rPr>
          <w:rFonts w:eastAsiaTheme="minorEastAsia" w:cs="Times New Roman"/>
          <w:lang w:val="en-GB"/>
        </w:rPr>
      </w:pPr>
      <w:r w:rsidRPr="00474001">
        <w:rPr>
          <w:rFonts w:cs="Times New Roman"/>
          <w:lang w:val="en-GB"/>
        </w:rPr>
        <w:t xml:space="preserve">For our </w:t>
      </w:r>
      <w:r w:rsidR="008E6A96">
        <w:rPr>
          <w:rFonts w:cs="Times New Roman"/>
          <w:lang w:val="en-GB"/>
        </w:rPr>
        <w:t>AND100</w:t>
      </w:r>
      <w:r w:rsidRPr="00474001">
        <w:rPr>
          <w:rFonts w:cs="Times New Roman"/>
          <w:lang w:val="en-GB"/>
        </w:rPr>
        <w:t xml:space="preserve">, </w:t>
      </w:r>
      <w:r w:rsidRPr="00474001">
        <w:rPr>
          <w:rFonts w:eastAsiaTheme="minorEastAsia" w:cs="Times New Roman"/>
          <w:lang w:val="en-GB"/>
        </w:rPr>
        <w:t xml:space="preserve">we combined our high-temperature concentric cylinder viscosity data </w:t>
      </w:r>
      <w:r w:rsidR="008E6A96">
        <w:rPr>
          <w:rFonts w:eastAsiaTheme="minorEastAsia" w:cs="Times New Roman"/>
          <w:lang w:val="en-GB"/>
        </w:rPr>
        <w:t xml:space="preserve">along with C- and F-DSC-derived viscosity data (Table S2). By fitting </w:t>
      </w:r>
      <w:r w:rsidR="008E6A96" w:rsidRPr="00474001">
        <w:rPr>
          <w:rFonts w:eastAsiaTheme="minorEastAsia" w:cs="Times New Roman"/>
          <w:i/>
          <w:iCs/>
          <w:lang w:val="en-GB"/>
        </w:rPr>
        <w:t>T</w:t>
      </w:r>
      <w:r w:rsidR="008E6A96" w:rsidRPr="00474001">
        <w:rPr>
          <w:rFonts w:eastAsiaTheme="minorEastAsia" w:cs="Times New Roman"/>
          <w:i/>
          <w:iCs/>
          <w:vertAlign w:val="subscript"/>
          <w:lang w:val="en-GB"/>
        </w:rPr>
        <w:t>g</w:t>
      </w:r>
      <w:r w:rsidR="008E6A96" w:rsidRPr="00474001">
        <w:rPr>
          <w:rFonts w:eastAsiaTheme="minorEastAsia" w:cs="Times New Roman"/>
          <w:vertAlign w:val="subscript"/>
          <w:lang w:val="en-GB"/>
        </w:rPr>
        <w:t>_AND</w:t>
      </w:r>
      <w:r w:rsidR="008E6A96">
        <w:rPr>
          <w:rFonts w:eastAsiaTheme="minorEastAsia" w:cs="Times New Roman"/>
          <w:vertAlign w:val="subscript"/>
          <w:lang w:val="en-GB"/>
        </w:rPr>
        <w:t>10</w:t>
      </w:r>
      <w:r w:rsidR="008E6A96" w:rsidRPr="00474001">
        <w:rPr>
          <w:rFonts w:eastAsiaTheme="minorEastAsia" w:cs="Times New Roman"/>
          <w:vertAlign w:val="subscript"/>
          <w:lang w:val="en-GB"/>
        </w:rPr>
        <w:t>0</w:t>
      </w:r>
      <w:r w:rsidR="008E6A96">
        <w:rPr>
          <w:rFonts w:eastAsiaTheme="minorEastAsia" w:cs="Times New Roman"/>
          <w:vertAlign w:val="subscript"/>
          <w:lang w:val="en-GB"/>
        </w:rPr>
        <w:t xml:space="preserve"> </w:t>
      </w:r>
      <w:r w:rsidR="008E6A96" w:rsidRPr="008E6A96">
        <w:rPr>
          <w:rFonts w:eastAsiaTheme="minorEastAsia" w:cs="Times New Roman"/>
          <w:lang w:val="en-GB"/>
        </w:rPr>
        <w:t xml:space="preserve">= </w:t>
      </w:r>
      <w:r w:rsidR="008E6A96" w:rsidRPr="008E6A96">
        <w:rPr>
          <w:rFonts w:eastAsiaTheme="minorEastAsia" w:cs="Times New Roman"/>
          <w:vertAlign w:val="subscript"/>
          <w:lang w:val="en-GB"/>
        </w:rPr>
        <w:t xml:space="preserve"> </w:t>
      </w:r>
      <w:r w:rsidR="008E6A96" w:rsidRPr="008E6A96">
        <w:rPr>
          <w:rFonts w:eastAsiaTheme="minorEastAsia" w:cs="Times New Roman"/>
          <w:lang w:val="en-GB"/>
        </w:rPr>
        <w:t>654</w:t>
      </w:r>
      <w:r w:rsidR="008E6A96">
        <w:rPr>
          <w:rFonts w:eastAsiaTheme="minorEastAsia" w:cs="Times New Roman"/>
          <w:lang w:val="en-GB"/>
        </w:rPr>
        <w:t xml:space="preserve"> </w:t>
      </w:r>
      <w:r w:rsidRPr="008E6A96">
        <w:rPr>
          <w:rFonts w:eastAsiaTheme="minorEastAsia" w:cs="Times New Roman"/>
          <w:lang w:val="en-GB"/>
        </w:rPr>
        <w:t>±</w:t>
      </w:r>
      <w:r w:rsidRPr="00474001">
        <w:rPr>
          <w:rFonts w:eastAsiaTheme="minorEastAsia" w:cs="Times New Roman"/>
          <w:lang w:val="en-GB"/>
        </w:rPr>
        <w:t xml:space="preserve"> 0.5</w:t>
      </w:r>
      <w:r w:rsidRPr="00474001">
        <w:rPr>
          <w:rFonts w:cs="Times New Roman"/>
          <w:lang w:val="en-GB"/>
        </w:rPr>
        <w:t xml:space="preserve"> ℃</w:t>
      </w:r>
      <w:r w:rsidR="007972E1">
        <w:rPr>
          <w:rFonts w:cs="Times New Roman"/>
          <w:lang w:val="en-GB"/>
        </w:rPr>
        <w:t xml:space="preserve"> (</w:t>
      </w:r>
      <w:r w:rsidR="007972E1" w:rsidRPr="00474001">
        <w:rPr>
          <w:rFonts w:cs="Times New Roman"/>
          <w:lang w:val="en-GB"/>
        </w:rPr>
        <w:t xml:space="preserve">from </w:t>
      </w:r>
      <w:r w:rsidR="007972E1" w:rsidRPr="00474001">
        <w:rPr>
          <w:rFonts w:eastAsiaTheme="minorEastAsia" w:cs="Times New Roman"/>
          <w:lang w:val="en-GB"/>
        </w:rPr>
        <w:t>AND100_DSC</w:t>
      </w:r>
      <w:r w:rsidR="007972E1" w:rsidRPr="00474001">
        <w:rPr>
          <w:rFonts w:eastAsiaTheme="minorEastAsia" w:cs="Times New Roman"/>
          <w:vertAlign w:val="subscript"/>
          <w:lang w:val="en-GB"/>
        </w:rPr>
        <w:t>10-matching</w:t>
      </w:r>
      <w:r w:rsidR="007972E1">
        <w:rPr>
          <w:rFonts w:eastAsiaTheme="minorEastAsia" w:cs="Times New Roman"/>
          <w:lang w:val="en-GB"/>
        </w:rPr>
        <w:t>)</w:t>
      </w:r>
      <w:r w:rsidR="007972E1">
        <w:rPr>
          <w:rFonts w:eastAsia="Times New Roman" w:cs="Times New Roman"/>
          <w:color w:val="000000"/>
          <w:szCs w:val="24"/>
          <w:lang w:val="en-GB"/>
        </w:rPr>
        <w:t xml:space="preserve">, </w:t>
      </w:r>
      <w:r w:rsidRPr="00474001">
        <w:rPr>
          <w:rFonts w:eastAsia="Times New Roman" w:cs="Times New Roman"/>
          <w:color w:val="000000"/>
          <w:szCs w:val="24"/>
          <w:vertAlign w:val="subscript"/>
          <w:lang w:val="en-GB"/>
        </w:rPr>
        <w:t xml:space="preserve"> </w:t>
      </w:r>
      <w:r w:rsidR="007972E1">
        <w:rPr>
          <w:rFonts w:eastAsiaTheme="minorEastAsia" w:cs="Times New Roman"/>
          <w:lang w:val="en-GB"/>
        </w:rPr>
        <w:t>and</w:t>
      </w:r>
      <w:r w:rsidRPr="00474001">
        <w:rPr>
          <w:rFonts w:eastAsiaTheme="minorEastAsia" w:cs="Times New Roman"/>
          <w:lang w:val="en-GB"/>
        </w:rPr>
        <w:t xml:space="preserve"> using Eq. 5, we derived a fragility (</w:t>
      </w:r>
      <w:r w:rsidRPr="00474001">
        <w:rPr>
          <w:rFonts w:eastAsiaTheme="minorEastAsia" w:cs="Times New Roman"/>
          <w:i/>
          <w:iCs/>
          <w:lang w:val="en-GB"/>
        </w:rPr>
        <w:t>m</w:t>
      </w:r>
      <w:r w:rsidRPr="00474001">
        <w:rPr>
          <w:rFonts w:eastAsiaTheme="minorEastAsia" w:cs="Times New Roman"/>
          <w:vertAlign w:val="subscript"/>
          <w:lang w:val="en-GB"/>
        </w:rPr>
        <w:t>AND100</w:t>
      </w:r>
      <w:r w:rsidRPr="00474001">
        <w:rPr>
          <w:rFonts w:eastAsiaTheme="minorEastAsia" w:cs="Times New Roman"/>
          <w:lang w:val="en-GB"/>
        </w:rPr>
        <w:t>)</w:t>
      </w:r>
      <w:r w:rsidRPr="00474001">
        <w:rPr>
          <w:rFonts w:cs="Times New Roman"/>
          <w:lang w:val="en-GB"/>
        </w:rPr>
        <w:t xml:space="preserve"> of 3</w:t>
      </w:r>
      <w:r w:rsidR="007972E1">
        <w:rPr>
          <w:rFonts w:cs="Times New Roman"/>
          <w:lang w:val="en-GB"/>
        </w:rPr>
        <w:t>0.5</w:t>
      </w:r>
      <w:r w:rsidRPr="00474001">
        <w:rPr>
          <w:rFonts w:cs="Times New Roman"/>
          <w:lang w:val="en-GB"/>
        </w:rPr>
        <w:t xml:space="preserve"> ± 0.</w:t>
      </w:r>
      <w:r w:rsidR="007972E1">
        <w:rPr>
          <w:rFonts w:cs="Times New Roman"/>
          <w:lang w:val="en-GB"/>
        </w:rPr>
        <w:t>5</w:t>
      </w:r>
      <w:r w:rsidR="006C622A">
        <w:rPr>
          <w:rFonts w:eastAsiaTheme="minorEastAsia" w:cs="Times New Roman"/>
          <w:lang w:val="en-GB"/>
        </w:rPr>
        <w:t xml:space="preserve">. </w:t>
      </w:r>
      <w:r w:rsidRPr="00474001">
        <w:rPr>
          <w:rFonts w:cs="Times New Roman"/>
          <w:lang w:val="en-GB"/>
        </w:rPr>
        <w:t>For the iron-free analog sample (AND0), by</w:t>
      </w:r>
      <w:r w:rsidRPr="00474001">
        <w:rPr>
          <w:rFonts w:eastAsiaTheme="minorEastAsia" w:cs="Times New Roman"/>
          <w:lang w:val="en-GB"/>
        </w:rPr>
        <w:t xml:space="preserve"> </w:t>
      </w:r>
      <w:r w:rsidRPr="00474001">
        <w:rPr>
          <w:rFonts w:cs="Times New Roman"/>
          <w:lang w:val="en-GB"/>
        </w:rPr>
        <w:t xml:space="preserve">utilizing our C-DSC-derived viscosity data (Table </w:t>
      </w:r>
      <w:r w:rsidR="006C622A">
        <w:rPr>
          <w:rFonts w:cs="Times New Roman"/>
          <w:lang w:val="en-GB"/>
        </w:rPr>
        <w:t>S</w:t>
      </w:r>
      <w:r w:rsidRPr="00474001">
        <w:rPr>
          <w:rFonts w:cs="Times New Roman"/>
          <w:lang w:val="en-GB"/>
        </w:rPr>
        <w:t xml:space="preserve">2) along with micropenetration and concentric cylinder data, we determined </w:t>
      </w:r>
      <w:r w:rsidRPr="00474001">
        <w:rPr>
          <w:rFonts w:cs="Times New Roman"/>
          <w:i/>
          <w:iCs/>
          <w:lang w:val="en-GB"/>
        </w:rPr>
        <w:t>m</w:t>
      </w:r>
      <w:r w:rsidRPr="00474001">
        <w:rPr>
          <w:rFonts w:cs="Times New Roman"/>
          <w:vertAlign w:val="subscript"/>
          <w:lang w:val="en-GB"/>
        </w:rPr>
        <w:t>AND0</w:t>
      </w:r>
      <w:r w:rsidRPr="00474001">
        <w:rPr>
          <w:rFonts w:cs="Times New Roman"/>
          <w:lang w:val="en-GB"/>
        </w:rPr>
        <w:t xml:space="preserve"> = 31.8 ± 0.2</w:t>
      </w:r>
      <w:r w:rsidRPr="00474001">
        <w:rPr>
          <w:rFonts w:eastAsiaTheme="minorEastAsia" w:cs="Times New Roman"/>
          <w:lang w:val="en-GB"/>
        </w:rPr>
        <w:t xml:space="preserve"> by fitting </w:t>
      </w:r>
      <w:r w:rsidRPr="00474001">
        <w:rPr>
          <w:rFonts w:eastAsiaTheme="minorEastAsia" w:cs="Times New Roman"/>
          <w:i/>
          <w:iCs/>
          <w:lang w:val="en-GB"/>
        </w:rPr>
        <w:t>T</w:t>
      </w:r>
      <w:r w:rsidRPr="00474001">
        <w:rPr>
          <w:rFonts w:eastAsiaTheme="minorEastAsia" w:cs="Times New Roman"/>
          <w:i/>
          <w:iCs/>
          <w:vertAlign w:val="subscript"/>
          <w:lang w:val="en-GB"/>
        </w:rPr>
        <w:t>g</w:t>
      </w:r>
      <w:r w:rsidRPr="00474001">
        <w:rPr>
          <w:rFonts w:eastAsiaTheme="minorEastAsia" w:cs="Times New Roman"/>
          <w:vertAlign w:val="subscript"/>
          <w:lang w:val="en-GB"/>
        </w:rPr>
        <w:t>_AND0</w:t>
      </w:r>
      <w:r w:rsidRPr="00474001">
        <w:rPr>
          <w:rFonts w:eastAsiaTheme="minorEastAsia" w:cs="Times New Roman"/>
          <w:i/>
          <w:iCs/>
          <w:vertAlign w:val="subscript"/>
          <w:lang w:val="en-GB"/>
        </w:rPr>
        <w:t xml:space="preserve"> </w:t>
      </w:r>
      <w:r w:rsidRPr="00474001">
        <w:rPr>
          <w:rFonts w:eastAsiaTheme="minorEastAsia" w:cs="Times New Roman"/>
          <w:lang w:val="en-GB"/>
        </w:rPr>
        <w:t>= 737 ± 0.5</w:t>
      </w:r>
      <w:r w:rsidRPr="00474001">
        <w:rPr>
          <w:rFonts w:cs="Times New Roman"/>
          <w:lang w:val="en-GB"/>
        </w:rPr>
        <w:t xml:space="preserve"> ℃. For AND65, it was observed that its </w:t>
      </w:r>
      <w:r w:rsidRPr="00474001">
        <w:rPr>
          <w:rFonts w:cs="Times New Roman"/>
          <w:i/>
          <w:iCs/>
          <w:lang w:val="en-GB"/>
        </w:rPr>
        <w:t>K/G</w:t>
      </w:r>
      <w:r w:rsidRPr="00474001">
        <w:rPr>
          <w:rFonts w:cs="Times New Roman"/>
          <w:lang w:val="en-GB"/>
        </w:rPr>
        <w:t xml:space="preserve"> ratio exhibited ideal mixing relative to its two end members in terms of transition metal content, namely AND0 and AND100. Therefore, by assuming that the fragility of AND65 can be obtained as the simple linear combination of the fragility values of AND100 and AND0 (i.e., </w:t>
      </w:r>
      <w:r w:rsidRPr="00474001">
        <w:rPr>
          <w:rFonts w:eastAsiaTheme="minorEastAsia" w:cs="Times New Roman"/>
          <w:i/>
          <w:iCs/>
          <w:lang w:val="en-GB"/>
        </w:rPr>
        <w:t>m</w:t>
      </w:r>
      <w:r w:rsidRPr="00474001">
        <w:rPr>
          <w:rFonts w:eastAsiaTheme="minorEastAsia" w:cs="Times New Roman"/>
          <w:i/>
          <w:iCs/>
          <w:vertAlign w:val="subscript"/>
          <w:lang w:val="en-GB"/>
        </w:rPr>
        <w:t xml:space="preserve">AND65 </w:t>
      </w:r>
      <w:r w:rsidRPr="00474001">
        <w:rPr>
          <w:rFonts w:eastAsiaTheme="minorEastAsia" w:cs="Times New Roman"/>
          <w:lang w:val="en-GB"/>
        </w:rPr>
        <w:t>=</w:t>
      </w:r>
      <w:r w:rsidRPr="00474001">
        <w:rPr>
          <w:rFonts w:eastAsiaTheme="minorEastAsia" w:cs="Times New Roman"/>
          <w:i/>
          <w:iCs/>
          <w:vertAlign w:val="subscript"/>
          <w:lang w:val="en-GB"/>
        </w:rPr>
        <w:t xml:space="preserve"> </w:t>
      </w:r>
      <w:r w:rsidRPr="00474001">
        <w:rPr>
          <w:rFonts w:eastAsiaTheme="minorEastAsia" w:cs="Times New Roman"/>
          <w:lang w:val="en-GB"/>
        </w:rPr>
        <w:t xml:space="preserve">0.65 </w:t>
      </w:r>
      <w:r w:rsidRPr="00474001">
        <w:rPr>
          <w:rFonts w:ascii="Cambria Math" w:eastAsiaTheme="minorEastAsia" w:hAnsi="Cambria Math" w:cs="Cambria Math"/>
          <w:lang w:val="en-GB"/>
        </w:rPr>
        <w:t>⨉</w:t>
      </w:r>
      <w:r w:rsidRPr="00474001">
        <w:rPr>
          <w:rFonts w:eastAsiaTheme="minorEastAsia" w:cs="Times New Roman"/>
          <w:i/>
          <w:iCs/>
          <w:vertAlign w:val="subscript"/>
          <w:lang w:val="en-GB"/>
        </w:rPr>
        <w:t xml:space="preserve"> </w:t>
      </w:r>
      <w:r w:rsidRPr="00474001">
        <w:rPr>
          <w:rFonts w:eastAsiaTheme="minorEastAsia" w:cs="Times New Roman"/>
          <w:i/>
          <w:iCs/>
          <w:lang w:val="en-GB"/>
        </w:rPr>
        <w:t>m</w:t>
      </w:r>
      <w:r w:rsidRPr="00474001">
        <w:rPr>
          <w:rFonts w:eastAsiaTheme="minorEastAsia" w:cs="Times New Roman"/>
          <w:i/>
          <w:iCs/>
          <w:vertAlign w:val="subscript"/>
          <w:lang w:val="en-GB"/>
        </w:rPr>
        <w:t>AND100</w:t>
      </w:r>
      <w:r w:rsidRPr="00474001">
        <w:rPr>
          <w:rFonts w:eastAsiaTheme="minorEastAsia" w:cs="Times New Roman"/>
          <w:lang w:val="en-GB"/>
        </w:rPr>
        <w:t xml:space="preserve"> + 0.35 </w:t>
      </w:r>
      <w:r w:rsidRPr="00474001">
        <w:rPr>
          <w:rFonts w:ascii="Cambria Math" w:eastAsiaTheme="minorEastAsia" w:hAnsi="Cambria Math" w:cs="Cambria Math"/>
          <w:lang w:val="en-GB"/>
        </w:rPr>
        <w:t>⨉</w:t>
      </w:r>
      <w:r w:rsidRPr="00474001">
        <w:rPr>
          <w:rFonts w:eastAsiaTheme="minorEastAsia" w:cs="Times New Roman"/>
          <w:lang w:val="en-GB"/>
        </w:rPr>
        <w:t xml:space="preserve"> </w:t>
      </w:r>
      <w:r w:rsidRPr="00474001">
        <w:rPr>
          <w:rFonts w:eastAsiaTheme="minorEastAsia" w:cs="Times New Roman"/>
          <w:i/>
          <w:iCs/>
          <w:lang w:val="en-GB"/>
        </w:rPr>
        <w:t>m</w:t>
      </w:r>
      <w:r w:rsidRPr="00474001">
        <w:rPr>
          <w:rFonts w:eastAsiaTheme="minorEastAsia" w:cs="Times New Roman"/>
          <w:i/>
          <w:iCs/>
          <w:vertAlign w:val="subscript"/>
          <w:lang w:val="en-GB"/>
        </w:rPr>
        <w:t xml:space="preserve">AND0  </w:t>
      </w:r>
      <w:r w:rsidRPr="00474001">
        <w:rPr>
          <w:rFonts w:eastAsiaTheme="minorEastAsia" w:cs="Times New Roman"/>
          <w:lang w:val="en-GB"/>
        </w:rPr>
        <w:t>=</w:t>
      </w:r>
      <w:r w:rsidRPr="00474001">
        <w:rPr>
          <w:rFonts w:eastAsiaTheme="minorEastAsia" w:cs="Times New Roman"/>
          <w:i/>
          <w:iCs/>
          <w:vertAlign w:val="subscript"/>
          <w:lang w:val="en-GB"/>
        </w:rPr>
        <w:t xml:space="preserve"> </w:t>
      </w:r>
      <w:r w:rsidRPr="00474001">
        <w:rPr>
          <w:rFonts w:eastAsiaTheme="minorEastAsia" w:cs="Times New Roman"/>
          <w:lang w:val="en-GB"/>
        </w:rPr>
        <w:t xml:space="preserve">31.3 </w:t>
      </w:r>
      <w:r w:rsidRPr="00474001">
        <w:rPr>
          <w:rFonts w:cs="Times New Roman"/>
          <w:lang w:val="en-GB"/>
        </w:rPr>
        <w:t xml:space="preserve">± 0.2) and using the C-DSC derived </w:t>
      </w:r>
      <w:r w:rsidRPr="00474001">
        <w:rPr>
          <w:rFonts w:eastAsiaTheme="minorEastAsia" w:cs="Times New Roman"/>
          <w:i/>
          <w:iCs/>
          <w:lang w:val="en-GB"/>
        </w:rPr>
        <w:t>T</w:t>
      </w:r>
      <w:r w:rsidRPr="00474001">
        <w:rPr>
          <w:rFonts w:eastAsiaTheme="minorEastAsia" w:cs="Times New Roman"/>
          <w:i/>
          <w:iCs/>
          <w:vertAlign w:val="subscript"/>
          <w:lang w:val="en-GB"/>
        </w:rPr>
        <w:t>g</w:t>
      </w:r>
      <w:r w:rsidRPr="00474001">
        <w:rPr>
          <w:rFonts w:eastAsiaTheme="minorEastAsia" w:cs="Times New Roman"/>
          <w:vertAlign w:val="subscript"/>
          <w:lang w:val="en-GB"/>
        </w:rPr>
        <w:t>_AND65</w:t>
      </w:r>
      <w:r w:rsidRPr="00474001">
        <w:rPr>
          <w:rFonts w:eastAsiaTheme="minorEastAsia" w:cs="Times New Roman"/>
          <w:i/>
          <w:iCs/>
          <w:vertAlign w:val="subscript"/>
          <w:lang w:val="en-GB"/>
        </w:rPr>
        <w:t xml:space="preserve"> </w:t>
      </w:r>
      <w:r w:rsidRPr="00474001">
        <w:rPr>
          <w:rFonts w:eastAsiaTheme="minorEastAsia" w:cs="Times New Roman"/>
          <w:lang w:val="en-GB"/>
        </w:rPr>
        <w:t xml:space="preserve">= 696 ± 0.5 ℃, </w:t>
      </w:r>
      <w:r w:rsidRPr="00474001">
        <w:rPr>
          <w:rFonts w:cs="Times New Roman"/>
          <w:lang w:val="en-GB"/>
        </w:rPr>
        <w:t>we derive a viscosity parametrization for</w:t>
      </w:r>
      <w:r w:rsidRPr="00474001">
        <w:rPr>
          <w:rFonts w:eastAsiaTheme="minorEastAsia" w:cs="Times New Roman"/>
          <w:lang w:val="en-GB"/>
        </w:rPr>
        <w:t xml:space="preserve"> AND65</w:t>
      </w:r>
      <w:r w:rsidRPr="00474001">
        <w:rPr>
          <w:rFonts w:cs="Times New Roman"/>
          <w:lang w:val="en-GB"/>
        </w:rPr>
        <w:t>. Notably, our micropenetration and F-DSC-derived viscosity values, which were not used in this parametrization, closely align with our predictions</w:t>
      </w:r>
      <w:r w:rsidR="007972E1">
        <w:rPr>
          <w:rFonts w:cs="Times New Roman"/>
          <w:lang w:val="en-GB"/>
        </w:rPr>
        <w:t xml:space="preserve"> (Fig. 2</w:t>
      </w:r>
      <w:r w:rsidR="00F52E62">
        <w:rPr>
          <w:rFonts w:cs="Times New Roman"/>
          <w:lang w:val="en-GB"/>
        </w:rPr>
        <w:t>a</w:t>
      </w:r>
      <w:r w:rsidR="007972E1">
        <w:rPr>
          <w:rFonts w:cs="Times New Roman"/>
          <w:lang w:val="en-GB"/>
        </w:rPr>
        <w:t>)</w:t>
      </w:r>
      <w:r w:rsidRPr="00474001">
        <w:rPr>
          <w:rFonts w:cs="Times New Roman"/>
          <w:lang w:val="en-GB"/>
        </w:rPr>
        <w:t xml:space="preserve">. These results confirm that the shift factor approach (Eq. 2) is also valid for this composition. It is noteworthy to mention that when using all our viscosity results for AND65, we obtain the same fragility results. </w:t>
      </w:r>
    </w:p>
    <w:p w14:paraId="0045532B" w14:textId="15889300" w:rsidR="002B72DF" w:rsidRDefault="00C97BA2" w:rsidP="00E50ABE">
      <w:pPr>
        <w:spacing w:line="480" w:lineRule="auto"/>
        <w:ind w:firstLine="720"/>
        <w:rPr>
          <w:rFonts w:cs="Times New Roman"/>
          <w:lang w:val="en-GB"/>
        </w:rPr>
      </w:pPr>
      <w:r w:rsidRPr="00474001">
        <w:rPr>
          <w:rFonts w:eastAsiaTheme="minorEastAsia" w:cs="Times New Roman"/>
          <w:lang w:val="en-GB"/>
        </w:rPr>
        <w:t>Regarding AND100red</w:t>
      </w:r>
      <w:r w:rsidR="007972E1">
        <w:rPr>
          <w:rFonts w:eastAsiaTheme="minorEastAsia" w:cs="Times New Roman"/>
          <w:lang w:val="en-GB"/>
        </w:rPr>
        <w:t xml:space="preserve"> and AND100ox</w:t>
      </w:r>
      <w:r w:rsidR="00F52E62">
        <w:rPr>
          <w:rFonts w:eastAsiaTheme="minorEastAsia" w:cs="Times New Roman"/>
          <w:lang w:val="en-GB"/>
        </w:rPr>
        <w:t xml:space="preserve">, </w:t>
      </w:r>
      <w:r w:rsidRPr="00474001">
        <w:rPr>
          <w:rFonts w:eastAsiaTheme="minorEastAsia" w:cs="Times New Roman"/>
          <w:lang w:val="en-GB"/>
        </w:rPr>
        <w:t xml:space="preserve">the absence of viscosity data in </w:t>
      </w:r>
      <w:r w:rsidR="00F52E62">
        <w:rPr>
          <w:rFonts w:eastAsiaTheme="minorEastAsia" w:cs="Times New Roman"/>
          <w:lang w:val="en-GB"/>
        </w:rPr>
        <w:t>the</w:t>
      </w:r>
      <w:r w:rsidR="007972E1">
        <w:rPr>
          <w:rFonts w:eastAsiaTheme="minorEastAsia" w:cs="Times New Roman"/>
          <w:lang w:val="en-GB"/>
        </w:rPr>
        <w:t xml:space="preserve"> </w:t>
      </w:r>
      <w:r w:rsidRPr="00474001">
        <w:rPr>
          <w:rFonts w:eastAsiaTheme="minorEastAsia" w:cs="Times New Roman"/>
          <w:lang w:val="en-GB"/>
        </w:rPr>
        <w:t>high-temperature range via concentric cylinder measurements prevents direct determination of the melt fragility index (</w:t>
      </w:r>
      <w:r w:rsidRPr="00474001">
        <w:rPr>
          <w:rFonts w:eastAsiaTheme="minorEastAsia" w:cs="Times New Roman"/>
          <w:i/>
          <w:iCs/>
          <w:lang w:val="en-GB"/>
        </w:rPr>
        <w:t>m</w:t>
      </w:r>
      <w:r w:rsidRPr="00474001">
        <w:rPr>
          <w:rFonts w:eastAsiaTheme="minorEastAsia" w:cs="Times New Roman"/>
          <w:lang w:val="en-GB"/>
        </w:rPr>
        <w:t>). Nevertheless, we can estimate their fragility values by leveraging our prior fragility estimations (i.e., AND100</w:t>
      </w:r>
      <w:r w:rsidR="007972E1">
        <w:rPr>
          <w:rFonts w:eastAsiaTheme="minorEastAsia" w:cs="Times New Roman"/>
          <w:lang w:val="en-GB"/>
        </w:rPr>
        <w:t>)</w:t>
      </w:r>
      <w:r w:rsidRPr="00474001">
        <w:rPr>
          <w:rFonts w:eastAsiaTheme="minorEastAsia" w:cs="Times New Roman"/>
          <w:lang w:val="en-GB"/>
        </w:rPr>
        <w:t xml:space="preserve"> along with our Brillouin data. Brillouin results show that the </w:t>
      </w:r>
      <w:r w:rsidRPr="00474001">
        <w:rPr>
          <w:rFonts w:eastAsiaTheme="minorEastAsia" w:cs="Times New Roman"/>
          <w:i/>
          <w:iCs/>
          <w:lang w:val="en-GB"/>
        </w:rPr>
        <w:t xml:space="preserve">K/G </w:t>
      </w:r>
      <w:r w:rsidRPr="00474001">
        <w:rPr>
          <w:rFonts w:eastAsiaTheme="minorEastAsia" w:cs="Times New Roman"/>
          <w:lang w:val="en-GB"/>
        </w:rPr>
        <w:t xml:space="preserve">ratios </w:t>
      </w:r>
      <w:r>
        <w:rPr>
          <w:rFonts w:eastAsiaTheme="minorEastAsia" w:cs="Times New Roman"/>
          <w:lang w:val="en-GB"/>
        </w:rPr>
        <w:t>of</w:t>
      </w:r>
      <w:r w:rsidRPr="00474001">
        <w:rPr>
          <w:rFonts w:eastAsiaTheme="minorEastAsia" w:cs="Times New Roman"/>
          <w:lang w:val="en-GB"/>
        </w:rPr>
        <w:t xml:space="preserve"> AND100red</w:t>
      </w:r>
      <w:r w:rsidR="007972E1">
        <w:rPr>
          <w:rFonts w:eastAsiaTheme="minorEastAsia" w:cs="Times New Roman"/>
          <w:lang w:val="en-GB"/>
        </w:rPr>
        <w:t>, AND100ox</w:t>
      </w:r>
      <w:r w:rsidRPr="00474001">
        <w:rPr>
          <w:rFonts w:eastAsiaTheme="minorEastAsia" w:cs="Times New Roman"/>
          <w:lang w:val="en-GB"/>
        </w:rPr>
        <w:t xml:space="preserve"> and AND100 are identical within experimental uncertainty (Table </w:t>
      </w:r>
      <w:r w:rsidR="006C622A">
        <w:rPr>
          <w:rFonts w:eastAsiaTheme="minorEastAsia" w:cs="Times New Roman"/>
          <w:lang w:val="en-GB"/>
        </w:rPr>
        <w:t>S</w:t>
      </w:r>
      <w:r w:rsidRPr="00474001">
        <w:rPr>
          <w:rFonts w:eastAsiaTheme="minorEastAsia" w:cs="Times New Roman"/>
          <w:lang w:val="en-GB"/>
        </w:rPr>
        <w:t xml:space="preserve">1). Therefore, assuming a linear correlation between </w:t>
      </w:r>
      <w:r w:rsidRPr="00474001">
        <w:rPr>
          <w:rFonts w:eastAsiaTheme="minorEastAsia" w:cs="Times New Roman"/>
          <w:i/>
          <w:iCs/>
          <w:lang w:val="en-GB"/>
        </w:rPr>
        <w:t>K/G</w:t>
      </w:r>
      <w:r w:rsidRPr="00474001">
        <w:rPr>
          <w:rFonts w:eastAsiaTheme="minorEastAsia" w:cs="Times New Roman"/>
          <w:lang w:val="en-GB"/>
        </w:rPr>
        <w:t xml:space="preserve"> and </w:t>
      </w:r>
      <w:r w:rsidRPr="00474001">
        <w:rPr>
          <w:rFonts w:eastAsiaTheme="minorEastAsia" w:cs="Times New Roman"/>
          <w:i/>
          <w:iCs/>
          <w:lang w:val="en-GB"/>
        </w:rPr>
        <w:t>m</w:t>
      </w:r>
      <w:r w:rsidRPr="00474001">
        <w:rPr>
          <w:rFonts w:eastAsiaTheme="minorEastAsia" w:cs="Times New Roman"/>
          <w:lang w:val="en-GB"/>
        </w:rPr>
        <w:t xml:space="preserve"> </w:t>
      </w:r>
      <w:r w:rsidRPr="00474001">
        <w:rPr>
          <w:rFonts w:eastAsiaTheme="minorEastAsia" w:cs="Times New Roman"/>
          <w:lang w:val="en-GB"/>
        </w:rPr>
        <w:fldChar w:fldCharType="begin" w:fldLock="1"/>
      </w:r>
      <w:r w:rsidR="0002472C">
        <w:rPr>
          <w:rFonts w:eastAsiaTheme="minorEastAsia" w:cs="Times New Roman"/>
          <w:lang w:val="en-GB"/>
        </w:rPr>
        <w:instrText>ADDIN CSL_CITATION {"citationItems":[{"id":"ITEM-1","itemData":{"DOI":"10.1038/s41598-021-92407-5","ISBN":"4159802192","ISSN":"20452322","PMID":"34158535","abstract":"The numerical modelling of magma transport and volcanic eruptions requires accurate knowledge of the viscosity of magmatic liquids as a function of temperature and melt composition. However, there is growing evidence that volcanic melts can be prone to nanoscale modification and crystallization before and during viscosity measurements. This challenges the possibility of being able to quantify the crystal-free melt phase contribution to the measured viscosity. In an effort to establish an alternative route to derive the viscosity of volcanic melts based on the vibrational properties of their parental glasses, we have subjected volcanologically relevant anhydrous glasses to Brillouin and Raman spectroscopic analyses at ambient conditions. Here, we find that the ratio between bulk and shear moduli and the boson peak position embed the melt fragility. We show that these quantities allow an accurate estimation of volcanic melts at eruptive conditions, without the need for viscosity measurements. An extensive review of the literature data confirms that our result also holds for hydrous systems; this study thus provides fertile ground on which to develop new studies of the nanoscale dynamics of natural melts and its impact on the style of volcanic eruptions.","author":[{"dropping-particle":"","family":"Cassetta","given":"Michele","non-dropping-particle":"","parse-names":false,"suffix":""},{"dropping-particle":"","family":"Genova","given":"D.","non-dropping-particle":"Di","parse-names":false,"suffix":""},{"dropping-particle":"","family":"Zanatta","given":"Marco","non-dropping-particle":"","parse-names":false,"suffix":""},{"dropping-particle":"","family":"Ballaran","given":"T. B.","non-dropping-particle":"","parse-names":false,"suffix":""},{"dropping-particle":"","family":"Kurnosov","given":"Alexander","non-dropping-particle":"","parse-names":false,"suffix":""},{"dropping-particle":"","family":"Giarola","given":"Marco","non-dropping-particle":"","parse-names":false,"suffix":""},{"dropping-particle":"","family":"Mariotto","given":"Gino","non-dropping-particle":"","parse-names":false,"suffix":""},{"dropping-particle":"","family":"Boffa Ballaran","given":"Tiziana","non-dropping-particle":"","parse-names":false,"suffix":""}],"container-title":"Scientific Reports","id":"ITEM-1","issue":"1","issued":{"date-parts":[["2021"]]},"page":"1-14","publisher":"Nature Publishing Group UK","title":"Estimating the viscosity of volcanic melts from the vibrational properties of their parental glasses","type":"article-journal","volume":"11"},"uris":["http://www.mendeley.com/documents/?uuid=2ff2ec8c-67bb-4bb9-98e0-b7571c00d473"]},{"id":"ITEM-2","itemData":{"DOI":"10.1103/PhysRevE.71.061501","ISSN":"15393755","abstract":"We present a detailed analysis of correlations between fragility and other parameters of glass-forming systems. The analysis shows the importance of the ratio between the instantaneous bulk and shear modulus of glass-forming systems, or their Poisson ratio, for structural α relaxation and fast dynamics. In particular, for simple glass formers, the bulk to shear modulus ratio in the glassy state correlates with fragility in the liquid state and is inversely proportional to the intensity of the boson peak. A simple relationship between the temperature dependence of the viscosity of liquids at high temperatures and near the glass transition is used to rationalize these correlations. We argue that the ratio of the moduli controls the high-temperature activation energy of the structural relaxation and in this way affects the fragility. The ratio also defines the amplitude of the structural relaxation (i.e., the nonergodicity parameter) and the latter influences the strength of the boson peak. These observations might explain the puzzling correlation observed between the fragility and fast dynamics in glass-forming systems. © 2005 The American Physical Society.","author":[{"dropping-particle":"","family":"Novikov","given":"V. N.","non-dropping-particle":"","parse-names":false,"suffix":""},{"dropping-particle":"","family":"Ding","given":"Y.","non-dropping-particle":"","parse-names":false,"suffix":""},{"dropping-particle":"","family":"Sokolov","given":"A. P.","non-dropping-particle":"","parse-names":false,"suffix":""}],"container-title":"Physical Review E - Statistical, Nonlinear, and Soft Matter Physics","id":"ITEM-2","issue":"6","issued":{"date-parts":[["2005"]]},"page":"1-12","title":"Correlation of fragility of supercooled liquids with elastic properties of glasses","type":"article-journal","volume":"71"},"uris":["http://www.mendeley.com/documents/?uuid=35ff6622-3eab-48a6-8e79-646728d6a93a"]}],"mendeley":{"formattedCitation":"&lt;sup&gt;20,25&lt;/sup&gt;","plainTextFormattedCitation":"20,25","previouslyFormattedCitation":"&lt;sup&gt;20,25&lt;/sup&gt;"},"properties":{"noteIndex":0},"schema":"https://github.com/citation-style-language/schema/raw/master/csl-citation.json"}</w:instrText>
      </w:r>
      <w:r w:rsidRPr="00474001">
        <w:rPr>
          <w:rFonts w:eastAsiaTheme="minorEastAsia" w:cs="Times New Roman"/>
          <w:lang w:val="en-GB"/>
        </w:rPr>
        <w:fldChar w:fldCharType="separate"/>
      </w:r>
      <w:r w:rsidR="0002472C" w:rsidRPr="0002472C">
        <w:rPr>
          <w:rFonts w:eastAsiaTheme="minorEastAsia" w:cs="Times New Roman"/>
          <w:noProof/>
          <w:vertAlign w:val="superscript"/>
          <w:lang w:val="en-GB"/>
        </w:rPr>
        <w:t>20,25</w:t>
      </w:r>
      <w:r w:rsidRPr="00474001">
        <w:rPr>
          <w:rFonts w:eastAsiaTheme="minorEastAsia" w:cs="Times New Roman"/>
          <w:lang w:val="en-GB"/>
        </w:rPr>
        <w:fldChar w:fldCharType="end"/>
      </w:r>
      <w:r w:rsidRPr="00474001">
        <w:rPr>
          <w:rFonts w:eastAsiaTheme="minorEastAsia" w:cs="Times New Roman"/>
          <w:lang w:val="en-GB"/>
        </w:rPr>
        <w:t xml:space="preserve">,  we infer that the </w:t>
      </w:r>
      <w:r w:rsidRPr="00474001">
        <w:rPr>
          <w:rFonts w:eastAsiaTheme="minorEastAsia" w:cs="Times New Roman"/>
          <w:lang w:val="en-GB"/>
        </w:rPr>
        <w:lastRenderedPageBreak/>
        <w:t>fragility of AND100red</w:t>
      </w:r>
      <w:r w:rsidR="007972E1">
        <w:rPr>
          <w:rFonts w:eastAsiaTheme="minorEastAsia" w:cs="Times New Roman"/>
          <w:lang w:val="en-GB"/>
        </w:rPr>
        <w:t xml:space="preserve"> and AND100ox are</w:t>
      </w:r>
      <w:r w:rsidRPr="00474001">
        <w:rPr>
          <w:rFonts w:eastAsiaTheme="minorEastAsia" w:cs="Times New Roman"/>
          <w:lang w:val="en-GB"/>
        </w:rPr>
        <w:t xml:space="preserve"> comparable to that of AND100 (</w:t>
      </w:r>
      <w:r w:rsidRPr="00474001">
        <w:rPr>
          <w:rFonts w:eastAsiaTheme="minorEastAsia" w:cs="Times New Roman"/>
          <w:i/>
          <w:iCs/>
          <w:lang w:val="en-GB"/>
        </w:rPr>
        <w:t>m</w:t>
      </w:r>
      <w:r w:rsidRPr="00474001">
        <w:rPr>
          <w:rFonts w:eastAsiaTheme="minorEastAsia" w:cs="Times New Roman"/>
          <w:i/>
          <w:iCs/>
          <w:vertAlign w:val="subscript"/>
          <w:lang w:val="en-GB"/>
        </w:rPr>
        <w:t xml:space="preserve">AND100red </w:t>
      </w:r>
      <w:r w:rsidRPr="00474001">
        <w:rPr>
          <w:rFonts w:cs="Times New Roman"/>
          <w:lang w:val="en-GB"/>
        </w:rPr>
        <w:t xml:space="preserve">= </w:t>
      </w:r>
      <w:r w:rsidRPr="00474001">
        <w:rPr>
          <w:rFonts w:eastAsiaTheme="minorEastAsia" w:cs="Times New Roman"/>
          <w:i/>
          <w:iCs/>
          <w:lang w:val="en-GB"/>
        </w:rPr>
        <w:t>m</w:t>
      </w:r>
      <w:r w:rsidRPr="00474001">
        <w:rPr>
          <w:rFonts w:eastAsiaTheme="minorEastAsia" w:cs="Times New Roman"/>
          <w:i/>
          <w:iCs/>
          <w:vertAlign w:val="subscript"/>
          <w:lang w:val="en-GB"/>
        </w:rPr>
        <w:t>AND100</w:t>
      </w:r>
      <w:r w:rsidR="007972E1">
        <w:rPr>
          <w:rFonts w:eastAsiaTheme="minorEastAsia" w:cs="Times New Roman"/>
          <w:i/>
          <w:iCs/>
          <w:vertAlign w:val="subscript"/>
          <w:lang w:val="en-GB"/>
        </w:rPr>
        <w:t>ox</w:t>
      </w:r>
      <w:r w:rsidRPr="00474001">
        <w:rPr>
          <w:rFonts w:cs="Times New Roman"/>
          <w:lang w:val="en-GB"/>
        </w:rPr>
        <w:t xml:space="preserve"> =</w:t>
      </w:r>
      <w:r w:rsidR="007972E1">
        <w:rPr>
          <w:rFonts w:cs="Times New Roman"/>
          <w:lang w:val="en-GB"/>
        </w:rPr>
        <w:t xml:space="preserve"> </w:t>
      </w:r>
      <w:r w:rsidR="007972E1" w:rsidRPr="00474001">
        <w:rPr>
          <w:rFonts w:eastAsiaTheme="minorEastAsia" w:cs="Times New Roman"/>
          <w:i/>
          <w:iCs/>
          <w:lang w:val="en-GB"/>
        </w:rPr>
        <w:t>m</w:t>
      </w:r>
      <w:r w:rsidR="007972E1" w:rsidRPr="00474001">
        <w:rPr>
          <w:rFonts w:eastAsiaTheme="minorEastAsia" w:cs="Times New Roman"/>
          <w:i/>
          <w:iCs/>
          <w:vertAlign w:val="subscript"/>
          <w:lang w:val="en-GB"/>
        </w:rPr>
        <w:t>AND100</w:t>
      </w:r>
      <w:r w:rsidR="007972E1">
        <w:rPr>
          <w:rFonts w:eastAsiaTheme="minorEastAsia" w:cs="Times New Roman"/>
          <w:i/>
          <w:iCs/>
          <w:vertAlign w:val="subscript"/>
          <w:lang w:val="en-GB"/>
        </w:rPr>
        <w:t xml:space="preserve"> </w:t>
      </w:r>
      <w:r w:rsidR="007972E1">
        <w:rPr>
          <w:rFonts w:eastAsiaTheme="minorEastAsia" w:cs="Times New Roman"/>
          <w:lang w:val="en-GB"/>
        </w:rPr>
        <w:t>=</w:t>
      </w:r>
      <w:r w:rsidRPr="00474001">
        <w:rPr>
          <w:rFonts w:cs="Times New Roman"/>
          <w:lang w:val="en-GB"/>
        </w:rPr>
        <w:t xml:space="preserve"> 3</w:t>
      </w:r>
      <w:r w:rsidR="007972E1">
        <w:rPr>
          <w:rFonts w:cs="Times New Roman"/>
          <w:lang w:val="en-GB"/>
        </w:rPr>
        <w:t>0.5</w:t>
      </w:r>
      <w:r w:rsidRPr="00474001">
        <w:rPr>
          <w:rFonts w:cs="Times New Roman"/>
          <w:lang w:val="en-GB"/>
        </w:rPr>
        <w:t xml:space="preserve"> ± </w:t>
      </w:r>
      <w:r w:rsidR="007972E1">
        <w:rPr>
          <w:rFonts w:cs="Times New Roman"/>
          <w:lang w:val="en-GB"/>
        </w:rPr>
        <w:t>0.5</w:t>
      </w:r>
      <w:r w:rsidRPr="00474001">
        <w:rPr>
          <w:rFonts w:eastAsiaTheme="minorEastAsia" w:cs="Times New Roman"/>
          <w:lang w:val="en-GB"/>
        </w:rPr>
        <w:t>)</w:t>
      </w:r>
      <w:r w:rsidRPr="00474001">
        <w:rPr>
          <w:rFonts w:cs="Times New Roman"/>
          <w:lang w:val="en-GB"/>
        </w:rPr>
        <w:t xml:space="preserve">. </w:t>
      </w:r>
      <w:r w:rsidRPr="00474001">
        <w:rPr>
          <w:rFonts w:eastAsiaTheme="minorEastAsia" w:cs="Times New Roman"/>
          <w:lang w:val="en-GB"/>
        </w:rPr>
        <w:t xml:space="preserve">By using </w:t>
      </w:r>
      <w:r w:rsidRPr="00474001">
        <w:rPr>
          <w:rFonts w:eastAsiaTheme="minorEastAsia" w:cs="Times New Roman"/>
          <w:i/>
          <w:iCs/>
          <w:lang w:val="en-GB"/>
        </w:rPr>
        <w:t>T</w:t>
      </w:r>
      <w:r w:rsidRPr="00474001">
        <w:rPr>
          <w:rFonts w:eastAsiaTheme="minorEastAsia" w:cs="Times New Roman"/>
          <w:i/>
          <w:iCs/>
          <w:vertAlign w:val="subscript"/>
          <w:lang w:val="en-GB"/>
        </w:rPr>
        <w:t>g_AND100red</w:t>
      </w:r>
      <w:r w:rsidRPr="00474001">
        <w:rPr>
          <w:rFonts w:eastAsiaTheme="minorEastAsia" w:cs="Times New Roman"/>
          <w:lang w:val="en-GB"/>
        </w:rPr>
        <w:t xml:space="preserve"> = 645 ℃ </w:t>
      </w:r>
      <w:r w:rsidR="007972E1">
        <w:rPr>
          <w:rFonts w:eastAsiaTheme="minorEastAsia" w:cs="Times New Roman"/>
          <w:lang w:val="en-GB"/>
        </w:rPr>
        <w:t xml:space="preserve">and </w:t>
      </w:r>
      <w:r w:rsidR="007972E1" w:rsidRPr="00474001">
        <w:rPr>
          <w:rFonts w:eastAsiaTheme="minorEastAsia" w:cs="Times New Roman"/>
          <w:i/>
          <w:iCs/>
          <w:lang w:val="en-GB"/>
        </w:rPr>
        <w:t>T</w:t>
      </w:r>
      <w:r w:rsidR="007972E1" w:rsidRPr="00474001">
        <w:rPr>
          <w:rFonts w:eastAsiaTheme="minorEastAsia" w:cs="Times New Roman"/>
          <w:i/>
          <w:iCs/>
          <w:vertAlign w:val="subscript"/>
          <w:lang w:val="en-GB"/>
        </w:rPr>
        <w:t>g_AND100</w:t>
      </w:r>
      <w:r w:rsidR="007972E1">
        <w:rPr>
          <w:rFonts w:eastAsiaTheme="minorEastAsia" w:cs="Times New Roman"/>
          <w:i/>
          <w:iCs/>
          <w:vertAlign w:val="subscript"/>
          <w:lang w:val="en-GB"/>
        </w:rPr>
        <w:t>0ox</w:t>
      </w:r>
      <w:r w:rsidR="007972E1" w:rsidRPr="00474001">
        <w:rPr>
          <w:rFonts w:eastAsiaTheme="minorEastAsia" w:cs="Times New Roman"/>
          <w:lang w:val="en-GB"/>
        </w:rPr>
        <w:t xml:space="preserve"> = </w:t>
      </w:r>
      <w:r w:rsidR="007972E1">
        <w:rPr>
          <w:rFonts w:eastAsiaTheme="minorEastAsia" w:cs="Times New Roman"/>
          <w:lang w:val="en-GB"/>
        </w:rPr>
        <w:t>662</w:t>
      </w:r>
      <w:r w:rsidR="007972E1" w:rsidRPr="00474001">
        <w:rPr>
          <w:rFonts w:eastAsiaTheme="minorEastAsia" w:cs="Times New Roman"/>
          <w:lang w:val="en-GB"/>
        </w:rPr>
        <w:t xml:space="preserve"> ℃ </w:t>
      </w:r>
      <w:r w:rsidRPr="00474001">
        <w:rPr>
          <w:rFonts w:eastAsiaTheme="minorEastAsia" w:cs="Times New Roman"/>
          <w:lang w:val="en-GB"/>
        </w:rPr>
        <w:t xml:space="preserve">(Table </w:t>
      </w:r>
      <w:r w:rsidR="007972E1">
        <w:rPr>
          <w:rFonts w:eastAsiaTheme="minorEastAsia" w:cs="Times New Roman"/>
          <w:lang w:val="en-GB"/>
        </w:rPr>
        <w:t>1</w:t>
      </w:r>
      <w:r w:rsidRPr="00474001">
        <w:rPr>
          <w:rFonts w:eastAsiaTheme="minorEastAsia" w:cs="Times New Roman"/>
          <w:lang w:val="en-GB"/>
        </w:rPr>
        <w:t>)</w:t>
      </w:r>
      <w:r w:rsidRPr="00474001">
        <w:rPr>
          <w:rFonts w:cs="Times New Roman"/>
          <w:lang w:val="en-GB"/>
        </w:rPr>
        <w:t>, and Eq. 5, we derive the viscosity parametrization for</w:t>
      </w:r>
      <w:r w:rsidRPr="00474001">
        <w:rPr>
          <w:rFonts w:eastAsiaTheme="minorEastAsia" w:cs="Times New Roman"/>
          <w:lang w:val="en-GB"/>
        </w:rPr>
        <w:t xml:space="preserve"> AND100red</w:t>
      </w:r>
      <w:r w:rsidR="007972E1">
        <w:rPr>
          <w:rFonts w:cs="Times New Roman"/>
          <w:lang w:val="en-GB"/>
        </w:rPr>
        <w:t xml:space="preserve"> and AND100ox</w:t>
      </w:r>
      <w:r w:rsidR="00F52E62">
        <w:rPr>
          <w:rFonts w:cs="Times New Roman"/>
          <w:lang w:val="en-GB"/>
        </w:rPr>
        <w:t xml:space="preserve"> (Fig S8)</w:t>
      </w:r>
      <w:r w:rsidR="007972E1">
        <w:rPr>
          <w:rFonts w:cs="Times New Roman"/>
          <w:lang w:val="en-GB"/>
        </w:rPr>
        <w:t>.</w:t>
      </w:r>
      <w:r w:rsidRPr="00474001">
        <w:rPr>
          <w:rFonts w:cs="Times New Roman"/>
          <w:lang w:val="en-GB"/>
        </w:rPr>
        <w:t xml:space="preserve"> Overall, our viscosity parametrization for </w:t>
      </w:r>
      <w:r w:rsidRPr="00474001">
        <w:rPr>
          <w:rFonts w:eastAsiaTheme="minorEastAsia" w:cs="Times New Roman"/>
          <w:lang w:val="en-GB"/>
        </w:rPr>
        <w:t xml:space="preserve">AND100red aligns slightly lower than that of </w:t>
      </w:r>
      <w:r w:rsidR="002B72DF">
        <w:rPr>
          <w:rFonts w:eastAsiaTheme="minorEastAsia" w:cs="Times New Roman"/>
          <w:lang w:val="en-GB"/>
        </w:rPr>
        <w:t xml:space="preserve">AND100, while </w:t>
      </w:r>
      <w:r w:rsidRPr="00474001">
        <w:rPr>
          <w:rFonts w:eastAsiaTheme="minorEastAsia" w:cs="Times New Roman"/>
          <w:lang w:val="en-GB"/>
        </w:rPr>
        <w:t>AND100</w:t>
      </w:r>
      <w:r w:rsidR="007972E1">
        <w:rPr>
          <w:rFonts w:eastAsiaTheme="minorEastAsia" w:cs="Times New Roman"/>
          <w:lang w:val="en-GB"/>
        </w:rPr>
        <w:t>ox sits slightly above AND100</w:t>
      </w:r>
      <w:r w:rsidRPr="00474001">
        <w:rPr>
          <w:rFonts w:eastAsiaTheme="minorEastAsia" w:cs="Times New Roman"/>
          <w:lang w:val="en-GB"/>
        </w:rPr>
        <w:t xml:space="preserve">, consistent with </w:t>
      </w:r>
      <w:r w:rsidR="007972E1">
        <w:rPr>
          <w:rFonts w:eastAsiaTheme="minorEastAsia" w:cs="Times New Roman"/>
          <w:lang w:val="en-GB"/>
        </w:rPr>
        <w:t>their respective</w:t>
      </w:r>
      <w:r w:rsidR="00F52E62">
        <w:rPr>
          <w:rFonts w:eastAsiaTheme="minorEastAsia" w:cs="Times New Roman"/>
          <w:lang w:val="en-GB"/>
        </w:rPr>
        <w:t xml:space="preserve"> lower and higher </w:t>
      </w:r>
      <w:r w:rsidRPr="00474001">
        <w:rPr>
          <w:rFonts w:cs="Times New Roman"/>
          <w:lang w:val="en-GB"/>
        </w:rPr>
        <w:t>Fe</w:t>
      </w:r>
      <w:r w:rsidRPr="00474001">
        <w:rPr>
          <w:rFonts w:cs="Times New Roman"/>
          <w:vertAlign w:val="superscript"/>
          <w:lang w:val="en-GB"/>
        </w:rPr>
        <w:t>3+</w:t>
      </w:r>
      <w:r w:rsidRPr="00474001">
        <w:rPr>
          <w:rFonts w:cs="Times New Roman"/>
          <w:lang w:val="en-GB"/>
        </w:rPr>
        <w:t>/∑Fe</w:t>
      </w:r>
      <w:r w:rsidRPr="00474001">
        <w:rPr>
          <w:rFonts w:cs="Times New Roman"/>
          <w:vertAlign w:val="superscript"/>
          <w:lang w:val="en-GB"/>
        </w:rPr>
        <w:t>tot</w:t>
      </w:r>
      <w:r w:rsidRPr="00474001">
        <w:rPr>
          <w:rFonts w:cs="Times New Roman"/>
          <w:lang w:val="en-GB"/>
        </w:rPr>
        <w:t xml:space="preserve"> content and </w:t>
      </w:r>
      <w:r w:rsidRPr="00474001">
        <w:rPr>
          <w:rFonts w:eastAsiaTheme="minorEastAsia" w:cs="Times New Roman"/>
          <w:i/>
          <w:iCs/>
          <w:lang w:val="en-GB"/>
        </w:rPr>
        <w:t>T</w:t>
      </w:r>
      <w:r w:rsidRPr="00474001">
        <w:rPr>
          <w:rFonts w:eastAsiaTheme="minorEastAsia" w:cs="Times New Roman"/>
          <w:i/>
          <w:iCs/>
          <w:vertAlign w:val="subscript"/>
          <w:lang w:val="en-GB"/>
        </w:rPr>
        <w:t>g</w:t>
      </w:r>
      <w:r w:rsidR="007972E1">
        <w:rPr>
          <w:rFonts w:cs="Times New Roman"/>
          <w:lang w:val="en-GB"/>
        </w:rPr>
        <w:t xml:space="preserve"> values</w:t>
      </w:r>
      <w:r w:rsidR="00F52E62">
        <w:rPr>
          <w:rFonts w:cs="Times New Roman"/>
          <w:lang w:val="en-GB"/>
        </w:rPr>
        <w:t>.</w:t>
      </w:r>
    </w:p>
    <w:p w14:paraId="697C6746" w14:textId="15803849" w:rsidR="00E50ABE" w:rsidRDefault="00E50ABE" w:rsidP="00E50ABE">
      <w:pPr>
        <w:pStyle w:val="NormalWeb"/>
      </w:pPr>
      <w:r>
        <w:rPr>
          <w:noProof/>
          <w:lang w:val="de-DE" w:eastAsia="de-DE"/>
        </w:rPr>
        <w:drawing>
          <wp:inline distT="0" distB="0" distL="0" distR="0" wp14:anchorId="39C58497" wp14:editId="4C0248BE">
            <wp:extent cx="5943600" cy="5554980"/>
            <wp:effectExtent l="0" t="0" r="0" b="7620"/>
            <wp:docPr id="17338420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5554980"/>
                    </a:xfrm>
                    <a:prstGeom prst="rect">
                      <a:avLst/>
                    </a:prstGeom>
                    <a:noFill/>
                    <a:ln>
                      <a:noFill/>
                    </a:ln>
                  </pic:spPr>
                </pic:pic>
              </a:graphicData>
            </a:graphic>
          </wp:inline>
        </w:drawing>
      </w:r>
    </w:p>
    <w:p w14:paraId="42A2C719" w14:textId="0C51E1A4" w:rsidR="00E50ABE" w:rsidRDefault="00E50ABE" w:rsidP="00E50ABE">
      <w:pPr>
        <w:spacing w:line="240" w:lineRule="auto"/>
        <w:rPr>
          <w:szCs w:val="24"/>
        </w:rPr>
      </w:pPr>
      <w:r w:rsidRPr="00E50ABE">
        <w:rPr>
          <w:b/>
          <w:bCs/>
          <w:szCs w:val="24"/>
          <w:lang w:val="en-GB"/>
        </w:rPr>
        <w:lastRenderedPageBreak/>
        <w:t>Figure S8.</w:t>
      </w:r>
      <w:r w:rsidRPr="004B387F">
        <w:rPr>
          <w:szCs w:val="24"/>
          <w:lang w:val="en-GB"/>
        </w:rPr>
        <w:t xml:space="preserve"> </w:t>
      </w:r>
      <w:r>
        <w:rPr>
          <w:szCs w:val="24"/>
          <w:lang w:val="en-GB"/>
        </w:rPr>
        <w:t>Viscosity result</w:t>
      </w:r>
      <w:r w:rsidR="009A43D3">
        <w:rPr>
          <w:szCs w:val="24"/>
          <w:lang w:val="en-GB"/>
        </w:rPr>
        <w:t xml:space="preserve"> and MYEGA parametrizations</w:t>
      </w:r>
      <w:r>
        <w:rPr>
          <w:szCs w:val="24"/>
          <w:lang w:val="en-GB"/>
        </w:rPr>
        <w:t xml:space="preserve">. Each colour represents a  </w:t>
      </w:r>
      <w:r w:rsidRPr="001641DA">
        <w:rPr>
          <w:szCs w:val="24"/>
          <w:lang w:val="en-GB"/>
        </w:rPr>
        <w:t xml:space="preserve">distinct </w:t>
      </w:r>
      <w:r>
        <w:rPr>
          <w:szCs w:val="24"/>
          <w:lang w:val="en-GB"/>
        </w:rPr>
        <w:t xml:space="preserve">chemical composition (Table 1). </w:t>
      </w:r>
      <w:r w:rsidRPr="001641DA">
        <w:rPr>
          <w:szCs w:val="24"/>
          <w:lang w:val="en-GB"/>
        </w:rPr>
        <w:t xml:space="preserve">The proposed viscosity models, based on Mauro et al., 2009, are represented by </w:t>
      </w:r>
      <w:r w:rsidR="009A43D3">
        <w:rPr>
          <w:szCs w:val="24"/>
          <w:lang w:val="en-GB"/>
        </w:rPr>
        <w:t xml:space="preserve">straight </w:t>
      </w:r>
      <w:r w:rsidRPr="001641DA">
        <w:rPr>
          <w:szCs w:val="24"/>
          <w:lang w:val="en-GB"/>
        </w:rPr>
        <w:t>lines.</w:t>
      </w:r>
      <w:r>
        <w:rPr>
          <w:szCs w:val="24"/>
          <w:lang w:val="en-GB"/>
        </w:rPr>
        <w:t xml:space="preserve"> Red crosses depict viscosity from Okumura</w:t>
      </w:r>
      <w:r w:rsidRPr="00DF0EDF">
        <w:rPr>
          <w:szCs w:val="24"/>
          <w:lang w:val="en-GB"/>
        </w:rPr>
        <w:t xml:space="preserve"> et al</w:t>
      </w:r>
      <w:r>
        <w:rPr>
          <w:szCs w:val="24"/>
          <w:lang w:val="en-GB"/>
        </w:rPr>
        <w:t>, 2022, s</w:t>
      </w:r>
      <w:r w:rsidRPr="001641DA">
        <w:rPr>
          <w:szCs w:val="24"/>
          <w:lang w:val="en-GB"/>
        </w:rPr>
        <w:t xml:space="preserve">howing a composition similar </w:t>
      </w:r>
      <w:r>
        <w:rPr>
          <w:szCs w:val="24"/>
          <w:lang w:val="en-GB"/>
        </w:rPr>
        <w:t>to our AND100. Red</w:t>
      </w:r>
      <w:r w:rsidR="009A43D3">
        <w:rPr>
          <w:szCs w:val="24"/>
          <w:lang w:val="en-GB"/>
        </w:rPr>
        <w:t xml:space="preserve"> and black</w:t>
      </w:r>
      <w:r>
        <w:rPr>
          <w:szCs w:val="24"/>
          <w:lang w:val="en-GB"/>
        </w:rPr>
        <w:t xml:space="preserve"> dashed line corresponds to the predicted viscosity of </w:t>
      </w:r>
      <w:r w:rsidRPr="004B387F">
        <w:rPr>
          <w:szCs w:val="24"/>
        </w:rPr>
        <w:t xml:space="preserve">Giordano </w:t>
      </w:r>
      <w:r w:rsidRPr="007845B6">
        <w:rPr>
          <w:szCs w:val="24"/>
        </w:rPr>
        <w:t>et al</w:t>
      </w:r>
      <w:r w:rsidRPr="004B387F">
        <w:rPr>
          <w:szCs w:val="24"/>
        </w:rPr>
        <w:t>., 200</w:t>
      </w:r>
      <w:r>
        <w:rPr>
          <w:szCs w:val="24"/>
        </w:rPr>
        <w:t xml:space="preserve">8, for AND100 </w:t>
      </w:r>
      <w:r w:rsidR="009A43D3">
        <w:rPr>
          <w:szCs w:val="24"/>
        </w:rPr>
        <w:t xml:space="preserve">and AND0 </w:t>
      </w:r>
      <w:r>
        <w:rPr>
          <w:szCs w:val="24"/>
        </w:rPr>
        <w:t>composition</w:t>
      </w:r>
      <w:r w:rsidR="009A43D3">
        <w:rPr>
          <w:szCs w:val="24"/>
        </w:rPr>
        <w:t>, respectively</w:t>
      </w:r>
      <w:r>
        <w:rPr>
          <w:szCs w:val="24"/>
        </w:rPr>
        <w:t>.</w:t>
      </w:r>
      <w:r w:rsidR="009A43D3">
        <w:rPr>
          <w:szCs w:val="24"/>
        </w:rPr>
        <w:t xml:space="preserve"> </w:t>
      </w:r>
    </w:p>
    <w:p w14:paraId="18AC3A21" w14:textId="77777777" w:rsidR="00E50ABE" w:rsidRDefault="00E50ABE" w:rsidP="00B6462A">
      <w:pPr>
        <w:spacing w:line="480" w:lineRule="auto"/>
        <w:ind w:firstLine="720"/>
        <w:rPr>
          <w:rFonts w:cs="Times New Roman"/>
          <w:sz w:val="36"/>
          <w:szCs w:val="36"/>
          <w:lang w:val="en-GB"/>
        </w:rPr>
      </w:pPr>
    </w:p>
    <w:p w14:paraId="3C42A8D7" w14:textId="28483289" w:rsidR="00200B72" w:rsidRDefault="00200B72" w:rsidP="00200B72">
      <w:pPr>
        <w:pStyle w:val="Heading2"/>
        <w:spacing w:line="480" w:lineRule="auto"/>
        <w:rPr>
          <w:rFonts w:eastAsiaTheme="minorEastAsia" w:cs="Times New Roman"/>
          <w:lang w:val="en-GB"/>
        </w:rPr>
      </w:pPr>
      <w:r>
        <w:rPr>
          <w:rFonts w:eastAsiaTheme="minorEastAsia" w:cs="Times New Roman"/>
          <w:lang w:val="en-GB"/>
        </w:rPr>
        <w:t>S6</w:t>
      </w:r>
      <w:r w:rsidRPr="00474001">
        <w:rPr>
          <w:rFonts w:eastAsiaTheme="minorEastAsia" w:cs="Times New Roman"/>
          <w:lang w:val="en-GB"/>
        </w:rPr>
        <w:t xml:space="preserve"> </w:t>
      </w:r>
      <w:r>
        <w:rPr>
          <w:rFonts w:eastAsiaTheme="minorEastAsia" w:cs="Times New Roman"/>
          <w:lang w:val="en-GB"/>
        </w:rPr>
        <w:t xml:space="preserve">TEM analysis of </w:t>
      </w:r>
      <w:r w:rsidR="00FE1447">
        <w:rPr>
          <w:rFonts w:eastAsiaTheme="minorEastAsia" w:cs="Times New Roman"/>
          <w:lang w:val="en-GB"/>
        </w:rPr>
        <w:t>p</w:t>
      </w:r>
      <w:r>
        <w:rPr>
          <w:rFonts w:eastAsiaTheme="minorEastAsia" w:cs="Times New Roman"/>
          <w:lang w:val="en-GB"/>
        </w:rPr>
        <w:t xml:space="preserve">ost-micropenetration samples </w:t>
      </w:r>
    </w:p>
    <w:p w14:paraId="057D62F6" w14:textId="33AEB32E" w:rsidR="00341289" w:rsidRPr="00C53ACC" w:rsidRDefault="00341289" w:rsidP="00341289">
      <w:pPr>
        <w:spacing w:line="480" w:lineRule="auto"/>
        <w:ind w:firstLine="720"/>
        <w:rPr>
          <w:rFonts w:eastAsiaTheme="minorEastAsia" w:cs="Times New Roman"/>
          <w:lang w:val="en-GB"/>
        </w:rPr>
      </w:pPr>
      <w:r>
        <w:rPr>
          <w:rFonts w:cs="Times New Roman"/>
          <w:lang w:val="en-GB"/>
        </w:rPr>
        <w:t xml:space="preserve">Diffraction patterns of </w:t>
      </w:r>
      <w:r w:rsidRPr="00C53ACC">
        <w:rPr>
          <w:rFonts w:eastAsiaTheme="minorEastAsia" w:cs="Times New Roman"/>
          <w:lang w:val="en-GB"/>
        </w:rPr>
        <w:t>AND100</w:t>
      </w:r>
      <w:r>
        <w:rPr>
          <w:rFonts w:eastAsiaTheme="minorEastAsia" w:cs="Times New Roman"/>
          <w:lang w:val="en-GB"/>
        </w:rPr>
        <w:t xml:space="preserve"> samples after micropenetration experiments are shown in Fig. S</w:t>
      </w:r>
      <w:r w:rsidR="00F52E62">
        <w:rPr>
          <w:rFonts w:eastAsiaTheme="minorEastAsia" w:cs="Times New Roman"/>
          <w:lang w:val="en-GB"/>
        </w:rPr>
        <w:t>9</w:t>
      </w:r>
      <w:r>
        <w:rPr>
          <w:rFonts w:eastAsiaTheme="minorEastAsia" w:cs="Times New Roman"/>
          <w:lang w:val="en-GB"/>
        </w:rPr>
        <w:t xml:space="preserve">.  </w:t>
      </w:r>
      <w:r w:rsidRPr="00C53ACC">
        <w:rPr>
          <w:rFonts w:cs="Times New Roman"/>
          <w:lang w:val="en-GB"/>
        </w:rPr>
        <w:t xml:space="preserve"> </w:t>
      </w:r>
      <w:r w:rsidRPr="00C53ACC">
        <w:rPr>
          <w:rFonts w:eastAsiaTheme="minorEastAsia" w:cs="Times New Roman"/>
          <w:lang w:val="en-GB"/>
        </w:rPr>
        <w:t>AND100_MP</w:t>
      </w:r>
      <w:r w:rsidRPr="00C53ACC">
        <w:rPr>
          <w:rFonts w:eastAsiaTheme="minorEastAsia" w:cs="Times New Roman"/>
          <w:vertAlign w:val="subscript"/>
          <w:lang w:val="en-GB"/>
        </w:rPr>
        <w:t xml:space="preserve">660 </w:t>
      </w:r>
      <w:r w:rsidRPr="00C53ACC">
        <w:rPr>
          <w:rFonts w:eastAsiaTheme="minorEastAsia" w:cs="Times New Roman"/>
          <w:lang w:val="en-GB"/>
        </w:rPr>
        <w:t xml:space="preserve">displays one diffraction ring (d = 2.532(5) Å) and assigned to the most intense reflection of </w:t>
      </w:r>
      <w:r w:rsidR="00B23D01">
        <w:rPr>
          <w:rFonts w:eastAsiaTheme="minorEastAsia" w:cs="Times New Roman"/>
          <w:lang w:val="en-GB"/>
        </w:rPr>
        <w:t>titano</w:t>
      </w:r>
      <w:r w:rsidRPr="00C53ACC">
        <w:rPr>
          <w:rFonts w:eastAsiaTheme="minorEastAsia" w:cs="Times New Roman"/>
          <w:lang w:val="en-GB"/>
        </w:rPr>
        <w:t>magnetite (311)</w:t>
      </w:r>
      <w:r>
        <w:rPr>
          <w:rFonts w:eastAsiaTheme="minorEastAsia" w:cs="Times New Roman"/>
          <w:lang w:val="en-GB"/>
        </w:rPr>
        <w:t xml:space="preserve"> (Fig. S</w:t>
      </w:r>
      <w:r w:rsidR="00F52E62">
        <w:rPr>
          <w:rFonts w:eastAsiaTheme="minorEastAsia" w:cs="Times New Roman"/>
          <w:lang w:val="en-GB"/>
        </w:rPr>
        <w:t>9</w:t>
      </w:r>
      <w:r>
        <w:rPr>
          <w:rFonts w:eastAsiaTheme="minorEastAsia" w:cs="Times New Roman"/>
          <w:lang w:val="en-GB"/>
        </w:rPr>
        <w:t>a)</w:t>
      </w:r>
      <w:r w:rsidRPr="00C53ACC">
        <w:rPr>
          <w:rFonts w:eastAsiaTheme="minorEastAsia" w:cs="Times New Roman"/>
          <w:lang w:val="en-GB"/>
        </w:rPr>
        <w:t xml:space="preserve">. </w:t>
      </w:r>
      <w:r w:rsidRPr="00C53ACC">
        <w:rPr>
          <w:rFonts w:cs="Times New Roman"/>
          <w:lang w:val="en-GB"/>
        </w:rPr>
        <w:t xml:space="preserve">For </w:t>
      </w:r>
      <w:r w:rsidRPr="00C53ACC">
        <w:rPr>
          <w:rFonts w:eastAsiaTheme="minorEastAsia" w:cs="Times New Roman"/>
          <w:lang w:val="en-GB"/>
        </w:rPr>
        <w:t>AND100_MP</w:t>
      </w:r>
      <w:r w:rsidRPr="00C53ACC">
        <w:rPr>
          <w:rFonts w:eastAsiaTheme="minorEastAsia" w:cs="Times New Roman"/>
          <w:vertAlign w:val="subscript"/>
          <w:lang w:val="en-GB"/>
        </w:rPr>
        <w:t>723</w:t>
      </w:r>
      <w:r w:rsidRPr="00C53ACC">
        <w:rPr>
          <w:rFonts w:eastAsiaTheme="minorEastAsia" w:cs="Times New Roman"/>
          <w:lang w:val="en-GB"/>
        </w:rPr>
        <w:t xml:space="preserve">, we observe the </w:t>
      </w:r>
      <w:r>
        <w:rPr>
          <w:rFonts w:eastAsiaTheme="minorEastAsia" w:cs="Times New Roman"/>
          <w:lang w:val="en-GB"/>
        </w:rPr>
        <w:t>appearance</w:t>
      </w:r>
      <w:r w:rsidRPr="00C53ACC">
        <w:rPr>
          <w:rFonts w:eastAsiaTheme="minorEastAsia" w:cs="Times New Roman"/>
          <w:lang w:val="en-GB"/>
        </w:rPr>
        <w:t xml:space="preserve"> of two extra</w:t>
      </w:r>
      <w:r>
        <w:rPr>
          <w:rFonts w:eastAsiaTheme="minorEastAsia" w:cs="Times New Roman"/>
          <w:lang w:val="en-GB"/>
        </w:rPr>
        <w:t xml:space="preserve"> low-intensity</w:t>
      </w:r>
      <w:r w:rsidRPr="00C53ACC">
        <w:rPr>
          <w:rFonts w:eastAsiaTheme="minorEastAsia" w:cs="Times New Roman"/>
          <w:lang w:val="en-GB"/>
        </w:rPr>
        <w:t xml:space="preserve"> rings with associated d-spacings of 1.484(8) and 2.099(9) Å, assignable to 440 and 400 respectively</w:t>
      </w:r>
      <w:r>
        <w:rPr>
          <w:rFonts w:eastAsiaTheme="minorEastAsia" w:cs="Times New Roman"/>
          <w:lang w:val="en-GB"/>
        </w:rPr>
        <w:t xml:space="preserve"> (Fig. S</w:t>
      </w:r>
      <w:r w:rsidR="00F52E62">
        <w:rPr>
          <w:rFonts w:eastAsiaTheme="minorEastAsia" w:cs="Times New Roman"/>
          <w:lang w:val="en-GB"/>
        </w:rPr>
        <w:t>9</w:t>
      </w:r>
      <w:r>
        <w:rPr>
          <w:rFonts w:eastAsiaTheme="minorEastAsia" w:cs="Times New Roman"/>
          <w:lang w:val="en-GB"/>
        </w:rPr>
        <w:t>b)</w:t>
      </w:r>
      <w:r w:rsidRPr="00C53ACC">
        <w:rPr>
          <w:rFonts w:eastAsiaTheme="minorEastAsia" w:cs="Times New Roman"/>
          <w:lang w:val="en-GB"/>
        </w:rPr>
        <w:t>. These three diffraction rings were even more evident in AND100_MP</w:t>
      </w:r>
      <w:r w:rsidRPr="00C53ACC">
        <w:rPr>
          <w:rFonts w:eastAsiaTheme="minorEastAsia" w:cs="Times New Roman"/>
          <w:vertAlign w:val="subscript"/>
          <w:lang w:val="en-GB"/>
        </w:rPr>
        <w:t xml:space="preserve">808 </w:t>
      </w:r>
      <w:r w:rsidRPr="00C53ACC">
        <w:rPr>
          <w:rFonts w:eastAsiaTheme="minorEastAsia" w:cs="Times New Roman"/>
          <w:lang w:val="en-GB"/>
        </w:rPr>
        <w:t xml:space="preserve">and accompanied by other less intense ones, assigned to 220, 511, 620, and 642 orientations </w:t>
      </w:r>
      <w:r w:rsidRPr="00C53ACC">
        <w:rPr>
          <w:rFonts w:cs="Times New Roman"/>
          <w:lang w:val="en-GB"/>
        </w:rPr>
        <w:fldChar w:fldCharType="begin" w:fldLock="1"/>
      </w:r>
      <w:r w:rsidR="0002472C">
        <w:rPr>
          <w:rFonts w:cs="Times New Roman"/>
          <w:lang w:val="en-GB"/>
        </w:rPr>
        <w:instrText>ADDIN CSL_CITATION {"citationItems":[{"id":"ITEM-1","itemData":{"ISSN":"0003004X","abstract":"The effects of composition and quenching T on the cation distribution in synthetic titanomagnetites were analysed through XRD and neutron diffraction studies.-J.A.Z.","author":[{"dropping-particle":"","family":"Wechsler","given":"B. A.","non-dropping-particle":"","parse-names":false,"suffix":""},{"dropping-particle":"","family":"Lindsley","given":"D. H.","non-dropping-particle":"","parse-names":false,"suffix":""},{"dropping-particle":"","family":"Prewitt","given":"C. T.","non-dropping-particle":"","parse-names":false,"suffix":""}],"container-title":"American Mineralogist","id":"ITEM-1","issue":"7-8","issued":{"date-parts":[["1984"]]},"page":"754-770","title":"Crystal structure and cation distribution in titanomagnetites (Fe3-xTixO4).","type":"article-journal","volume":"69"},"uris":["http://www.mendeley.com/documents/?uuid=44ddea8b-e24f-435c-866d-4180ed19822e"]}],"mendeley":{"formattedCitation":"&lt;sup&gt;26&lt;/sup&gt;","plainTextFormattedCitation":"26","previouslyFormattedCitation":"&lt;sup&gt;26&lt;/sup&gt;"},"properties":{"noteIndex":0},"schema":"https://github.com/citation-style-language/schema/raw/master/csl-citation.json"}</w:instrText>
      </w:r>
      <w:r w:rsidRPr="00C53ACC">
        <w:rPr>
          <w:rFonts w:cs="Times New Roman"/>
          <w:lang w:val="en-GB"/>
        </w:rPr>
        <w:fldChar w:fldCharType="separate"/>
      </w:r>
      <w:r w:rsidR="0002472C" w:rsidRPr="0002472C">
        <w:rPr>
          <w:rFonts w:cs="Times New Roman"/>
          <w:noProof/>
          <w:vertAlign w:val="superscript"/>
          <w:lang w:val="en-GB"/>
        </w:rPr>
        <w:t>26</w:t>
      </w:r>
      <w:r w:rsidRPr="00C53ACC">
        <w:rPr>
          <w:rFonts w:cs="Times New Roman"/>
          <w:lang w:val="en-GB"/>
        </w:rPr>
        <w:fldChar w:fldCharType="end"/>
      </w:r>
      <w:r>
        <w:rPr>
          <w:rFonts w:cs="Times New Roman"/>
          <w:lang w:val="en-GB"/>
        </w:rPr>
        <w:t xml:space="preserve"> (Fig. S</w:t>
      </w:r>
      <w:r w:rsidR="00F52E62">
        <w:rPr>
          <w:rFonts w:cs="Times New Roman"/>
          <w:lang w:val="en-GB"/>
        </w:rPr>
        <w:t>9</w:t>
      </w:r>
      <w:r>
        <w:rPr>
          <w:rFonts w:cs="Times New Roman"/>
          <w:lang w:val="en-GB"/>
        </w:rPr>
        <w:t>c)</w:t>
      </w:r>
      <w:r w:rsidRPr="00C53ACC">
        <w:rPr>
          <w:rFonts w:eastAsiaTheme="minorEastAsia" w:cs="Times New Roman"/>
          <w:lang w:val="en-GB"/>
        </w:rPr>
        <w:t xml:space="preserve">. </w:t>
      </w:r>
      <w:r w:rsidRPr="00C53ACC">
        <w:rPr>
          <w:rFonts w:cs="Times New Roman"/>
          <w:lang w:val="en-GB"/>
        </w:rPr>
        <w:t>Notably, pseudobrookite (Fe</w:t>
      </w:r>
      <w:r w:rsidRPr="00C53ACC">
        <w:rPr>
          <w:rFonts w:cs="Times New Roman"/>
          <w:vertAlign w:val="subscript"/>
          <w:lang w:val="en-GB"/>
        </w:rPr>
        <w:t>2</w:t>
      </w:r>
      <w:r w:rsidRPr="00C53ACC">
        <w:rPr>
          <w:rFonts w:cs="Times New Roman"/>
          <w:lang w:val="en-GB"/>
        </w:rPr>
        <w:t>TiO</w:t>
      </w:r>
      <w:r w:rsidRPr="00C53ACC">
        <w:rPr>
          <w:rFonts w:cs="Times New Roman"/>
          <w:vertAlign w:val="subscript"/>
          <w:lang w:val="en-GB"/>
        </w:rPr>
        <w:t>5</w:t>
      </w:r>
      <w:r w:rsidRPr="00C53ACC">
        <w:rPr>
          <w:rFonts w:cs="Times New Roman"/>
          <w:lang w:val="en-GB"/>
        </w:rPr>
        <w:t xml:space="preserve">) was exclusively </w:t>
      </w:r>
      <w:r>
        <w:rPr>
          <w:rFonts w:cs="Times New Roman"/>
          <w:lang w:val="en-GB"/>
        </w:rPr>
        <w:t>identified</w:t>
      </w:r>
      <w:r w:rsidRPr="00C53ACC">
        <w:rPr>
          <w:rFonts w:cs="Times New Roman"/>
          <w:lang w:val="en-GB"/>
        </w:rPr>
        <w:t xml:space="preserve"> in sample </w:t>
      </w:r>
      <w:r w:rsidRPr="00C53ACC">
        <w:rPr>
          <w:rFonts w:eastAsiaTheme="minorEastAsia" w:cs="Times New Roman"/>
          <w:lang w:val="en-GB"/>
        </w:rPr>
        <w:t>AND100_MP</w:t>
      </w:r>
      <w:r w:rsidRPr="00C53ACC">
        <w:rPr>
          <w:rFonts w:eastAsiaTheme="minorEastAsia" w:cs="Times New Roman"/>
          <w:vertAlign w:val="subscript"/>
          <w:lang w:val="en-GB"/>
        </w:rPr>
        <w:t>808</w:t>
      </w:r>
      <w:r w:rsidRPr="00C53ACC" w:rsidDel="00FC6BEC">
        <w:rPr>
          <w:rFonts w:cs="Times New Roman"/>
          <w:lang w:val="en-GB"/>
        </w:rPr>
        <w:t xml:space="preserve"> </w:t>
      </w:r>
      <w:r w:rsidRPr="00C53ACC">
        <w:rPr>
          <w:rFonts w:cs="Times New Roman"/>
          <w:lang w:val="en-GB"/>
        </w:rPr>
        <w:t xml:space="preserve">(Fig </w:t>
      </w:r>
      <w:r>
        <w:rPr>
          <w:rFonts w:cs="Times New Roman"/>
          <w:lang w:val="en-GB"/>
        </w:rPr>
        <w:t>S</w:t>
      </w:r>
      <w:r w:rsidR="00F52E62">
        <w:rPr>
          <w:rFonts w:cs="Times New Roman"/>
          <w:lang w:val="en-GB"/>
        </w:rPr>
        <w:t>9</w:t>
      </w:r>
      <w:r w:rsidRPr="00C53ACC">
        <w:rPr>
          <w:rFonts w:cs="Times New Roman"/>
          <w:lang w:val="en-GB"/>
        </w:rPr>
        <w:t xml:space="preserve">c) as an individual </w:t>
      </w:r>
      <w:r>
        <w:rPr>
          <w:rFonts w:cs="Times New Roman"/>
          <w:lang w:val="en-GB"/>
        </w:rPr>
        <w:t>diffraction spot</w:t>
      </w:r>
      <w:r w:rsidRPr="00C53ACC">
        <w:rPr>
          <w:rFonts w:cs="Times New Roman"/>
          <w:lang w:val="en-GB"/>
        </w:rPr>
        <w:t>.</w:t>
      </w:r>
    </w:p>
    <w:p w14:paraId="3D747C5C" w14:textId="364A17D0" w:rsidR="00341289" w:rsidRDefault="00341289" w:rsidP="00341289">
      <w:pPr>
        <w:pStyle w:val="NormalWeb"/>
      </w:pPr>
      <w:r>
        <w:rPr>
          <w:noProof/>
          <w:lang w:val="de-DE" w:eastAsia="de-DE"/>
        </w:rPr>
        <w:drawing>
          <wp:inline distT="0" distB="0" distL="0" distR="0" wp14:anchorId="3E78D054" wp14:editId="3BDCF497">
            <wp:extent cx="6202018" cy="1796995"/>
            <wp:effectExtent l="0" t="0" r="0" b="0"/>
            <wp:docPr id="1935027527" name="Picture 2" descr="A black and white image of a pointy no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027527" name="Picture 2" descr="A black and white image of a pointy nose&#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223972" cy="1803356"/>
                    </a:xfrm>
                    <a:prstGeom prst="rect">
                      <a:avLst/>
                    </a:prstGeom>
                    <a:noFill/>
                    <a:ln>
                      <a:noFill/>
                    </a:ln>
                  </pic:spPr>
                </pic:pic>
              </a:graphicData>
            </a:graphic>
          </wp:inline>
        </w:drawing>
      </w:r>
    </w:p>
    <w:p w14:paraId="38D3B6E8" w14:textId="03C8ABA2" w:rsidR="00341289" w:rsidRPr="00D23B80" w:rsidRDefault="00341289" w:rsidP="00341289">
      <w:pPr>
        <w:spacing w:line="240" w:lineRule="auto"/>
        <w:rPr>
          <w:rFonts w:eastAsiaTheme="minorEastAsia"/>
          <w:lang w:val="en-GB"/>
        </w:rPr>
      </w:pPr>
      <w:r w:rsidRPr="00E50ABE">
        <w:rPr>
          <w:rFonts w:eastAsiaTheme="minorEastAsia"/>
          <w:b/>
          <w:bCs/>
          <w:lang w:val="en-GB"/>
        </w:rPr>
        <w:t>Figure S</w:t>
      </w:r>
      <w:r w:rsidR="00E50ABE" w:rsidRPr="00E50ABE">
        <w:rPr>
          <w:rFonts w:eastAsiaTheme="minorEastAsia"/>
          <w:b/>
          <w:bCs/>
          <w:lang w:val="en-GB"/>
        </w:rPr>
        <w:t>9</w:t>
      </w:r>
      <w:r w:rsidRPr="009D543F">
        <w:rPr>
          <w:rFonts w:eastAsiaTheme="minorEastAsia"/>
          <w:lang w:val="en-GB"/>
        </w:rPr>
        <w:t>. TEM diffraction patterns of AND100 samples after micropenetration experiments. a MP</w:t>
      </w:r>
      <w:r w:rsidRPr="009D543F">
        <w:rPr>
          <w:rFonts w:eastAsiaTheme="minorEastAsia"/>
          <w:vertAlign w:val="subscript"/>
          <w:lang w:val="en-GB"/>
        </w:rPr>
        <w:t>660</w:t>
      </w:r>
      <w:r w:rsidRPr="009D543F">
        <w:rPr>
          <w:rFonts w:eastAsiaTheme="minorEastAsia"/>
          <w:lang w:val="en-GB"/>
        </w:rPr>
        <w:t>. b MP</w:t>
      </w:r>
      <w:r w:rsidRPr="009D543F">
        <w:rPr>
          <w:rFonts w:eastAsiaTheme="minorEastAsia"/>
          <w:vertAlign w:val="subscript"/>
          <w:lang w:val="en-GB"/>
        </w:rPr>
        <w:t>723.</w:t>
      </w:r>
      <w:r w:rsidRPr="009D543F">
        <w:rPr>
          <w:rFonts w:eastAsiaTheme="minorEastAsia"/>
          <w:lang w:val="en-GB"/>
        </w:rPr>
        <w:t xml:space="preserve"> c MP</w:t>
      </w:r>
      <w:r w:rsidRPr="009D543F">
        <w:rPr>
          <w:rFonts w:eastAsiaTheme="minorEastAsia"/>
          <w:vertAlign w:val="subscript"/>
          <w:lang w:val="en-GB"/>
        </w:rPr>
        <w:t>807.</w:t>
      </w:r>
      <w:r w:rsidR="00D23B80">
        <w:rPr>
          <w:rFonts w:eastAsiaTheme="minorEastAsia"/>
          <w:vertAlign w:val="subscript"/>
          <w:lang w:val="en-GB"/>
        </w:rPr>
        <w:t xml:space="preserve"> </w:t>
      </w:r>
      <w:r w:rsidR="00D23B80">
        <w:rPr>
          <w:rFonts w:eastAsiaTheme="minorEastAsia"/>
          <w:lang w:val="en-GB"/>
        </w:rPr>
        <w:t xml:space="preserve">Yellow values correspond to </w:t>
      </w:r>
      <w:r w:rsidR="00D23B80" w:rsidRPr="00C53ACC">
        <w:rPr>
          <w:rFonts w:eastAsiaTheme="minorEastAsia" w:cs="Times New Roman"/>
          <w:lang w:val="en-GB"/>
        </w:rPr>
        <w:t>d-spacings</w:t>
      </w:r>
      <w:r w:rsidR="00D23B80">
        <w:rPr>
          <w:rFonts w:eastAsiaTheme="minorEastAsia" w:cs="Times New Roman"/>
          <w:lang w:val="en-GB"/>
        </w:rPr>
        <w:t xml:space="preserve"> associated with titanomagnetite. In red, the identification </w:t>
      </w:r>
      <w:r w:rsidR="00040DCF">
        <w:rPr>
          <w:rFonts w:eastAsiaTheme="minorEastAsia" w:cs="Times New Roman"/>
          <w:lang w:val="en-GB"/>
        </w:rPr>
        <w:t xml:space="preserve">of </w:t>
      </w:r>
      <w:r w:rsidR="00D23B80">
        <w:rPr>
          <w:rFonts w:eastAsiaTheme="minorEastAsia" w:cs="Times New Roman"/>
          <w:lang w:val="en-GB"/>
        </w:rPr>
        <w:t xml:space="preserve">a </w:t>
      </w:r>
      <w:r w:rsidR="00D23B80" w:rsidRPr="00C53ACC">
        <w:rPr>
          <w:rFonts w:eastAsiaTheme="minorEastAsia" w:cs="Times New Roman"/>
          <w:lang w:val="en-GB"/>
        </w:rPr>
        <w:t>d-spacings</w:t>
      </w:r>
      <w:r w:rsidR="00D23B80">
        <w:rPr>
          <w:rFonts w:eastAsiaTheme="minorEastAsia" w:cs="Times New Roman"/>
          <w:lang w:val="en-GB"/>
        </w:rPr>
        <w:t xml:space="preserve"> associated with</w:t>
      </w:r>
      <w:r w:rsidR="00D23B80" w:rsidRPr="00D23B80">
        <w:rPr>
          <w:rFonts w:cs="Times New Roman"/>
          <w:lang w:val="en-GB"/>
        </w:rPr>
        <w:t xml:space="preserve"> </w:t>
      </w:r>
      <w:r w:rsidR="00D23B80" w:rsidRPr="00C53ACC">
        <w:rPr>
          <w:rFonts w:cs="Times New Roman"/>
          <w:lang w:val="en-GB"/>
        </w:rPr>
        <w:t>pseudobrookite (Fe</w:t>
      </w:r>
      <w:r w:rsidR="00D23B80" w:rsidRPr="00C53ACC">
        <w:rPr>
          <w:rFonts w:cs="Times New Roman"/>
          <w:vertAlign w:val="subscript"/>
          <w:lang w:val="en-GB"/>
        </w:rPr>
        <w:t>2</w:t>
      </w:r>
      <w:r w:rsidR="00D23B80" w:rsidRPr="00C53ACC">
        <w:rPr>
          <w:rFonts w:cs="Times New Roman"/>
          <w:lang w:val="en-GB"/>
        </w:rPr>
        <w:t>TiO</w:t>
      </w:r>
      <w:r w:rsidR="00D23B80" w:rsidRPr="00C53ACC">
        <w:rPr>
          <w:rFonts w:cs="Times New Roman"/>
          <w:vertAlign w:val="subscript"/>
          <w:lang w:val="en-GB"/>
        </w:rPr>
        <w:t>5</w:t>
      </w:r>
      <w:r w:rsidR="00D23B80" w:rsidRPr="00C53ACC">
        <w:rPr>
          <w:rFonts w:cs="Times New Roman"/>
          <w:lang w:val="en-GB"/>
        </w:rPr>
        <w:t>)</w:t>
      </w:r>
      <w:r w:rsidR="00D23B80">
        <w:rPr>
          <w:rFonts w:cs="Times New Roman"/>
          <w:lang w:val="en-GB"/>
        </w:rPr>
        <w:t>.</w:t>
      </w:r>
    </w:p>
    <w:p w14:paraId="2F24B183" w14:textId="2D1CA1D2" w:rsidR="00341289" w:rsidRDefault="00341289" w:rsidP="00541DFE">
      <w:pPr>
        <w:spacing w:line="480" w:lineRule="auto"/>
        <w:rPr>
          <w:lang w:val="en-GB"/>
        </w:rPr>
      </w:pPr>
    </w:p>
    <w:p w14:paraId="76874429" w14:textId="429EB086" w:rsidR="00541DFE" w:rsidRDefault="00541DFE" w:rsidP="00EA1026">
      <w:pPr>
        <w:spacing w:line="480" w:lineRule="auto"/>
        <w:ind w:firstLine="720"/>
        <w:rPr>
          <w:lang w:val="en-GB"/>
        </w:rPr>
      </w:pPr>
      <w:r>
        <w:rPr>
          <w:lang w:val="en-GB"/>
        </w:rPr>
        <w:t>Figure S</w:t>
      </w:r>
      <w:r w:rsidR="00F52E62">
        <w:rPr>
          <w:lang w:val="en-GB"/>
        </w:rPr>
        <w:t>10</w:t>
      </w:r>
      <w:r>
        <w:rPr>
          <w:lang w:val="en-GB"/>
        </w:rPr>
        <w:t xml:space="preserve"> shows the pixel segmentation methodology using the </w:t>
      </w:r>
      <w:r w:rsidRPr="009D543F">
        <w:rPr>
          <w:lang w:val="en-GB"/>
        </w:rPr>
        <w:t>ilastik software</w:t>
      </w:r>
      <w:r>
        <w:rPr>
          <w:lang w:val="en-GB"/>
        </w:rPr>
        <w:t xml:space="preserve"> </w:t>
      </w:r>
      <w:r w:rsidRPr="009D543F">
        <w:rPr>
          <w:lang w:val="en-GB"/>
        </w:rPr>
        <w:fldChar w:fldCharType="begin" w:fldLock="1"/>
      </w:r>
      <w:r w:rsidR="0002472C">
        <w:rPr>
          <w:lang w:val="en-GB"/>
        </w:rPr>
        <w:instrText>ADDIN CSL_CITATION {"citationItems":[{"id":"ITEM-1","itemData":{"DOI":"10.1038/s41592-019-0582-9","ISSN":"15487105","PMID":"31570887","abstract":"We present ilastik, an easy-to-use interactive tool that brings machine-learning-based (bio)image analysis to end users without substantial computational expertise. It contains pre-defined workflows for image segmentation, object classification, counting and tracking. Users adapt the workflows to the problem at hand by interactively providing sparse training annotations for a nonlinear classifier. ilastik can process data in up to five dimensions (3D, time and number of channels). Its computational back end runs operations on-demand wherever possible, allowing for interactive prediction on data larger than RAM. Once the classifiers are trained, ilastik workflows can be applied to new data from the command line without further user interaction. We describe all ilastik workflows in detail, including three case studies and a discussion on the expected performance.","author":[{"dropping-particle":"","family":"Berg","given":"Stuart","non-dropping-particle":"","parse-names":false,"suffix":""},{"dropping-particle":"","family":"Kutra","given":"Dominik","non-dropping-particle":"","parse-names":false,"suffix":""},{"dropping-particle":"","family":"Kroeger","given":"Thorben","non-dropping-particle":"","parse-names":false,"suffix":""},{"dropping-particle":"","family":"Straehle","given":"Christoph N.","non-dropping-particle":"","parse-names":false,"suffix":""},{"dropping-particle":"","family":"Kausler","given":"Bernhard X.","non-dropping-particle":"","parse-names":false,"suffix":""},{"dropping-particle":"","family":"Haubold","given":"Carsten","non-dropping-particle":"","parse-names":false,"suffix":""},{"dropping-particle":"","family":"Schiegg","given":"Martin","non-dropping-particle":"","parse-names":false,"suffix":""},{"dropping-particle":"","family":"Ales","given":"Janez","non-dropping-particle":"","parse-names":false,"suffix":""},{"dropping-particle":"","family":"Beier","given":"Thorsten","non-dropping-particle":"","parse-names":false,"suffix":""},{"dropping-particle":"","family":"Rudy","given":"Markus","non-dropping-particle":"","parse-names":false,"suffix":""},{"dropping-particle":"","family":"Eren","given":"Kemal","non-dropping-particle":"","parse-names":false,"suffix":""},{"dropping-particle":"","family":"Cervantes","given":"Jaime I.","non-dropping-particle":"","parse-names":false,"suffix":""},{"dropping-particle":"","family":"Xu","given":"Buote","non-dropping-particle":"","parse-names":false,"suffix":""},{"dropping-particle":"","family":"Beuttenmueller","given":"Fynn","non-dropping-particle":"","parse-names":false,"suffix":""},{"dropping-particle":"","family":"Wolny","given":"Adrian","non-dropping-particle":"","parse-names":false,"suffix":""},{"dropping-particle":"","family":"Zhang","given":"Chong","non-dropping-particle":"","parse-names":false,"suffix":""},{"dropping-particle":"","family":"Koethe","given":"Ullrich","non-dropping-particle":"","parse-names":false,"suffix":""},{"dropping-particle":"","family":"Hamprecht","given":"Fred A.","non-dropping-particle":"","parse-names":false,"suffix":""},{"dropping-particle":"","family":"Kreshuk","given":"Anna","non-dropping-particle":"","parse-names":false,"suffix":""}],"container-title":"Nature Methods","id":"ITEM-1","issue":"12","issued":{"date-parts":[["2019"]]},"page":"1226-1232","publisher":"Springer US","title":"Ilastik: Interactive Machine Learning for (Bio)Image Analysis","type":"article-journal","volume":"16"},"uris":["http://www.mendeley.com/documents/?uuid=860a3383-4a97-4060-b8b0-c2104e799c95"]}],"mendeley":{"formattedCitation":"&lt;sup&gt;27&lt;/sup&gt;","plainTextFormattedCitation":"27","previouslyFormattedCitation":"&lt;sup&gt;27&lt;/sup&gt;"},"properties":{"noteIndex":0},"schema":"https://github.com/citation-style-language/schema/raw/master/csl-citation.json"}</w:instrText>
      </w:r>
      <w:r w:rsidRPr="009D543F">
        <w:rPr>
          <w:lang w:val="en-GB"/>
        </w:rPr>
        <w:fldChar w:fldCharType="separate"/>
      </w:r>
      <w:r w:rsidR="0002472C" w:rsidRPr="0002472C">
        <w:rPr>
          <w:noProof/>
          <w:vertAlign w:val="superscript"/>
          <w:lang w:val="en-GB"/>
        </w:rPr>
        <w:t>27</w:t>
      </w:r>
      <w:r w:rsidRPr="009D543F">
        <w:rPr>
          <w:lang w:val="en-GB"/>
        </w:rPr>
        <w:fldChar w:fldCharType="end"/>
      </w:r>
      <w:r w:rsidRPr="009D543F">
        <w:rPr>
          <w:lang w:val="en-GB"/>
        </w:rPr>
        <w:t>.</w:t>
      </w:r>
      <w:r>
        <w:rPr>
          <w:lang w:val="en-GB"/>
        </w:rPr>
        <w:t xml:space="preserve"> </w:t>
      </w:r>
      <w:r w:rsidR="00EA1026">
        <w:rPr>
          <w:lang w:val="en-GB"/>
        </w:rPr>
        <w:t>STEM-</w:t>
      </w:r>
      <w:r>
        <w:rPr>
          <w:lang w:val="en-GB"/>
        </w:rPr>
        <w:t xml:space="preserve">HAADF images were segmented and separated based </w:t>
      </w:r>
      <w:r w:rsidR="00351C71">
        <w:rPr>
          <w:lang w:val="en-GB"/>
        </w:rPr>
        <w:t>on</w:t>
      </w:r>
      <w:r>
        <w:rPr>
          <w:lang w:val="en-GB"/>
        </w:rPr>
        <w:t xml:space="preserve"> hand-picked contrast thresholds software</w:t>
      </w:r>
      <w:r w:rsidR="00351C71">
        <w:rPr>
          <w:lang w:val="en-GB"/>
        </w:rPr>
        <w:t xml:space="preserve"> </w:t>
      </w:r>
      <w:r w:rsidR="00351C71">
        <w:rPr>
          <w:lang w:val="en-GB"/>
        </w:rPr>
        <w:lastRenderedPageBreak/>
        <w:t>training</w:t>
      </w:r>
      <w:r>
        <w:rPr>
          <w:lang w:val="en-GB"/>
        </w:rPr>
        <w:t xml:space="preserve">. Further, we extracted </w:t>
      </w:r>
      <w:r w:rsidR="00791334">
        <w:rPr>
          <w:lang w:val="en-GB"/>
        </w:rPr>
        <w:t xml:space="preserve">the </w:t>
      </w:r>
      <w:r>
        <w:rPr>
          <w:lang w:val="en-GB"/>
        </w:rPr>
        <w:t>geometrical properties of every single nanolite</w:t>
      </w:r>
      <w:r w:rsidR="00351C71">
        <w:rPr>
          <w:lang w:val="en-GB"/>
        </w:rPr>
        <w:t xml:space="preserve"> </w:t>
      </w:r>
      <w:r w:rsidR="00351C71" w:rsidRPr="00C53ACC">
        <w:rPr>
          <w:rFonts w:cs="Times New Roman"/>
          <w:lang w:val="en-GB"/>
        </w:rPr>
        <w:t>provid</w:t>
      </w:r>
      <w:r w:rsidR="00351C71">
        <w:rPr>
          <w:rFonts w:cs="Times New Roman"/>
          <w:lang w:val="en-GB"/>
        </w:rPr>
        <w:t xml:space="preserve">ing </w:t>
      </w:r>
      <w:r w:rsidR="00351C71" w:rsidRPr="00C53ACC">
        <w:rPr>
          <w:rFonts w:cs="Times New Roman"/>
          <w:lang w:val="en-GB"/>
        </w:rPr>
        <w:t xml:space="preserve">radius, </w:t>
      </w:r>
      <w:r w:rsidR="00123BDB">
        <w:rPr>
          <w:rFonts w:cs="Times New Roman"/>
          <w:lang w:val="en-GB"/>
        </w:rPr>
        <w:t xml:space="preserve">minimum </w:t>
      </w:r>
      <w:r w:rsidR="00351C71" w:rsidRPr="00C53ACC">
        <w:rPr>
          <w:rFonts w:cs="Times New Roman"/>
          <w:lang w:val="en-GB"/>
        </w:rPr>
        <w:t xml:space="preserve">nanolite content (in vol%) and </w:t>
      </w:r>
      <w:r w:rsidR="00123BDB">
        <w:rPr>
          <w:rFonts w:cs="Times New Roman"/>
          <w:lang w:val="en-GB"/>
        </w:rPr>
        <w:t xml:space="preserve">minimum </w:t>
      </w:r>
      <w:r w:rsidR="00351C71" w:rsidRPr="00C53ACC">
        <w:rPr>
          <w:rFonts w:cs="Times New Roman"/>
          <w:lang w:val="en-GB"/>
        </w:rPr>
        <w:t xml:space="preserve">nanolite number density (NND) for </w:t>
      </w:r>
      <w:r w:rsidR="00351C71">
        <w:rPr>
          <w:rFonts w:cs="Times New Roman"/>
          <w:lang w:val="en-GB"/>
        </w:rPr>
        <w:t>the</w:t>
      </w:r>
      <w:r w:rsidR="00351C71" w:rsidRPr="00C53ACC">
        <w:rPr>
          <w:rFonts w:cs="Times New Roman"/>
          <w:lang w:val="en-GB"/>
        </w:rPr>
        <w:t xml:space="preserve"> three AND100 samples subjected to micropenetration</w:t>
      </w:r>
      <w:r w:rsidR="00351C71">
        <w:rPr>
          <w:rFonts w:cs="Times New Roman"/>
          <w:lang w:val="en-GB"/>
        </w:rPr>
        <w:t xml:space="preserve"> (Table S</w:t>
      </w:r>
      <w:r w:rsidR="00BD279E">
        <w:rPr>
          <w:rFonts w:cs="Times New Roman"/>
          <w:lang w:val="en-GB"/>
        </w:rPr>
        <w:t>4</w:t>
      </w:r>
      <w:r w:rsidR="00351C71">
        <w:rPr>
          <w:rFonts w:cs="Times New Roman"/>
          <w:lang w:val="en-GB"/>
        </w:rPr>
        <w:t>)</w:t>
      </w:r>
      <w:r w:rsidR="00351C71">
        <w:rPr>
          <w:lang w:val="en-GB"/>
        </w:rPr>
        <w:t>. It is important to mention that</w:t>
      </w:r>
      <w:r w:rsidR="00351C71" w:rsidRPr="00C53ACC">
        <w:rPr>
          <w:rFonts w:cs="Times New Roman"/>
          <w:lang w:val="en-GB"/>
        </w:rPr>
        <w:t xml:space="preserve"> these results represent a conservative minimum estimation. </w:t>
      </w:r>
    </w:p>
    <w:p w14:paraId="3C224B0F" w14:textId="77777777" w:rsidR="00541DFE" w:rsidRPr="00541DFE" w:rsidRDefault="00541DFE" w:rsidP="00541DFE">
      <w:pPr>
        <w:spacing w:line="480" w:lineRule="auto"/>
        <w:rPr>
          <w:lang w:val="en-GB"/>
        </w:rPr>
      </w:pPr>
    </w:p>
    <w:p w14:paraId="06619842" w14:textId="2F4D878A" w:rsidR="00831B24" w:rsidRDefault="00831B24" w:rsidP="00831B24">
      <w:pPr>
        <w:pStyle w:val="NormalWeb"/>
      </w:pPr>
      <w:r>
        <w:rPr>
          <w:noProof/>
          <w:lang w:val="de-DE" w:eastAsia="de-DE"/>
        </w:rPr>
        <w:drawing>
          <wp:inline distT="0" distB="0" distL="0" distR="0" wp14:anchorId="06084592" wp14:editId="74D37188">
            <wp:extent cx="5943600" cy="1981200"/>
            <wp:effectExtent l="0" t="0" r="0" b="0"/>
            <wp:docPr id="1697875723" name="Picture 4" descr="A blue and yellow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875723" name="Picture 4" descr="A blue and yellow background&#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1981200"/>
                    </a:xfrm>
                    <a:prstGeom prst="rect">
                      <a:avLst/>
                    </a:prstGeom>
                    <a:noFill/>
                    <a:ln>
                      <a:noFill/>
                    </a:ln>
                  </pic:spPr>
                </pic:pic>
              </a:graphicData>
            </a:graphic>
          </wp:inline>
        </w:drawing>
      </w:r>
    </w:p>
    <w:p w14:paraId="5644C6CE" w14:textId="126A6D37" w:rsidR="00541DFE" w:rsidRPr="009D543F" w:rsidRDefault="00541DFE" w:rsidP="00541DFE">
      <w:pPr>
        <w:spacing w:line="240" w:lineRule="auto"/>
        <w:rPr>
          <w:lang w:val="en-GB"/>
        </w:rPr>
      </w:pPr>
      <w:r w:rsidRPr="00E50ABE">
        <w:rPr>
          <w:rFonts w:eastAsiaTheme="minorEastAsia"/>
          <w:b/>
          <w:bCs/>
          <w:lang w:val="en-GB"/>
        </w:rPr>
        <w:t xml:space="preserve">Figure </w:t>
      </w:r>
      <w:r w:rsidR="009F1101" w:rsidRPr="00E50ABE">
        <w:rPr>
          <w:rFonts w:eastAsiaTheme="minorEastAsia"/>
          <w:b/>
          <w:bCs/>
          <w:lang w:val="en-GB"/>
        </w:rPr>
        <w:t>S</w:t>
      </w:r>
      <w:r w:rsidR="00E50ABE">
        <w:rPr>
          <w:rFonts w:eastAsiaTheme="minorEastAsia"/>
          <w:b/>
          <w:bCs/>
          <w:lang w:val="en-GB"/>
        </w:rPr>
        <w:t>10</w:t>
      </w:r>
      <w:r w:rsidRPr="009D543F">
        <w:rPr>
          <w:rFonts w:eastAsiaTheme="minorEastAsia"/>
          <w:lang w:val="en-GB"/>
        </w:rPr>
        <w:t>. a HAADF image of sample AND100_ MP</w:t>
      </w:r>
      <w:r w:rsidRPr="009D543F">
        <w:rPr>
          <w:rFonts w:eastAsiaTheme="minorEastAsia"/>
          <w:vertAlign w:val="subscript"/>
          <w:lang w:val="en-GB"/>
        </w:rPr>
        <w:t>723</w:t>
      </w:r>
      <w:r w:rsidRPr="009D543F">
        <w:rPr>
          <w:rFonts w:eastAsiaTheme="minorEastAsia"/>
          <w:lang w:val="en-GB"/>
        </w:rPr>
        <w:t>. b pixel segmentation of HAADF image c. phase separation of nanolites. P</w:t>
      </w:r>
      <w:r w:rsidRPr="009D543F">
        <w:rPr>
          <w:lang w:val="en-GB"/>
        </w:rPr>
        <w:t xml:space="preserve">ixel segmentation and separation using the ilastik software, version 1.4.0 </w:t>
      </w:r>
      <w:r w:rsidRPr="009D543F">
        <w:rPr>
          <w:lang w:val="en-GB"/>
        </w:rPr>
        <w:fldChar w:fldCharType="begin" w:fldLock="1"/>
      </w:r>
      <w:r w:rsidR="0002472C">
        <w:rPr>
          <w:lang w:val="en-GB"/>
        </w:rPr>
        <w:instrText>ADDIN CSL_CITATION {"citationItems":[{"id":"ITEM-1","itemData":{"DOI":"10.1038/s41592-019-0582-9","ISSN":"15487105","PMID":"31570887","abstract":"We present ilastik, an easy-to-use interactive tool that brings machine-learning-based (bio)image analysis to end users without substantial computational expertise. It contains pre-defined workflows for image segmentation, object classification, counting and tracking. Users adapt the workflows to the problem at hand by interactively providing sparse training annotations for a nonlinear classifier. ilastik can process data in up to five dimensions (3D, time and number of channels). Its computational back end runs operations on-demand wherever possible, allowing for interactive prediction on data larger than RAM. Once the classifiers are trained, ilastik workflows can be applied to new data from the command line without further user interaction. We describe all ilastik workflows in detail, including three case studies and a discussion on the expected performance.","author":[{"dropping-particle":"","family":"Berg","given":"Stuart","non-dropping-particle":"","parse-names":false,"suffix":""},{"dropping-particle":"","family":"Kutra","given":"Dominik","non-dropping-particle":"","parse-names":false,"suffix":""},{"dropping-particle":"","family":"Kroeger","given":"Thorben","non-dropping-particle":"","parse-names":false,"suffix":""},{"dropping-particle":"","family":"Straehle","given":"Christoph N.","non-dropping-particle":"","parse-names":false,"suffix":""},{"dropping-particle":"","family":"Kausler","given":"Bernhard X.","non-dropping-particle":"","parse-names":false,"suffix":""},{"dropping-particle":"","family":"Haubold","given":"Carsten","non-dropping-particle":"","parse-names":false,"suffix":""},{"dropping-particle":"","family":"Schiegg","given":"Martin","non-dropping-particle":"","parse-names":false,"suffix":""},{"dropping-particle":"","family":"Ales","given":"Janez","non-dropping-particle":"","parse-names":false,"suffix":""},{"dropping-particle":"","family":"Beier","given":"Thorsten","non-dropping-particle":"","parse-names":false,"suffix":""},{"dropping-particle":"","family":"Rudy","given":"Markus","non-dropping-particle":"","parse-names":false,"suffix":""},{"dropping-particle":"","family":"Eren","given":"Kemal","non-dropping-particle":"","parse-names":false,"suffix":""},{"dropping-particle":"","family":"Cervantes","given":"Jaime I.","non-dropping-particle":"","parse-names":false,"suffix":""},{"dropping-particle":"","family":"Xu","given":"Buote","non-dropping-particle":"","parse-names":false,"suffix":""},{"dropping-particle":"","family":"Beuttenmueller","given":"Fynn","non-dropping-particle":"","parse-names":false,"suffix":""},{"dropping-particle":"","family":"Wolny","given":"Adrian","non-dropping-particle":"","parse-names":false,"suffix":""},{"dropping-particle":"","family":"Zhang","given":"Chong","non-dropping-particle":"","parse-names":false,"suffix":""},{"dropping-particle":"","family":"Koethe","given":"Ullrich","non-dropping-particle":"","parse-names":false,"suffix":""},{"dropping-particle":"","family":"Hamprecht","given":"Fred A.","non-dropping-particle":"","parse-names":false,"suffix":""},{"dropping-particle":"","family":"Kreshuk","given":"Anna","non-dropping-particle":"","parse-names":false,"suffix":""}],"container-title":"Nature Methods","id":"ITEM-1","issue":"12","issued":{"date-parts":[["2019"]]},"page":"1226-1232","publisher":"Springer US","title":"Ilastik: Interactive Machine Learning for (Bio)Image Analysis","type":"article-journal","volume":"16"},"uris":["http://www.mendeley.com/documents/?uuid=860a3383-4a97-4060-b8b0-c2104e799c95"]}],"mendeley":{"formattedCitation":"&lt;sup&gt;27&lt;/sup&gt;","plainTextFormattedCitation":"27","previouslyFormattedCitation":"&lt;sup&gt;27&lt;/sup&gt;"},"properties":{"noteIndex":0},"schema":"https://github.com/citation-style-language/schema/raw/master/csl-citation.json"}</w:instrText>
      </w:r>
      <w:r w:rsidRPr="009D543F">
        <w:rPr>
          <w:lang w:val="en-GB"/>
        </w:rPr>
        <w:fldChar w:fldCharType="separate"/>
      </w:r>
      <w:r w:rsidR="0002472C" w:rsidRPr="0002472C">
        <w:rPr>
          <w:noProof/>
          <w:vertAlign w:val="superscript"/>
          <w:lang w:val="en-GB"/>
        </w:rPr>
        <w:t>27</w:t>
      </w:r>
      <w:r w:rsidRPr="009D543F">
        <w:rPr>
          <w:lang w:val="en-GB"/>
        </w:rPr>
        <w:fldChar w:fldCharType="end"/>
      </w:r>
      <w:r w:rsidRPr="009D543F">
        <w:rPr>
          <w:lang w:val="en-GB"/>
        </w:rPr>
        <w:t>.</w:t>
      </w:r>
    </w:p>
    <w:p w14:paraId="3DF3D4F6" w14:textId="77777777" w:rsidR="00541DFE" w:rsidRDefault="00541DFE" w:rsidP="00541DFE">
      <w:pPr>
        <w:spacing w:line="480" w:lineRule="auto"/>
        <w:ind w:firstLine="720"/>
        <w:rPr>
          <w:rFonts w:cs="Times New Roman"/>
          <w:lang w:val="en-GB"/>
        </w:rPr>
      </w:pPr>
    </w:p>
    <w:p w14:paraId="61D91386" w14:textId="766EF48B" w:rsidR="00323718" w:rsidRDefault="00323718" w:rsidP="00323718">
      <w:pPr>
        <w:pStyle w:val="NormalWeb"/>
      </w:pPr>
      <w:r>
        <w:rPr>
          <w:noProof/>
          <w:lang w:val="de-DE" w:eastAsia="de-DE"/>
        </w:rPr>
        <w:lastRenderedPageBreak/>
        <w:drawing>
          <wp:inline distT="0" distB="0" distL="0" distR="0" wp14:anchorId="2039BB74" wp14:editId="3E62FC1F">
            <wp:extent cx="5943600" cy="3962400"/>
            <wp:effectExtent l="0" t="0" r="0" b="0"/>
            <wp:docPr id="446704095" name="Picture 5" descr="A group of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704095" name="Picture 5" descr="A group of different colored squares&#10;&#10;Description automatically generated with medium confidenc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5CCD72CD" w14:textId="3940E753" w:rsidR="00323718" w:rsidRDefault="00323718" w:rsidP="00BA3A1F">
      <w:pPr>
        <w:spacing w:after="160"/>
        <w:jc w:val="left"/>
        <w:rPr>
          <w:rFonts w:eastAsiaTheme="minorEastAsia" w:cs="Times New Roman"/>
          <w:lang w:val="en-GB"/>
        </w:rPr>
      </w:pPr>
      <w:bookmarkStart w:id="5" w:name="_Hlk155619478"/>
      <w:r w:rsidRPr="00E50ABE">
        <w:rPr>
          <w:rFonts w:eastAsiaTheme="minorEastAsia" w:cs="Times New Roman"/>
          <w:b/>
          <w:bCs/>
          <w:lang w:val="en-GB"/>
        </w:rPr>
        <w:t>Figure S1</w:t>
      </w:r>
      <w:r w:rsidR="00E50ABE" w:rsidRPr="00E50ABE">
        <w:rPr>
          <w:rFonts w:eastAsiaTheme="minorEastAsia" w:cs="Times New Roman"/>
          <w:b/>
          <w:bCs/>
          <w:lang w:val="en-GB"/>
        </w:rPr>
        <w:t>1</w:t>
      </w:r>
      <w:r>
        <w:rPr>
          <w:rFonts w:eastAsiaTheme="minorEastAsia" w:cs="Times New Roman"/>
          <w:lang w:val="en-GB"/>
        </w:rPr>
        <w:t xml:space="preserve">. </w:t>
      </w:r>
      <w:r w:rsidRPr="00C53ACC">
        <w:rPr>
          <w:rFonts w:eastAsiaTheme="minorEastAsia" w:cs="Times New Roman"/>
          <w:lang w:val="en-GB"/>
        </w:rPr>
        <w:t>HAADF and ED</w:t>
      </w:r>
      <w:r>
        <w:rPr>
          <w:rFonts w:eastAsiaTheme="minorEastAsia" w:cs="Times New Roman"/>
          <w:lang w:val="en-GB"/>
        </w:rPr>
        <w:t>S</w:t>
      </w:r>
      <w:r w:rsidRPr="00C53ACC">
        <w:rPr>
          <w:rFonts w:eastAsiaTheme="minorEastAsia" w:cs="Times New Roman"/>
          <w:lang w:val="en-GB"/>
        </w:rPr>
        <w:t xml:space="preserve"> elemental map of sample AND100_MP</w:t>
      </w:r>
      <w:r>
        <w:rPr>
          <w:rFonts w:eastAsiaTheme="minorEastAsia" w:cs="Times New Roman"/>
          <w:vertAlign w:val="subscript"/>
          <w:lang w:val="en-GB"/>
        </w:rPr>
        <w:t>660</w:t>
      </w:r>
      <w:r w:rsidRPr="00C53ACC">
        <w:rPr>
          <w:rFonts w:eastAsiaTheme="minorEastAsia" w:cs="Times New Roman"/>
          <w:lang w:val="en-GB"/>
        </w:rPr>
        <w:t xml:space="preserve"> showing Fe, Ti, Si, Al, and Fe+Ti+Al distribution.</w:t>
      </w:r>
      <w:r>
        <w:rPr>
          <w:rFonts w:eastAsiaTheme="minorEastAsia" w:cs="Times New Roman"/>
          <w:lang w:val="en-GB"/>
        </w:rPr>
        <w:t xml:space="preserve"> </w:t>
      </w:r>
      <w:bookmarkEnd w:id="5"/>
    </w:p>
    <w:p w14:paraId="08B1D82A" w14:textId="7AF461B1" w:rsidR="00323718" w:rsidRDefault="00323718" w:rsidP="00323718">
      <w:pPr>
        <w:pStyle w:val="NormalWeb"/>
      </w:pPr>
      <w:r>
        <w:rPr>
          <w:noProof/>
          <w:lang w:val="de-DE" w:eastAsia="de-DE"/>
        </w:rPr>
        <w:lastRenderedPageBreak/>
        <w:drawing>
          <wp:inline distT="0" distB="0" distL="0" distR="0" wp14:anchorId="2A6F3E32" wp14:editId="0D4714C4">
            <wp:extent cx="5943600" cy="3962400"/>
            <wp:effectExtent l="0" t="0" r="0" b="0"/>
            <wp:docPr id="120739836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214BE779" w14:textId="61B958E3" w:rsidR="00323718" w:rsidRDefault="00323718" w:rsidP="00BA3A1F">
      <w:pPr>
        <w:spacing w:after="160"/>
        <w:jc w:val="left"/>
        <w:rPr>
          <w:rFonts w:eastAsia="Times New Roman" w:cs="Times New Roman"/>
          <w:b/>
          <w:bCs/>
          <w:color w:val="000000"/>
          <w:sz w:val="20"/>
          <w:szCs w:val="20"/>
        </w:rPr>
        <w:sectPr w:rsidR="00323718" w:rsidSect="00186DBC">
          <w:pgSz w:w="12240" w:h="15840"/>
          <w:pgMar w:top="1440" w:right="1440" w:bottom="1440" w:left="1440" w:header="709" w:footer="709" w:gutter="0"/>
          <w:lnNumType w:countBy="1" w:restart="continuous"/>
          <w:cols w:space="708"/>
          <w:docGrid w:linePitch="360"/>
        </w:sectPr>
      </w:pPr>
      <w:r w:rsidRPr="00E50ABE">
        <w:rPr>
          <w:rFonts w:eastAsiaTheme="minorEastAsia" w:cs="Times New Roman"/>
          <w:b/>
          <w:bCs/>
          <w:lang w:val="en-GB"/>
        </w:rPr>
        <w:t>Figure S1</w:t>
      </w:r>
      <w:r w:rsidR="00E50ABE">
        <w:rPr>
          <w:rFonts w:eastAsiaTheme="minorEastAsia" w:cs="Times New Roman"/>
          <w:b/>
          <w:bCs/>
          <w:lang w:val="en-GB"/>
        </w:rPr>
        <w:t>2</w:t>
      </w:r>
      <w:r>
        <w:rPr>
          <w:rFonts w:eastAsiaTheme="minorEastAsia" w:cs="Times New Roman"/>
          <w:lang w:val="en-GB"/>
        </w:rPr>
        <w:t xml:space="preserve">. </w:t>
      </w:r>
      <w:r w:rsidRPr="00C53ACC">
        <w:rPr>
          <w:rFonts w:eastAsiaTheme="minorEastAsia" w:cs="Times New Roman"/>
          <w:lang w:val="en-GB"/>
        </w:rPr>
        <w:t>HAADF and ED</w:t>
      </w:r>
      <w:r>
        <w:rPr>
          <w:rFonts w:eastAsiaTheme="minorEastAsia" w:cs="Times New Roman"/>
          <w:lang w:val="en-GB"/>
        </w:rPr>
        <w:t>S</w:t>
      </w:r>
      <w:r w:rsidRPr="00C53ACC">
        <w:rPr>
          <w:rFonts w:eastAsiaTheme="minorEastAsia" w:cs="Times New Roman"/>
          <w:lang w:val="en-GB"/>
        </w:rPr>
        <w:t xml:space="preserve"> elemental map of sample AND100_MP</w:t>
      </w:r>
      <w:r>
        <w:rPr>
          <w:rFonts w:eastAsiaTheme="minorEastAsia" w:cs="Times New Roman"/>
          <w:vertAlign w:val="subscript"/>
          <w:lang w:val="en-GB"/>
        </w:rPr>
        <w:t>723</w:t>
      </w:r>
      <w:r w:rsidRPr="00C53ACC">
        <w:rPr>
          <w:rFonts w:eastAsiaTheme="minorEastAsia" w:cs="Times New Roman"/>
          <w:lang w:val="en-GB"/>
        </w:rPr>
        <w:t xml:space="preserve"> showing Fe, Ti, Si, Al, and Fe+Ti+Al distribution.</w:t>
      </w:r>
    </w:p>
    <w:p w14:paraId="20DFEFF4" w14:textId="710E287F" w:rsidR="00415A12" w:rsidRPr="00415A12" w:rsidRDefault="00415A12" w:rsidP="008E2D7D">
      <w:pPr>
        <w:spacing w:line="240" w:lineRule="auto"/>
        <w:rPr>
          <w:rFonts w:eastAsiaTheme="minorEastAsia"/>
          <w:b/>
          <w:bCs/>
          <w:vertAlign w:val="subscript"/>
          <w:lang w:val="en-GB"/>
        </w:rPr>
      </w:pPr>
    </w:p>
    <w:tbl>
      <w:tblPr>
        <w:tblW w:w="13604" w:type="dxa"/>
        <w:tblLook w:val="04A0" w:firstRow="1" w:lastRow="0" w:firstColumn="1" w:lastColumn="0" w:noHBand="0" w:noVBand="1"/>
      </w:tblPr>
      <w:tblGrid>
        <w:gridCol w:w="876"/>
        <w:gridCol w:w="1479"/>
        <w:gridCol w:w="666"/>
        <w:gridCol w:w="780"/>
        <w:gridCol w:w="895"/>
        <w:gridCol w:w="780"/>
        <w:gridCol w:w="780"/>
        <w:gridCol w:w="896"/>
        <w:gridCol w:w="896"/>
        <w:gridCol w:w="896"/>
        <w:gridCol w:w="896"/>
        <w:gridCol w:w="1036"/>
        <w:gridCol w:w="896"/>
        <w:gridCol w:w="679"/>
        <w:gridCol w:w="1196"/>
      </w:tblGrid>
      <w:tr w:rsidR="00BE2462" w:rsidRPr="00BE2462" w14:paraId="44DED685" w14:textId="77777777" w:rsidTr="00BE2462">
        <w:trPr>
          <w:trHeight w:val="255"/>
        </w:trPr>
        <w:tc>
          <w:tcPr>
            <w:tcW w:w="6256" w:type="dxa"/>
            <w:gridSpan w:val="7"/>
            <w:tcBorders>
              <w:top w:val="nil"/>
              <w:left w:val="nil"/>
              <w:bottom w:val="nil"/>
              <w:right w:val="nil"/>
            </w:tcBorders>
            <w:shd w:val="clear" w:color="000000" w:fill="FFFFFF"/>
            <w:noWrap/>
            <w:vAlign w:val="bottom"/>
            <w:hideMark/>
          </w:tcPr>
          <w:p w14:paraId="1CE92DC7" w14:textId="77777777" w:rsidR="00BE2462" w:rsidRPr="00BE2462" w:rsidRDefault="00BE2462" w:rsidP="00BE2462">
            <w:pPr>
              <w:spacing w:line="240" w:lineRule="auto"/>
              <w:jc w:val="left"/>
              <w:rPr>
                <w:rFonts w:eastAsia="Times New Roman" w:cs="Times New Roman"/>
                <w:color w:val="000000"/>
                <w:sz w:val="16"/>
                <w:szCs w:val="16"/>
              </w:rPr>
            </w:pPr>
            <w:r w:rsidRPr="00E50ABE">
              <w:rPr>
                <w:rFonts w:eastAsia="Times New Roman" w:cs="Times New Roman"/>
                <w:b/>
                <w:bCs/>
                <w:color w:val="000000"/>
                <w:sz w:val="16"/>
                <w:szCs w:val="16"/>
              </w:rPr>
              <w:t>Table S4</w:t>
            </w:r>
            <w:r w:rsidRPr="00BE2462">
              <w:rPr>
                <w:rFonts w:eastAsia="Times New Roman" w:cs="Times New Roman"/>
                <w:color w:val="000000"/>
                <w:sz w:val="16"/>
                <w:szCs w:val="16"/>
              </w:rPr>
              <w:t xml:space="preserve">. Post-micropenetration EDS (STEM) results for AND100 samples. </w:t>
            </w:r>
          </w:p>
        </w:tc>
        <w:tc>
          <w:tcPr>
            <w:tcW w:w="896" w:type="dxa"/>
            <w:tcBorders>
              <w:top w:val="nil"/>
              <w:left w:val="nil"/>
              <w:bottom w:val="nil"/>
              <w:right w:val="nil"/>
            </w:tcBorders>
            <w:shd w:val="clear" w:color="000000" w:fill="FFFFFF"/>
            <w:noWrap/>
            <w:vAlign w:val="bottom"/>
            <w:hideMark/>
          </w:tcPr>
          <w:p w14:paraId="388DF373"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bottom"/>
            <w:hideMark/>
          </w:tcPr>
          <w:p w14:paraId="38C1598C"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bottom"/>
            <w:hideMark/>
          </w:tcPr>
          <w:p w14:paraId="6C95105F"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bottom"/>
            <w:hideMark/>
          </w:tcPr>
          <w:p w14:paraId="2DA1F56A"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036" w:type="dxa"/>
            <w:tcBorders>
              <w:top w:val="nil"/>
              <w:left w:val="nil"/>
              <w:bottom w:val="nil"/>
              <w:right w:val="nil"/>
            </w:tcBorders>
            <w:shd w:val="clear" w:color="000000" w:fill="FFFFFF"/>
            <w:noWrap/>
            <w:vAlign w:val="bottom"/>
            <w:hideMark/>
          </w:tcPr>
          <w:p w14:paraId="3950A260"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bottom"/>
            <w:hideMark/>
          </w:tcPr>
          <w:p w14:paraId="6571FF8F"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36" w:type="dxa"/>
            <w:tcBorders>
              <w:top w:val="nil"/>
              <w:left w:val="nil"/>
              <w:bottom w:val="nil"/>
              <w:right w:val="nil"/>
            </w:tcBorders>
            <w:shd w:val="clear" w:color="000000" w:fill="FFFFFF"/>
            <w:noWrap/>
            <w:vAlign w:val="bottom"/>
            <w:hideMark/>
          </w:tcPr>
          <w:p w14:paraId="6166041D"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196" w:type="dxa"/>
            <w:tcBorders>
              <w:top w:val="nil"/>
              <w:left w:val="nil"/>
              <w:bottom w:val="nil"/>
              <w:right w:val="nil"/>
            </w:tcBorders>
            <w:shd w:val="clear" w:color="000000" w:fill="FFFFFF"/>
            <w:noWrap/>
            <w:vAlign w:val="bottom"/>
            <w:hideMark/>
          </w:tcPr>
          <w:p w14:paraId="21B8AD58"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r>
      <w:tr w:rsidR="00BE2462" w:rsidRPr="0028433D" w14:paraId="3CCB2310" w14:textId="77777777" w:rsidTr="00BE2462">
        <w:trPr>
          <w:trHeight w:val="705"/>
        </w:trPr>
        <w:tc>
          <w:tcPr>
            <w:tcW w:w="876" w:type="dxa"/>
            <w:tcBorders>
              <w:top w:val="single" w:sz="4" w:space="0" w:color="auto"/>
              <w:left w:val="nil"/>
              <w:bottom w:val="single" w:sz="8" w:space="0" w:color="auto"/>
              <w:right w:val="nil"/>
            </w:tcBorders>
            <w:shd w:val="clear" w:color="000000" w:fill="FFFFFF"/>
            <w:vAlign w:val="center"/>
            <w:hideMark/>
          </w:tcPr>
          <w:p w14:paraId="33D88615" w14:textId="77777777" w:rsidR="00BE2462" w:rsidRPr="00BE2462" w:rsidRDefault="00BE2462" w:rsidP="00BE2462">
            <w:pPr>
              <w:spacing w:line="240" w:lineRule="auto"/>
              <w:jc w:val="left"/>
              <w:rPr>
                <w:rFonts w:eastAsia="Times New Roman" w:cs="Times New Roman"/>
                <w:b/>
                <w:bCs/>
                <w:color w:val="000000"/>
                <w:sz w:val="16"/>
                <w:szCs w:val="16"/>
              </w:rPr>
            </w:pPr>
            <w:r w:rsidRPr="00BE2462">
              <w:rPr>
                <w:rFonts w:eastAsia="Times New Roman" w:cs="Times New Roman"/>
                <w:b/>
                <w:bCs/>
                <w:color w:val="000000"/>
                <w:sz w:val="16"/>
                <w:szCs w:val="16"/>
              </w:rPr>
              <w:t>Sample label</w:t>
            </w:r>
          </w:p>
        </w:tc>
        <w:tc>
          <w:tcPr>
            <w:tcW w:w="1479" w:type="dxa"/>
            <w:tcBorders>
              <w:top w:val="single" w:sz="4" w:space="0" w:color="auto"/>
              <w:left w:val="nil"/>
              <w:bottom w:val="single" w:sz="8" w:space="0" w:color="auto"/>
              <w:right w:val="nil"/>
            </w:tcBorders>
            <w:shd w:val="clear" w:color="000000" w:fill="FFFFFF"/>
            <w:vAlign w:val="center"/>
            <w:hideMark/>
          </w:tcPr>
          <w:p w14:paraId="149C9E56" w14:textId="77777777" w:rsidR="00BE2462" w:rsidRPr="00BE2462" w:rsidRDefault="00BE2462" w:rsidP="00BE2462">
            <w:pPr>
              <w:spacing w:line="240" w:lineRule="auto"/>
              <w:jc w:val="left"/>
              <w:rPr>
                <w:rFonts w:eastAsia="Times New Roman" w:cs="Times New Roman"/>
                <w:b/>
                <w:bCs/>
                <w:color w:val="000000"/>
                <w:sz w:val="16"/>
                <w:szCs w:val="16"/>
              </w:rPr>
            </w:pPr>
            <w:r w:rsidRPr="00BE2462">
              <w:rPr>
                <w:rFonts w:eastAsia="Times New Roman" w:cs="Times New Roman"/>
                <w:b/>
                <w:bCs/>
                <w:color w:val="000000"/>
                <w:sz w:val="16"/>
                <w:szCs w:val="16"/>
              </w:rPr>
              <w:t>Region</w:t>
            </w:r>
          </w:p>
        </w:tc>
        <w:tc>
          <w:tcPr>
            <w:tcW w:w="666" w:type="dxa"/>
            <w:tcBorders>
              <w:top w:val="single" w:sz="4" w:space="0" w:color="auto"/>
              <w:left w:val="nil"/>
              <w:bottom w:val="single" w:sz="8" w:space="0" w:color="auto"/>
              <w:right w:val="nil"/>
            </w:tcBorders>
            <w:shd w:val="clear" w:color="000000" w:fill="FFFFFF"/>
            <w:noWrap/>
            <w:vAlign w:val="center"/>
            <w:hideMark/>
          </w:tcPr>
          <w:p w14:paraId="57730063" w14:textId="77777777" w:rsidR="00BE2462" w:rsidRPr="00BE2462" w:rsidRDefault="00BE2462" w:rsidP="00BE2462">
            <w:pPr>
              <w:spacing w:line="240" w:lineRule="auto"/>
              <w:jc w:val="center"/>
              <w:rPr>
                <w:rFonts w:eastAsia="Times New Roman" w:cs="Times New Roman"/>
                <w:b/>
                <w:bCs/>
                <w:color w:val="000000"/>
                <w:sz w:val="16"/>
                <w:szCs w:val="16"/>
              </w:rPr>
            </w:pPr>
            <w:r w:rsidRPr="00BE2462">
              <w:rPr>
                <w:rFonts w:eastAsia="Times New Roman" w:cs="Times New Roman"/>
                <w:b/>
                <w:bCs/>
                <w:color w:val="000000"/>
                <w:sz w:val="16"/>
                <w:szCs w:val="16"/>
              </w:rPr>
              <w:t>SiO</w:t>
            </w:r>
            <w:r w:rsidRPr="00BE2462">
              <w:rPr>
                <w:rFonts w:eastAsia="Times New Roman" w:cs="Times New Roman"/>
                <w:b/>
                <w:bCs/>
                <w:color w:val="000000"/>
                <w:sz w:val="16"/>
                <w:szCs w:val="16"/>
                <w:vertAlign w:val="subscript"/>
              </w:rPr>
              <w:t>2</w:t>
            </w:r>
          </w:p>
        </w:tc>
        <w:tc>
          <w:tcPr>
            <w:tcW w:w="780" w:type="dxa"/>
            <w:tcBorders>
              <w:top w:val="single" w:sz="4" w:space="0" w:color="auto"/>
              <w:left w:val="nil"/>
              <w:bottom w:val="single" w:sz="8" w:space="0" w:color="auto"/>
              <w:right w:val="nil"/>
            </w:tcBorders>
            <w:shd w:val="clear" w:color="000000" w:fill="FFFFFF"/>
            <w:noWrap/>
            <w:vAlign w:val="center"/>
            <w:hideMark/>
          </w:tcPr>
          <w:p w14:paraId="71E2CA2D" w14:textId="77777777" w:rsidR="00BE2462" w:rsidRPr="00BE2462" w:rsidRDefault="00BE2462" w:rsidP="00BE2462">
            <w:pPr>
              <w:spacing w:line="240" w:lineRule="auto"/>
              <w:jc w:val="center"/>
              <w:rPr>
                <w:rFonts w:eastAsia="Times New Roman" w:cs="Times New Roman"/>
                <w:b/>
                <w:bCs/>
                <w:color w:val="000000"/>
                <w:sz w:val="16"/>
                <w:szCs w:val="16"/>
              </w:rPr>
            </w:pPr>
            <w:r w:rsidRPr="00BE2462">
              <w:rPr>
                <w:rFonts w:eastAsia="Times New Roman" w:cs="Times New Roman"/>
                <w:b/>
                <w:bCs/>
                <w:color w:val="000000"/>
                <w:sz w:val="16"/>
                <w:szCs w:val="16"/>
              </w:rPr>
              <w:t>TiO</w:t>
            </w:r>
            <w:r w:rsidRPr="00BE2462">
              <w:rPr>
                <w:rFonts w:eastAsia="Times New Roman" w:cs="Times New Roman"/>
                <w:b/>
                <w:bCs/>
                <w:color w:val="000000"/>
                <w:sz w:val="16"/>
                <w:szCs w:val="16"/>
                <w:vertAlign w:val="subscript"/>
              </w:rPr>
              <w:t>2</w:t>
            </w:r>
          </w:p>
        </w:tc>
        <w:tc>
          <w:tcPr>
            <w:tcW w:w="895" w:type="dxa"/>
            <w:tcBorders>
              <w:top w:val="single" w:sz="4" w:space="0" w:color="auto"/>
              <w:left w:val="nil"/>
              <w:bottom w:val="single" w:sz="8" w:space="0" w:color="auto"/>
              <w:right w:val="nil"/>
            </w:tcBorders>
            <w:shd w:val="clear" w:color="000000" w:fill="FFFFFF"/>
            <w:noWrap/>
            <w:vAlign w:val="center"/>
            <w:hideMark/>
          </w:tcPr>
          <w:p w14:paraId="247315FD" w14:textId="77777777" w:rsidR="00BE2462" w:rsidRPr="00BE2462" w:rsidRDefault="00BE2462" w:rsidP="00BE2462">
            <w:pPr>
              <w:spacing w:line="240" w:lineRule="auto"/>
              <w:jc w:val="center"/>
              <w:rPr>
                <w:rFonts w:eastAsia="Times New Roman" w:cs="Times New Roman"/>
                <w:b/>
                <w:bCs/>
                <w:color w:val="000000"/>
                <w:sz w:val="16"/>
                <w:szCs w:val="16"/>
              </w:rPr>
            </w:pPr>
            <w:r w:rsidRPr="00BE2462">
              <w:rPr>
                <w:rFonts w:eastAsia="Times New Roman" w:cs="Times New Roman"/>
                <w:b/>
                <w:bCs/>
                <w:color w:val="000000"/>
                <w:sz w:val="16"/>
                <w:szCs w:val="16"/>
              </w:rPr>
              <w:t>Al</w:t>
            </w:r>
            <w:r w:rsidRPr="00BE2462">
              <w:rPr>
                <w:rFonts w:eastAsia="Times New Roman" w:cs="Times New Roman"/>
                <w:b/>
                <w:bCs/>
                <w:color w:val="000000"/>
                <w:sz w:val="16"/>
                <w:szCs w:val="16"/>
                <w:vertAlign w:val="subscript"/>
              </w:rPr>
              <w:t>2</w:t>
            </w:r>
            <w:r w:rsidRPr="00BE2462">
              <w:rPr>
                <w:rFonts w:eastAsia="Times New Roman" w:cs="Times New Roman"/>
                <w:b/>
                <w:bCs/>
                <w:color w:val="000000"/>
                <w:sz w:val="16"/>
                <w:szCs w:val="16"/>
              </w:rPr>
              <w:t>O</w:t>
            </w:r>
            <w:r w:rsidRPr="00BE2462">
              <w:rPr>
                <w:rFonts w:eastAsia="Times New Roman" w:cs="Times New Roman"/>
                <w:b/>
                <w:bCs/>
                <w:color w:val="000000"/>
                <w:sz w:val="16"/>
                <w:szCs w:val="16"/>
                <w:vertAlign w:val="subscript"/>
              </w:rPr>
              <w:t>3</w:t>
            </w:r>
          </w:p>
        </w:tc>
        <w:tc>
          <w:tcPr>
            <w:tcW w:w="780" w:type="dxa"/>
            <w:tcBorders>
              <w:top w:val="single" w:sz="4" w:space="0" w:color="auto"/>
              <w:left w:val="nil"/>
              <w:bottom w:val="single" w:sz="8" w:space="0" w:color="auto"/>
              <w:right w:val="nil"/>
            </w:tcBorders>
            <w:shd w:val="clear" w:color="000000" w:fill="FFFFFF"/>
            <w:noWrap/>
            <w:vAlign w:val="center"/>
            <w:hideMark/>
          </w:tcPr>
          <w:p w14:paraId="6E1F4547" w14:textId="77777777" w:rsidR="00BE2462" w:rsidRPr="00BE2462" w:rsidRDefault="00BE2462" w:rsidP="00BE2462">
            <w:pPr>
              <w:spacing w:line="240" w:lineRule="auto"/>
              <w:jc w:val="center"/>
              <w:rPr>
                <w:rFonts w:eastAsia="Times New Roman" w:cs="Times New Roman"/>
                <w:b/>
                <w:bCs/>
                <w:color w:val="000000"/>
                <w:sz w:val="16"/>
                <w:szCs w:val="16"/>
              </w:rPr>
            </w:pPr>
            <w:r w:rsidRPr="00BE2462">
              <w:rPr>
                <w:rFonts w:eastAsia="Times New Roman" w:cs="Times New Roman"/>
                <w:b/>
                <w:bCs/>
                <w:color w:val="000000"/>
                <w:sz w:val="16"/>
                <w:szCs w:val="16"/>
              </w:rPr>
              <w:t>FeO</w:t>
            </w:r>
            <w:r w:rsidRPr="00BE2462">
              <w:rPr>
                <w:rFonts w:eastAsia="Times New Roman" w:cs="Times New Roman"/>
                <w:b/>
                <w:bCs/>
                <w:color w:val="000000"/>
                <w:sz w:val="16"/>
                <w:szCs w:val="16"/>
                <w:vertAlign w:val="subscript"/>
              </w:rPr>
              <w:t>tot</w:t>
            </w:r>
          </w:p>
        </w:tc>
        <w:tc>
          <w:tcPr>
            <w:tcW w:w="780" w:type="dxa"/>
            <w:tcBorders>
              <w:top w:val="single" w:sz="4" w:space="0" w:color="auto"/>
              <w:left w:val="nil"/>
              <w:bottom w:val="single" w:sz="8" w:space="0" w:color="auto"/>
              <w:right w:val="nil"/>
            </w:tcBorders>
            <w:shd w:val="clear" w:color="000000" w:fill="FFFFFF"/>
            <w:noWrap/>
            <w:vAlign w:val="center"/>
            <w:hideMark/>
          </w:tcPr>
          <w:p w14:paraId="40B1A1BD" w14:textId="77777777" w:rsidR="00BE2462" w:rsidRPr="00BE2462" w:rsidRDefault="00BE2462" w:rsidP="00BE2462">
            <w:pPr>
              <w:spacing w:line="240" w:lineRule="auto"/>
              <w:jc w:val="center"/>
              <w:rPr>
                <w:rFonts w:eastAsia="Times New Roman" w:cs="Times New Roman"/>
                <w:b/>
                <w:bCs/>
                <w:color w:val="000000"/>
                <w:sz w:val="16"/>
                <w:szCs w:val="16"/>
              </w:rPr>
            </w:pPr>
            <w:r w:rsidRPr="00BE2462">
              <w:rPr>
                <w:rFonts w:eastAsia="Times New Roman" w:cs="Times New Roman"/>
                <w:b/>
                <w:bCs/>
                <w:color w:val="000000"/>
                <w:sz w:val="16"/>
                <w:szCs w:val="16"/>
              </w:rPr>
              <w:t>MgO</w:t>
            </w:r>
          </w:p>
        </w:tc>
        <w:tc>
          <w:tcPr>
            <w:tcW w:w="896" w:type="dxa"/>
            <w:tcBorders>
              <w:top w:val="single" w:sz="4" w:space="0" w:color="auto"/>
              <w:left w:val="nil"/>
              <w:bottom w:val="single" w:sz="8" w:space="0" w:color="auto"/>
              <w:right w:val="nil"/>
            </w:tcBorders>
            <w:shd w:val="clear" w:color="000000" w:fill="FFFFFF"/>
            <w:noWrap/>
            <w:vAlign w:val="center"/>
            <w:hideMark/>
          </w:tcPr>
          <w:p w14:paraId="7996ADB1" w14:textId="77777777" w:rsidR="00BE2462" w:rsidRPr="00BE2462" w:rsidRDefault="00BE2462" w:rsidP="00BE2462">
            <w:pPr>
              <w:spacing w:line="240" w:lineRule="auto"/>
              <w:jc w:val="center"/>
              <w:rPr>
                <w:rFonts w:eastAsia="Times New Roman" w:cs="Times New Roman"/>
                <w:b/>
                <w:bCs/>
                <w:color w:val="000000"/>
                <w:sz w:val="16"/>
                <w:szCs w:val="16"/>
              </w:rPr>
            </w:pPr>
            <w:r w:rsidRPr="00BE2462">
              <w:rPr>
                <w:rFonts w:eastAsia="Times New Roman" w:cs="Times New Roman"/>
                <w:b/>
                <w:bCs/>
                <w:color w:val="000000"/>
                <w:sz w:val="16"/>
                <w:szCs w:val="16"/>
              </w:rPr>
              <w:t>CaO</w:t>
            </w:r>
          </w:p>
        </w:tc>
        <w:tc>
          <w:tcPr>
            <w:tcW w:w="896" w:type="dxa"/>
            <w:tcBorders>
              <w:top w:val="single" w:sz="4" w:space="0" w:color="auto"/>
              <w:left w:val="nil"/>
              <w:bottom w:val="single" w:sz="8" w:space="0" w:color="auto"/>
              <w:right w:val="nil"/>
            </w:tcBorders>
            <w:shd w:val="clear" w:color="000000" w:fill="FFFFFF"/>
            <w:noWrap/>
            <w:vAlign w:val="center"/>
            <w:hideMark/>
          </w:tcPr>
          <w:p w14:paraId="24925DEE" w14:textId="77777777" w:rsidR="00BE2462" w:rsidRPr="00BE2462" w:rsidRDefault="00BE2462" w:rsidP="00BE2462">
            <w:pPr>
              <w:spacing w:line="240" w:lineRule="auto"/>
              <w:jc w:val="center"/>
              <w:rPr>
                <w:rFonts w:eastAsia="Times New Roman" w:cs="Times New Roman"/>
                <w:b/>
                <w:bCs/>
                <w:color w:val="000000"/>
                <w:sz w:val="16"/>
                <w:szCs w:val="16"/>
              </w:rPr>
            </w:pPr>
            <w:r w:rsidRPr="00BE2462">
              <w:rPr>
                <w:rFonts w:eastAsia="Times New Roman" w:cs="Times New Roman"/>
                <w:b/>
                <w:bCs/>
                <w:color w:val="000000"/>
                <w:sz w:val="16"/>
                <w:szCs w:val="16"/>
              </w:rPr>
              <w:t>Na</w:t>
            </w:r>
            <w:r w:rsidRPr="00BE2462">
              <w:rPr>
                <w:rFonts w:eastAsia="Times New Roman" w:cs="Times New Roman"/>
                <w:b/>
                <w:bCs/>
                <w:color w:val="000000"/>
                <w:sz w:val="16"/>
                <w:szCs w:val="16"/>
                <w:vertAlign w:val="subscript"/>
              </w:rPr>
              <w:t>2</w:t>
            </w:r>
            <w:r w:rsidRPr="00BE2462">
              <w:rPr>
                <w:rFonts w:eastAsia="Times New Roman" w:cs="Times New Roman"/>
                <w:b/>
                <w:bCs/>
                <w:color w:val="000000"/>
                <w:sz w:val="16"/>
                <w:szCs w:val="16"/>
              </w:rPr>
              <w:t>O</w:t>
            </w:r>
          </w:p>
        </w:tc>
        <w:tc>
          <w:tcPr>
            <w:tcW w:w="896" w:type="dxa"/>
            <w:tcBorders>
              <w:top w:val="single" w:sz="4" w:space="0" w:color="auto"/>
              <w:left w:val="nil"/>
              <w:bottom w:val="single" w:sz="8" w:space="0" w:color="auto"/>
              <w:right w:val="nil"/>
            </w:tcBorders>
            <w:shd w:val="clear" w:color="000000" w:fill="FFFFFF"/>
            <w:noWrap/>
            <w:vAlign w:val="center"/>
            <w:hideMark/>
          </w:tcPr>
          <w:p w14:paraId="1E2A4C67" w14:textId="77777777" w:rsidR="00BE2462" w:rsidRPr="00BE2462" w:rsidRDefault="00BE2462" w:rsidP="00BE2462">
            <w:pPr>
              <w:spacing w:line="240" w:lineRule="auto"/>
              <w:jc w:val="center"/>
              <w:rPr>
                <w:rFonts w:eastAsia="Times New Roman" w:cs="Times New Roman"/>
                <w:b/>
                <w:bCs/>
                <w:color w:val="000000"/>
                <w:sz w:val="16"/>
                <w:szCs w:val="16"/>
              </w:rPr>
            </w:pPr>
            <w:r w:rsidRPr="00BE2462">
              <w:rPr>
                <w:rFonts w:eastAsia="Times New Roman" w:cs="Times New Roman"/>
                <w:b/>
                <w:bCs/>
                <w:color w:val="000000"/>
                <w:sz w:val="16"/>
                <w:szCs w:val="16"/>
              </w:rPr>
              <w:t>K</w:t>
            </w:r>
            <w:r w:rsidRPr="00BE2462">
              <w:rPr>
                <w:rFonts w:eastAsia="Times New Roman" w:cs="Times New Roman"/>
                <w:b/>
                <w:bCs/>
                <w:color w:val="000000"/>
                <w:sz w:val="16"/>
                <w:szCs w:val="16"/>
                <w:vertAlign w:val="subscript"/>
              </w:rPr>
              <w:t>2</w:t>
            </w:r>
            <w:r w:rsidRPr="00BE2462">
              <w:rPr>
                <w:rFonts w:eastAsia="Times New Roman" w:cs="Times New Roman"/>
                <w:b/>
                <w:bCs/>
                <w:color w:val="000000"/>
                <w:sz w:val="16"/>
                <w:szCs w:val="16"/>
              </w:rPr>
              <w:t>O</w:t>
            </w:r>
          </w:p>
        </w:tc>
        <w:tc>
          <w:tcPr>
            <w:tcW w:w="896" w:type="dxa"/>
            <w:tcBorders>
              <w:top w:val="single" w:sz="4" w:space="0" w:color="auto"/>
              <w:left w:val="nil"/>
              <w:bottom w:val="single" w:sz="8" w:space="0" w:color="auto"/>
              <w:right w:val="nil"/>
            </w:tcBorders>
            <w:shd w:val="clear" w:color="000000" w:fill="FFFFFF"/>
            <w:noWrap/>
            <w:vAlign w:val="center"/>
            <w:hideMark/>
          </w:tcPr>
          <w:p w14:paraId="57C1D632" w14:textId="77777777" w:rsidR="00BE2462" w:rsidRPr="00BE2462" w:rsidRDefault="00BE2462" w:rsidP="00BE2462">
            <w:pPr>
              <w:spacing w:line="240" w:lineRule="auto"/>
              <w:jc w:val="center"/>
              <w:rPr>
                <w:rFonts w:eastAsia="Times New Roman" w:cs="Times New Roman"/>
                <w:b/>
                <w:bCs/>
                <w:color w:val="000000"/>
                <w:sz w:val="16"/>
                <w:szCs w:val="16"/>
              </w:rPr>
            </w:pPr>
            <w:r w:rsidRPr="00BE2462">
              <w:rPr>
                <w:rFonts w:eastAsia="Times New Roman" w:cs="Times New Roman"/>
                <w:b/>
                <w:bCs/>
                <w:color w:val="000000"/>
                <w:sz w:val="16"/>
                <w:szCs w:val="16"/>
              </w:rPr>
              <w:t>P</w:t>
            </w:r>
            <w:r w:rsidRPr="00BE2462">
              <w:rPr>
                <w:rFonts w:eastAsia="Times New Roman" w:cs="Times New Roman"/>
                <w:b/>
                <w:bCs/>
                <w:color w:val="000000"/>
                <w:sz w:val="16"/>
                <w:szCs w:val="16"/>
                <w:vertAlign w:val="subscript"/>
              </w:rPr>
              <w:t>2</w:t>
            </w:r>
            <w:r w:rsidRPr="00BE2462">
              <w:rPr>
                <w:rFonts w:eastAsia="Times New Roman" w:cs="Times New Roman"/>
                <w:b/>
                <w:bCs/>
                <w:color w:val="000000"/>
                <w:sz w:val="16"/>
                <w:szCs w:val="16"/>
              </w:rPr>
              <w:t>O</w:t>
            </w:r>
            <w:r w:rsidRPr="00BE2462">
              <w:rPr>
                <w:rFonts w:eastAsia="Times New Roman" w:cs="Times New Roman"/>
                <w:b/>
                <w:bCs/>
                <w:color w:val="000000"/>
                <w:sz w:val="16"/>
                <w:szCs w:val="16"/>
                <w:vertAlign w:val="subscript"/>
              </w:rPr>
              <w:t>5</w:t>
            </w:r>
          </w:p>
        </w:tc>
        <w:tc>
          <w:tcPr>
            <w:tcW w:w="1036" w:type="dxa"/>
            <w:tcBorders>
              <w:top w:val="single" w:sz="4" w:space="0" w:color="auto"/>
              <w:left w:val="nil"/>
              <w:bottom w:val="single" w:sz="8" w:space="0" w:color="auto"/>
              <w:right w:val="nil"/>
            </w:tcBorders>
            <w:shd w:val="clear" w:color="000000" w:fill="FFFFFF"/>
            <w:vAlign w:val="center"/>
            <w:hideMark/>
          </w:tcPr>
          <w:p w14:paraId="424320A5" w14:textId="308AD111" w:rsidR="00BE2462" w:rsidRPr="00BE2462" w:rsidRDefault="00BE2462" w:rsidP="00BE2462">
            <w:pPr>
              <w:spacing w:line="240" w:lineRule="auto"/>
              <w:jc w:val="center"/>
              <w:rPr>
                <w:rFonts w:eastAsia="Times New Roman" w:cs="Times New Roman"/>
                <w:b/>
                <w:bCs/>
                <w:color w:val="000000"/>
                <w:sz w:val="16"/>
                <w:szCs w:val="16"/>
              </w:rPr>
            </w:pPr>
            <w:r w:rsidRPr="00BE2462">
              <w:rPr>
                <w:rFonts w:eastAsia="Times New Roman" w:cs="Times New Roman"/>
                <w:b/>
                <w:bCs/>
                <w:color w:val="000000"/>
                <w:sz w:val="16"/>
                <w:szCs w:val="16"/>
              </w:rPr>
              <w:t>min.</w:t>
            </w:r>
            <w:r w:rsidR="0028433D">
              <w:rPr>
                <w:rFonts w:eastAsia="Times New Roman" w:cs="Times New Roman"/>
                <w:b/>
                <w:bCs/>
                <w:color w:val="000000"/>
                <w:sz w:val="16"/>
                <w:szCs w:val="16"/>
              </w:rPr>
              <w:t xml:space="preserve"> crystal</w:t>
            </w:r>
            <w:r w:rsidRPr="00BE2462">
              <w:rPr>
                <w:rFonts w:eastAsia="Times New Roman" w:cs="Times New Roman"/>
                <w:b/>
                <w:bCs/>
                <w:color w:val="000000"/>
                <w:sz w:val="16"/>
                <w:szCs w:val="16"/>
              </w:rPr>
              <w:t xml:space="preserve"> radius</w:t>
            </w:r>
            <w:r w:rsidRPr="00BE2462">
              <w:rPr>
                <w:rFonts w:eastAsia="Times New Roman" w:cs="Times New Roman"/>
                <w:b/>
                <w:bCs/>
                <w:color w:val="000000"/>
                <w:sz w:val="16"/>
                <w:szCs w:val="16"/>
                <w:vertAlign w:val="subscript"/>
              </w:rPr>
              <w:t>avg.</w:t>
            </w:r>
            <w:r w:rsidRPr="00BE2462">
              <w:rPr>
                <w:rFonts w:eastAsia="Times New Roman" w:cs="Times New Roman"/>
                <w:b/>
                <w:bCs/>
                <w:color w:val="000000"/>
                <w:sz w:val="16"/>
                <w:szCs w:val="16"/>
              </w:rPr>
              <w:t xml:space="preserve"> (nm)</w:t>
            </w:r>
          </w:p>
        </w:tc>
        <w:tc>
          <w:tcPr>
            <w:tcW w:w="896" w:type="dxa"/>
            <w:tcBorders>
              <w:top w:val="single" w:sz="4" w:space="0" w:color="auto"/>
              <w:left w:val="nil"/>
              <w:bottom w:val="single" w:sz="8" w:space="0" w:color="auto"/>
              <w:right w:val="nil"/>
            </w:tcBorders>
            <w:shd w:val="clear" w:color="000000" w:fill="FFFFFF"/>
            <w:vAlign w:val="center"/>
            <w:hideMark/>
          </w:tcPr>
          <w:p w14:paraId="244823AC" w14:textId="77777777" w:rsidR="00BE2462" w:rsidRPr="00BE2462" w:rsidRDefault="00BE2462" w:rsidP="00BE2462">
            <w:pPr>
              <w:spacing w:line="240" w:lineRule="auto"/>
              <w:jc w:val="center"/>
              <w:rPr>
                <w:rFonts w:eastAsia="Times New Roman" w:cs="Times New Roman"/>
                <w:b/>
                <w:bCs/>
                <w:color w:val="000000"/>
                <w:sz w:val="16"/>
                <w:szCs w:val="16"/>
              </w:rPr>
            </w:pPr>
            <w:r w:rsidRPr="00BE2462">
              <w:rPr>
                <w:rFonts w:eastAsia="Times New Roman" w:cs="Times New Roman"/>
                <w:b/>
                <w:bCs/>
                <w:color w:val="000000"/>
                <w:sz w:val="16"/>
                <w:szCs w:val="16"/>
              </w:rPr>
              <w:t>lamella thickness (nm)</w:t>
            </w:r>
          </w:p>
        </w:tc>
        <w:tc>
          <w:tcPr>
            <w:tcW w:w="636" w:type="dxa"/>
            <w:tcBorders>
              <w:top w:val="single" w:sz="4" w:space="0" w:color="auto"/>
              <w:left w:val="nil"/>
              <w:bottom w:val="single" w:sz="8" w:space="0" w:color="auto"/>
              <w:right w:val="nil"/>
            </w:tcBorders>
            <w:shd w:val="clear" w:color="000000" w:fill="FFFFFF"/>
            <w:vAlign w:val="center"/>
            <w:hideMark/>
          </w:tcPr>
          <w:p w14:paraId="7E8D4D21" w14:textId="3349D335" w:rsidR="00BE2462" w:rsidRPr="00062EEE" w:rsidRDefault="00BE2462" w:rsidP="00BE2462">
            <w:pPr>
              <w:spacing w:line="240" w:lineRule="auto"/>
              <w:jc w:val="center"/>
              <w:rPr>
                <w:rFonts w:eastAsia="Times New Roman" w:cs="Times New Roman"/>
                <w:b/>
                <w:bCs/>
                <w:color w:val="000000"/>
                <w:sz w:val="16"/>
                <w:szCs w:val="16"/>
                <w:lang w:val="de-DE"/>
              </w:rPr>
            </w:pPr>
            <w:r w:rsidRPr="00062EEE">
              <w:rPr>
                <w:rFonts w:eastAsia="Times New Roman" w:cs="Times New Roman"/>
                <w:b/>
                <w:bCs/>
                <w:color w:val="000000"/>
                <w:sz w:val="16"/>
                <w:szCs w:val="16"/>
                <w:lang w:val="de-DE"/>
              </w:rPr>
              <w:t>min.</w:t>
            </w:r>
            <w:r w:rsidR="0028433D" w:rsidRPr="00062EEE">
              <w:rPr>
                <w:rFonts w:eastAsia="Times New Roman" w:cs="Times New Roman"/>
                <w:b/>
                <w:bCs/>
                <w:color w:val="000000"/>
                <w:sz w:val="16"/>
                <w:szCs w:val="16"/>
                <w:lang w:val="de-DE"/>
              </w:rPr>
              <w:t xml:space="preserve"> c</w:t>
            </w:r>
            <w:r w:rsidR="0028433D">
              <w:rPr>
                <w:rFonts w:eastAsia="Times New Roman" w:cs="Times New Roman"/>
                <w:b/>
                <w:bCs/>
                <w:color w:val="000000"/>
                <w:sz w:val="16"/>
                <w:szCs w:val="16"/>
                <w:lang w:val="de-DE"/>
              </w:rPr>
              <w:t>rystal</w:t>
            </w:r>
            <w:r w:rsidRPr="00062EEE">
              <w:rPr>
                <w:rFonts w:eastAsia="Times New Roman" w:cs="Times New Roman"/>
                <w:b/>
                <w:bCs/>
                <w:color w:val="000000"/>
                <w:sz w:val="16"/>
                <w:szCs w:val="16"/>
                <w:lang w:val="de-DE"/>
              </w:rPr>
              <w:t xml:space="preserve"> vol%</w:t>
            </w:r>
          </w:p>
        </w:tc>
        <w:tc>
          <w:tcPr>
            <w:tcW w:w="1196" w:type="dxa"/>
            <w:tcBorders>
              <w:top w:val="single" w:sz="4" w:space="0" w:color="auto"/>
              <w:left w:val="nil"/>
              <w:bottom w:val="single" w:sz="8" w:space="0" w:color="auto"/>
              <w:right w:val="nil"/>
            </w:tcBorders>
            <w:shd w:val="clear" w:color="000000" w:fill="FFFFFF"/>
            <w:vAlign w:val="center"/>
            <w:hideMark/>
          </w:tcPr>
          <w:p w14:paraId="0DD4EE6A" w14:textId="77777777" w:rsidR="00BE2462" w:rsidRPr="00062EEE" w:rsidRDefault="00BE2462" w:rsidP="00BE2462">
            <w:pPr>
              <w:spacing w:line="240" w:lineRule="auto"/>
              <w:jc w:val="left"/>
              <w:rPr>
                <w:rFonts w:eastAsia="Times New Roman" w:cs="Times New Roman"/>
                <w:b/>
                <w:bCs/>
                <w:color w:val="000000"/>
                <w:sz w:val="16"/>
                <w:szCs w:val="16"/>
                <w:lang w:val="de-DE"/>
              </w:rPr>
            </w:pPr>
            <w:r w:rsidRPr="00062EEE">
              <w:rPr>
                <w:rFonts w:eastAsia="Times New Roman" w:cs="Times New Roman"/>
                <w:b/>
                <w:bCs/>
                <w:color w:val="000000"/>
                <w:sz w:val="16"/>
                <w:szCs w:val="16"/>
                <w:lang w:val="de-DE"/>
              </w:rPr>
              <w:t>min. NND* (nm</w:t>
            </w:r>
            <w:r w:rsidRPr="00062EEE">
              <w:rPr>
                <w:rFonts w:eastAsia="Times New Roman" w:cs="Times New Roman"/>
                <w:b/>
                <w:bCs/>
                <w:color w:val="000000"/>
                <w:sz w:val="16"/>
                <w:szCs w:val="16"/>
                <w:vertAlign w:val="superscript"/>
                <w:lang w:val="de-DE"/>
              </w:rPr>
              <w:t>-3</w:t>
            </w:r>
            <w:r w:rsidRPr="00062EEE">
              <w:rPr>
                <w:rFonts w:eastAsia="Times New Roman" w:cs="Times New Roman"/>
                <w:b/>
                <w:bCs/>
                <w:color w:val="000000"/>
                <w:sz w:val="16"/>
                <w:szCs w:val="16"/>
                <w:lang w:val="de-DE"/>
              </w:rPr>
              <w:t xml:space="preserve">) </w:t>
            </w:r>
            <w:r w:rsidRPr="00BE2462">
              <w:rPr>
                <w:rFonts w:ascii="Cambria Math" w:eastAsia="Times New Roman" w:hAnsi="Cambria Math" w:cs="Cambria Math"/>
                <w:b/>
                <w:bCs/>
                <w:color w:val="000000"/>
                <w:sz w:val="16"/>
                <w:szCs w:val="16"/>
              </w:rPr>
              <w:t>⨉</w:t>
            </w:r>
            <w:r w:rsidRPr="00062EEE">
              <w:rPr>
                <w:rFonts w:eastAsia="Times New Roman" w:cs="Times New Roman"/>
                <w:b/>
                <w:bCs/>
                <w:color w:val="000000"/>
                <w:sz w:val="16"/>
                <w:szCs w:val="16"/>
                <w:lang w:val="de-DE"/>
              </w:rPr>
              <w:t xml:space="preserve"> 10</w:t>
            </w:r>
            <w:r w:rsidRPr="00062EEE">
              <w:rPr>
                <w:rFonts w:eastAsia="Times New Roman" w:cs="Times New Roman"/>
                <w:b/>
                <w:bCs/>
                <w:color w:val="000000"/>
                <w:sz w:val="16"/>
                <w:szCs w:val="16"/>
                <w:vertAlign w:val="superscript"/>
                <w:lang w:val="de-DE"/>
              </w:rPr>
              <w:t>-4</w:t>
            </w:r>
          </w:p>
        </w:tc>
      </w:tr>
      <w:tr w:rsidR="00BE2462" w:rsidRPr="0028433D" w14:paraId="55C27232" w14:textId="77777777" w:rsidTr="00BE2462">
        <w:trPr>
          <w:trHeight w:val="282"/>
        </w:trPr>
        <w:tc>
          <w:tcPr>
            <w:tcW w:w="876" w:type="dxa"/>
            <w:tcBorders>
              <w:top w:val="nil"/>
              <w:left w:val="nil"/>
              <w:bottom w:val="nil"/>
              <w:right w:val="nil"/>
            </w:tcBorders>
            <w:shd w:val="clear" w:color="000000" w:fill="FFFFFF"/>
            <w:noWrap/>
            <w:vAlign w:val="bottom"/>
            <w:hideMark/>
          </w:tcPr>
          <w:p w14:paraId="580CEC63" w14:textId="77777777" w:rsidR="00BE2462" w:rsidRPr="00062EEE" w:rsidRDefault="00BE2462" w:rsidP="00BE2462">
            <w:pPr>
              <w:spacing w:line="240" w:lineRule="auto"/>
              <w:jc w:val="left"/>
              <w:rPr>
                <w:rFonts w:eastAsia="Times New Roman" w:cs="Times New Roman"/>
                <w:color w:val="000000"/>
                <w:sz w:val="16"/>
                <w:szCs w:val="16"/>
                <w:lang w:val="de-DE"/>
              </w:rPr>
            </w:pPr>
            <w:r w:rsidRPr="00062EEE">
              <w:rPr>
                <w:rFonts w:eastAsia="Times New Roman" w:cs="Times New Roman"/>
                <w:color w:val="000000"/>
                <w:sz w:val="16"/>
                <w:szCs w:val="16"/>
                <w:lang w:val="de-DE"/>
              </w:rPr>
              <w:t>MP</w:t>
            </w:r>
            <w:r w:rsidRPr="00062EEE">
              <w:rPr>
                <w:rFonts w:eastAsia="Times New Roman" w:cs="Times New Roman"/>
                <w:color w:val="000000"/>
                <w:sz w:val="16"/>
                <w:szCs w:val="16"/>
                <w:vertAlign w:val="subscript"/>
                <w:lang w:val="de-DE"/>
              </w:rPr>
              <w:t>660</w:t>
            </w:r>
          </w:p>
        </w:tc>
        <w:tc>
          <w:tcPr>
            <w:tcW w:w="1479" w:type="dxa"/>
            <w:tcBorders>
              <w:top w:val="nil"/>
              <w:left w:val="nil"/>
              <w:bottom w:val="nil"/>
              <w:right w:val="nil"/>
            </w:tcBorders>
            <w:shd w:val="clear" w:color="000000" w:fill="FFFFFF"/>
            <w:noWrap/>
            <w:vAlign w:val="center"/>
            <w:hideMark/>
          </w:tcPr>
          <w:p w14:paraId="02D56810" w14:textId="77777777" w:rsidR="00BE2462" w:rsidRPr="00062EEE" w:rsidRDefault="00BE2462" w:rsidP="00BE2462">
            <w:pPr>
              <w:spacing w:line="240" w:lineRule="auto"/>
              <w:jc w:val="left"/>
              <w:rPr>
                <w:rFonts w:eastAsia="Times New Roman" w:cs="Times New Roman"/>
                <w:color w:val="000000"/>
                <w:sz w:val="16"/>
                <w:szCs w:val="16"/>
                <w:lang w:val="de-DE"/>
              </w:rPr>
            </w:pPr>
            <w:r w:rsidRPr="00062EEE">
              <w:rPr>
                <w:rFonts w:eastAsia="Times New Roman" w:cs="Times New Roman"/>
                <w:color w:val="000000"/>
                <w:sz w:val="16"/>
                <w:szCs w:val="16"/>
                <w:lang w:val="de-DE"/>
              </w:rPr>
              <w:t>Bulk</w:t>
            </w:r>
          </w:p>
        </w:tc>
        <w:tc>
          <w:tcPr>
            <w:tcW w:w="666" w:type="dxa"/>
            <w:tcBorders>
              <w:top w:val="nil"/>
              <w:left w:val="nil"/>
              <w:bottom w:val="nil"/>
              <w:right w:val="nil"/>
            </w:tcBorders>
            <w:shd w:val="clear" w:color="000000" w:fill="FFFFFF"/>
            <w:noWrap/>
            <w:vAlign w:val="center"/>
            <w:hideMark/>
          </w:tcPr>
          <w:p w14:paraId="5005D5F9"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61.8</w:t>
            </w:r>
          </w:p>
        </w:tc>
        <w:tc>
          <w:tcPr>
            <w:tcW w:w="780" w:type="dxa"/>
            <w:tcBorders>
              <w:top w:val="nil"/>
              <w:left w:val="nil"/>
              <w:bottom w:val="nil"/>
              <w:right w:val="nil"/>
            </w:tcBorders>
            <w:shd w:val="clear" w:color="000000" w:fill="FFFFFF"/>
            <w:noWrap/>
            <w:vAlign w:val="center"/>
            <w:hideMark/>
          </w:tcPr>
          <w:p w14:paraId="0AEE9917"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0.7</w:t>
            </w:r>
          </w:p>
        </w:tc>
        <w:tc>
          <w:tcPr>
            <w:tcW w:w="895" w:type="dxa"/>
            <w:tcBorders>
              <w:top w:val="nil"/>
              <w:left w:val="nil"/>
              <w:bottom w:val="nil"/>
              <w:right w:val="nil"/>
            </w:tcBorders>
            <w:shd w:val="clear" w:color="000000" w:fill="FFFFFF"/>
            <w:noWrap/>
            <w:vAlign w:val="center"/>
            <w:hideMark/>
          </w:tcPr>
          <w:p w14:paraId="7E73B37C"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17.5</w:t>
            </w:r>
          </w:p>
        </w:tc>
        <w:tc>
          <w:tcPr>
            <w:tcW w:w="780" w:type="dxa"/>
            <w:tcBorders>
              <w:top w:val="nil"/>
              <w:left w:val="nil"/>
              <w:bottom w:val="nil"/>
              <w:right w:val="nil"/>
            </w:tcBorders>
            <w:shd w:val="clear" w:color="000000" w:fill="FFFFFF"/>
            <w:noWrap/>
            <w:vAlign w:val="center"/>
            <w:hideMark/>
          </w:tcPr>
          <w:p w14:paraId="37B99BBA"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7.1</w:t>
            </w:r>
          </w:p>
        </w:tc>
        <w:tc>
          <w:tcPr>
            <w:tcW w:w="780" w:type="dxa"/>
            <w:tcBorders>
              <w:top w:val="nil"/>
              <w:left w:val="nil"/>
              <w:bottom w:val="nil"/>
              <w:right w:val="nil"/>
            </w:tcBorders>
            <w:shd w:val="clear" w:color="000000" w:fill="FFFFFF"/>
            <w:noWrap/>
            <w:vAlign w:val="center"/>
            <w:hideMark/>
          </w:tcPr>
          <w:p w14:paraId="6697F5D3"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3.0</w:t>
            </w:r>
          </w:p>
        </w:tc>
        <w:tc>
          <w:tcPr>
            <w:tcW w:w="896" w:type="dxa"/>
            <w:tcBorders>
              <w:top w:val="nil"/>
              <w:left w:val="nil"/>
              <w:bottom w:val="nil"/>
              <w:right w:val="nil"/>
            </w:tcBorders>
            <w:shd w:val="clear" w:color="000000" w:fill="FFFFFF"/>
            <w:noWrap/>
            <w:vAlign w:val="center"/>
            <w:hideMark/>
          </w:tcPr>
          <w:p w14:paraId="6EBE95E3"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5.7</w:t>
            </w:r>
          </w:p>
        </w:tc>
        <w:tc>
          <w:tcPr>
            <w:tcW w:w="896" w:type="dxa"/>
            <w:tcBorders>
              <w:top w:val="nil"/>
              <w:left w:val="nil"/>
              <w:bottom w:val="nil"/>
              <w:right w:val="nil"/>
            </w:tcBorders>
            <w:shd w:val="clear" w:color="000000" w:fill="FFFFFF"/>
            <w:noWrap/>
            <w:vAlign w:val="center"/>
            <w:hideMark/>
          </w:tcPr>
          <w:p w14:paraId="2089176F"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1.3</w:t>
            </w:r>
          </w:p>
        </w:tc>
        <w:tc>
          <w:tcPr>
            <w:tcW w:w="896" w:type="dxa"/>
            <w:tcBorders>
              <w:top w:val="nil"/>
              <w:left w:val="nil"/>
              <w:bottom w:val="nil"/>
              <w:right w:val="nil"/>
            </w:tcBorders>
            <w:shd w:val="clear" w:color="000000" w:fill="FFFFFF"/>
            <w:noWrap/>
            <w:vAlign w:val="center"/>
            <w:hideMark/>
          </w:tcPr>
          <w:p w14:paraId="4654BB71"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2.3</w:t>
            </w:r>
          </w:p>
        </w:tc>
        <w:tc>
          <w:tcPr>
            <w:tcW w:w="896" w:type="dxa"/>
            <w:tcBorders>
              <w:top w:val="nil"/>
              <w:left w:val="nil"/>
              <w:bottom w:val="nil"/>
              <w:right w:val="nil"/>
            </w:tcBorders>
            <w:shd w:val="clear" w:color="000000" w:fill="FFFFFF"/>
            <w:noWrap/>
            <w:vAlign w:val="center"/>
            <w:hideMark/>
          </w:tcPr>
          <w:p w14:paraId="3BA7A7C8"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0.60</w:t>
            </w:r>
          </w:p>
        </w:tc>
        <w:tc>
          <w:tcPr>
            <w:tcW w:w="1036" w:type="dxa"/>
            <w:tcBorders>
              <w:top w:val="nil"/>
              <w:left w:val="nil"/>
              <w:bottom w:val="nil"/>
              <w:right w:val="nil"/>
            </w:tcBorders>
            <w:shd w:val="clear" w:color="000000" w:fill="FFFFFF"/>
            <w:vAlign w:val="center"/>
            <w:hideMark/>
          </w:tcPr>
          <w:p w14:paraId="29DC734F"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1.39 ± 0.55</w:t>
            </w:r>
          </w:p>
        </w:tc>
        <w:tc>
          <w:tcPr>
            <w:tcW w:w="896" w:type="dxa"/>
            <w:tcBorders>
              <w:top w:val="nil"/>
              <w:left w:val="nil"/>
              <w:bottom w:val="nil"/>
              <w:right w:val="nil"/>
            </w:tcBorders>
            <w:shd w:val="clear" w:color="000000" w:fill="FFFFFF"/>
            <w:noWrap/>
            <w:vAlign w:val="center"/>
            <w:hideMark/>
          </w:tcPr>
          <w:p w14:paraId="09405467"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50</w:t>
            </w:r>
          </w:p>
        </w:tc>
        <w:tc>
          <w:tcPr>
            <w:tcW w:w="636" w:type="dxa"/>
            <w:tcBorders>
              <w:top w:val="nil"/>
              <w:left w:val="nil"/>
              <w:bottom w:val="nil"/>
              <w:right w:val="nil"/>
            </w:tcBorders>
            <w:shd w:val="clear" w:color="000000" w:fill="FFFFFF"/>
            <w:noWrap/>
            <w:vAlign w:val="center"/>
            <w:hideMark/>
          </w:tcPr>
          <w:p w14:paraId="03F29776"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0.12</w:t>
            </w:r>
          </w:p>
        </w:tc>
        <w:tc>
          <w:tcPr>
            <w:tcW w:w="1196" w:type="dxa"/>
            <w:tcBorders>
              <w:top w:val="nil"/>
              <w:left w:val="nil"/>
              <w:bottom w:val="nil"/>
              <w:right w:val="nil"/>
            </w:tcBorders>
            <w:shd w:val="clear" w:color="000000" w:fill="FFFFFF"/>
            <w:noWrap/>
            <w:vAlign w:val="center"/>
            <w:hideMark/>
          </w:tcPr>
          <w:p w14:paraId="0CA94B82"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0.43</w:t>
            </w:r>
          </w:p>
        </w:tc>
      </w:tr>
      <w:tr w:rsidR="00BE2462" w:rsidRPr="00BE2462" w14:paraId="63AE8E83" w14:textId="77777777" w:rsidTr="00BE2462">
        <w:trPr>
          <w:trHeight w:val="282"/>
        </w:trPr>
        <w:tc>
          <w:tcPr>
            <w:tcW w:w="876" w:type="dxa"/>
            <w:tcBorders>
              <w:top w:val="nil"/>
              <w:left w:val="nil"/>
              <w:bottom w:val="nil"/>
              <w:right w:val="nil"/>
            </w:tcBorders>
            <w:shd w:val="clear" w:color="000000" w:fill="FFFFFF"/>
            <w:noWrap/>
            <w:vAlign w:val="bottom"/>
            <w:hideMark/>
          </w:tcPr>
          <w:p w14:paraId="1FA3DC4E" w14:textId="77777777" w:rsidR="00BE2462" w:rsidRPr="00062EEE" w:rsidRDefault="00BE2462" w:rsidP="00BE2462">
            <w:pPr>
              <w:spacing w:line="240" w:lineRule="auto"/>
              <w:jc w:val="left"/>
              <w:rPr>
                <w:rFonts w:eastAsia="Times New Roman" w:cs="Times New Roman"/>
                <w:color w:val="000000"/>
                <w:sz w:val="16"/>
                <w:szCs w:val="16"/>
                <w:lang w:val="de-DE"/>
              </w:rPr>
            </w:pPr>
            <w:r w:rsidRPr="00062EEE">
              <w:rPr>
                <w:rFonts w:eastAsia="Times New Roman" w:cs="Times New Roman"/>
                <w:color w:val="000000"/>
                <w:sz w:val="16"/>
                <w:szCs w:val="16"/>
                <w:lang w:val="de-DE"/>
              </w:rPr>
              <w:t> </w:t>
            </w:r>
          </w:p>
        </w:tc>
        <w:tc>
          <w:tcPr>
            <w:tcW w:w="1479" w:type="dxa"/>
            <w:tcBorders>
              <w:top w:val="nil"/>
              <w:left w:val="nil"/>
              <w:bottom w:val="nil"/>
              <w:right w:val="nil"/>
            </w:tcBorders>
            <w:shd w:val="clear" w:color="000000" w:fill="FFFFFF"/>
            <w:noWrap/>
            <w:vAlign w:val="center"/>
            <w:hideMark/>
          </w:tcPr>
          <w:p w14:paraId="6C4764A4" w14:textId="77777777" w:rsidR="00BE2462" w:rsidRPr="00062EEE" w:rsidRDefault="00BE2462" w:rsidP="00BE2462">
            <w:pPr>
              <w:spacing w:line="240" w:lineRule="auto"/>
              <w:jc w:val="left"/>
              <w:rPr>
                <w:rFonts w:eastAsia="Times New Roman" w:cs="Times New Roman"/>
                <w:color w:val="000000"/>
                <w:sz w:val="16"/>
                <w:szCs w:val="16"/>
                <w:lang w:val="de-DE"/>
              </w:rPr>
            </w:pPr>
            <w:r w:rsidRPr="00062EEE">
              <w:rPr>
                <w:rFonts w:eastAsia="Times New Roman" w:cs="Times New Roman"/>
                <w:color w:val="000000"/>
                <w:sz w:val="16"/>
                <w:szCs w:val="16"/>
                <w:lang w:val="de-DE"/>
              </w:rPr>
              <w:t>Matrix</w:t>
            </w:r>
          </w:p>
        </w:tc>
        <w:tc>
          <w:tcPr>
            <w:tcW w:w="666" w:type="dxa"/>
            <w:tcBorders>
              <w:top w:val="nil"/>
              <w:left w:val="nil"/>
              <w:bottom w:val="nil"/>
              <w:right w:val="nil"/>
            </w:tcBorders>
            <w:shd w:val="clear" w:color="000000" w:fill="FFFFFF"/>
            <w:noWrap/>
            <w:vAlign w:val="center"/>
            <w:hideMark/>
          </w:tcPr>
          <w:p w14:paraId="09ECCC49"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70 (9)</w:t>
            </w:r>
          </w:p>
        </w:tc>
        <w:tc>
          <w:tcPr>
            <w:tcW w:w="780" w:type="dxa"/>
            <w:tcBorders>
              <w:top w:val="nil"/>
              <w:left w:val="nil"/>
              <w:bottom w:val="nil"/>
              <w:right w:val="nil"/>
            </w:tcBorders>
            <w:shd w:val="clear" w:color="000000" w:fill="FFFFFF"/>
            <w:noWrap/>
            <w:vAlign w:val="center"/>
            <w:hideMark/>
          </w:tcPr>
          <w:p w14:paraId="5C65C4CA" w14:textId="77777777" w:rsidR="00BE2462" w:rsidRPr="00062EEE" w:rsidRDefault="00BE2462" w:rsidP="00BE2462">
            <w:pPr>
              <w:spacing w:line="240" w:lineRule="auto"/>
              <w:jc w:val="center"/>
              <w:rPr>
                <w:rFonts w:eastAsia="Times New Roman" w:cs="Times New Roman"/>
                <w:color w:val="000000"/>
                <w:sz w:val="16"/>
                <w:szCs w:val="16"/>
                <w:lang w:val="de-DE"/>
              </w:rPr>
            </w:pPr>
            <w:r w:rsidRPr="00062EEE">
              <w:rPr>
                <w:rFonts w:eastAsia="Times New Roman" w:cs="Times New Roman"/>
                <w:color w:val="000000"/>
                <w:sz w:val="16"/>
                <w:szCs w:val="16"/>
                <w:lang w:val="de-DE"/>
              </w:rPr>
              <w:t>0.5 (1)</w:t>
            </w:r>
          </w:p>
        </w:tc>
        <w:tc>
          <w:tcPr>
            <w:tcW w:w="895" w:type="dxa"/>
            <w:tcBorders>
              <w:top w:val="nil"/>
              <w:left w:val="nil"/>
              <w:bottom w:val="nil"/>
              <w:right w:val="nil"/>
            </w:tcBorders>
            <w:shd w:val="clear" w:color="000000" w:fill="FFFFFF"/>
            <w:noWrap/>
            <w:vAlign w:val="center"/>
            <w:hideMark/>
          </w:tcPr>
          <w:p w14:paraId="473B6308" w14:textId="77777777" w:rsidR="00BE2462" w:rsidRPr="00BE2462" w:rsidRDefault="00BE2462" w:rsidP="00BE2462">
            <w:pPr>
              <w:spacing w:line="240" w:lineRule="auto"/>
              <w:jc w:val="center"/>
              <w:rPr>
                <w:rFonts w:eastAsia="Times New Roman" w:cs="Times New Roman"/>
                <w:color w:val="000000"/>
                <w:sz w:val="16"/>
                <w:szCs w:val="16"/>
              </w:rPr>
            </w:pPr>
            <w:r w:rsidRPr="00062EEE">
              <w:rPr>
                <w:rFonts w:eastAsia="Times New Roman" w:cs="Times New Roman"/>
                <w:color w:val="000000"/>
                <w:sz w:val="16"/>
                <w:szCs w:val="16"/>
                <w:lang w:val="de-DE"/>
              </w:rPr>
              <w:t>1</w:t>
            </w:r>
            <w:r w:rsidRPr="00BE2462">
              <w:rPr>
                <w:rFonts w:eastAsia="Times New Roman" w:cs="Times New Roman"/>
                <w:color w:val="000000"/>
                <w:sz w:val="16"/>
                <w:szCs w:val="16"/>
              </w:rPr>
              <w:t>6 (7)</w:t>
            </w:r>
          </w:p>
        </w:tc>
        <w:tc>
          <w:tcPr>
            <w:tcW w:w="780" w:type="dxa"/>
            <w:tcBorders>
              <w:top w:val="nil"/>
              <w:left w:val="nil"/>
              <w:bottom w:val="nil"/>
              <w:right w:val="nil"/>
            </w:tcBorders>
            <w:shd w:val="clear" w:color="000000" w:fill="FFFFFF"/>
            <w:noWrap/>
            <w:vAlign w:val="center"/>
            <w:hideMark/>
          </w:tcPr>
          <w:p w14:paraId="4C530817" w14:textId="3204FD2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6.9 (</w:t>
            </w:r>
            <w:r w:rsidR="00F71E66">
              <w:rPr>
                <w:rFonts w:eastAsia="Times New Roman" w:cs="Times New Roman"/>
                <w:color w:val="000000"/>
                <w:sz w:val="16"/>
                <w:szCs w:val="16"/>
              </w:rPr>
              <w:t>2</w:t>
            </w:r>
            <w:r w:rsidRPr="00BE2462">
              <w:rPr>
                <w:rFonts w:eastAsia="Times New Roman" w:cs="Times New Roman"/>
                <w:color w:val="000000"/>
                <w:sz w:val="16"/>
                <w:szCs w:val="16"/>
              </w:rPr>
              <w:t>)</w:t>
            </w:r>
          </w:p>
        </w:tc>
        <w:tc>
          <w:tcPr>
            <w:tcW w:w="780" w:type="dxa"/>
            <w:tcBorders>
              <w:top w:val="nil"/>
              <w:left w:val="nil"/>
              <w:bottom w:val="nil"/>
              <w:right w:val="nil"/>
            </w:tcBorders>
            <w:shd w:val="clear" w:color="000000" w:fill="FFFFFF"/>
            <w:noWrap/>
            <w:vAlign w:val="center"/>
            <w:hideMark/>
          </w:tcPr>
          <w:p w14:paraId="286A408F"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3.1 (5)</w:t>
            </w:r>
          </w:p>
        </w:tc>
        <w:tc>
          <w:tcPr>
            <w:tcW w:w="896" w:type="dxa"/>
            <w:tcBorders>
              <w:top w:val="nil"/>
              <w:left w:val="nil"/>
              <w:bottom w:val="nil"/>
              <w:right w:val="nil"/>
            </w:tcBorders>
            <w:shd w:val="clear" w:color="000000" w:fill="FFFFFF"/>
            <w:noWrap/>
            <w:vAlign w:val="center"/>
            <w:hideMark/>
          </w:tcPr>
          <w:p w14:paraId="0F3B7E80"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3.6 (2)</w:t>
            </w:r>
          </w:p>
        </w:tc>
        <w:tc>
          <w:tcPr>
            <w:tcW w:w="896" w:type="dxa"/>
            <w:tcBorders>
              <w:top w:val="nil"/>
              <w:left w:val="nil"/>
              <w:bottom w:val="nil"/>
              <w:right w:val="nil"/>
            </w:tcBorders>
            <w:shd w:val="clear" w:color="000000" w:fill="FFFFFF"/>
            <w:noWrap/>
            <w:vAlign w:val="center"/>
            <w:hideMark/>
          </w:tcPr>
          <w:p w14:paraId="7870B217"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0.5 (1)</w:t>
            </w:r>
          </w:p>
        </w:tc>
        <w:tc>
          <w:tcPr>
            <w:tcW w:w="896" w:type="dxa"/>
            <w:tcBorders>
              <w:top w:val="nil"/>
              <w:left w:val="nil"/>
              <w:bottom w:val="nil"/>
              <w:right w:val="nil"/>
            </w:tcBorders>
            <w:shd w:val="clear" w:color="000000" w:fill="FFFFFF"/>
            <w:noWrap/>
            <w:vAlign w:val="center"/>
            <w:hideMark/>
          </w:tcPr>
          <w:p w14:paraId="166D0209"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0.9 (1)</w:t>
            </w:r>
          </w:p>
        </w:tc>
        <w:tc>
          <w:tcPr>
            <w:tcW w:w="896" w:type="dxa"/>
            <w:tcBorders>
              <w:top w:val="nil"/>
              <w:left w:val="nil"/>
              <w:bottom w:val="nil"/>
              <w:right w:val="nil"/>
            </w:tcBorders>
            <w:shd w:val="clear" w:color="000000" w:fill="FFFFFF"/>
            <w:noWrap/>
            <w:vAlign w:val="center"/>
            <w:hideMark/>
          </w:tcPr>
          <w:p w14:paraId="6EF3D97A"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1.2 (2)</w:t>
            </w:r>
          </w:p>
        </w:tc>
        <w:tc>
          <w:tcPr>
            <w:tcW w:w="1036" w:type="dxa"/>
            <w:tcBorders>
              <w:top w:val="nil"/>
              <w:left w:val="nil"/>
              <w:bottom w:val="nil"/>
              <w:right w:val="nil"/>
            </w:tcBorders>
            <w:shd w:val="clear" w:color="000000" w:fill="FFFFFF"/>
            <w:vAlign w:val="center"/>
            <w:hideMark/>
          </w:tcPr>
          <w:p w14:paraId="1BEAFEBB"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213B0482"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36" w:type="dxa"/>
            <w:tcBorders>
              <w:top w:val="nil"/>
              <w:left w:val="nil"/>
              <w:bottom w:val="nil"/>
              <w:right w:val="nil"/>
            </w:tcBorders>
            <w:shd w:val="clear" w:color="000000" w:fill="FFFFFF"/>
            <w:noWrap/>
            <w:vAlign w:val="center"/>
            <w:hideMark/>
          </w:tcPr>
          <w:p w14:paraId="7028A805"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196" w:type="dxa"/>
            <w:tcBorders>
              <w:top w:val="nil"/>
              <w:left w:val="nil"/>
              <w:bottom w:val="nil"/>
              <w:right w:val="nil"/>
            </w:tcBorders>
            <w:shd w:val="clear" w:color="000000" w:fill="FFFFFF"/>
            <w:noWrap/>
            <w:vAlign w:val="center"/>
            <w:hideMark/>
          </w:tcPr>
          <w:p w14:paraId="62C2BBE1"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r>
      <w:tr w:rsidR="00BE2462" w:rsidRPr="00BE2462" w14:paraId="28A54D03" w14:textId="77777777" w:rsidTr="00BE2462">
        <w:trPr>
          <w:trHeight w:val="282"/>
        </w:trPr>
        <w:tc>
          <w:tcPr>
            <w:tcW w:w="876" w:type="dxa"/>
            <w:tcBorders>
              <w:top w:val="nil"/>
              <w:left w:val="nil"/>
              <w:bottom w:val="nil"/>
              <w:right w:val="nil"/>
            </w:tcBorders>
            <w:shd w:val="clear" w:color="000000" w:fill="FFFFFF"/>
            <w:noWrap/>
            <w:vAlign w:val="bottom"/>
            <w:hideMark/>
          </w:tcPr>
          <w:p w14:paraId="3A9E2762"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479" w:type="dxa"/>
            <w:tcBorders>
              <w:top w:val="nil"/>
              <w:left w:val="nil"/>
              <w:bottom w:val="nil"/>
              <w:right w:val="nil"/>
            </w:tcBorders>
            <w:shd w:val="clear" w:color="000000" w:fill="FFFFFF"/>
            <w:noWrap/>
            <w:vAlign w:val="center"/>
            <w:hideMark/>
          </w:tcPr>
          <w:p w14:paraId="6059B4BD"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Nanolite</w:t>
            </w:r>
          </w:p>
        </w:tc>
        <w:tc>
          <w:tcPr>
            <w:tcW w:w="666" w:type="dxa"/>
            <w:tcBorders>
              <w:top w:val="nil"/>
              <w:left w:val="nil"/>
              <w:bottom w:val="nil"/>
              <w:right w:val="nil"/>
            </w:tcBorders>
            <w:shd w:val="clear" w:color="000000" w:fill="FFFFFF"/>
            <w:noWrap/>
            <w:vAlign w:val="center"/>
            <w:hideMark/>
          </w:tcPr>
          <w:p w14:paraId="6C77A434"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55 (9)</w:t>
            </w:r>
          </w:p>
        </w:tc>
        <w:tc>
          <w:tcPr>
            <w:tcW w:w="780" w:type="dxa"/>
            <w:tcBorders>
              <w:top w:val="nil"/>
              <w:left w:val="nil"/>
              <w:bottom w:val="nil"/>
              <w:right w:val="nil"/>
            </w:tcBorders>
            <w:shd w:val="clear" w:color="000000" w:fill="FFFFFF"/>
            <w:noWrap/>
            <w:vAlign w:val="center"/>
            <w:hideMark/>
          </w:tcPr>
          <w:p w14:paraId="44E34E29"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0.8 (1)</w:t>
            </w:r>
          </w:p>
        </w:tc>
        <w:tc>
          <w:tcPr>
            <w:tcW w:w="895" w:type="dxa"/>
            <w:tcBorders>
              <w:top w:val="nil"/>
              <w:left w:val="nil"/>
              <w:bottom w:val="nil"/>
              <w:right w:val="nil"/>
            </w:tcBorders>
            <w:shd w:val="clear" w:color="000000" w:fill="FFFFFF"/>
            <w:noWrap/>
            <w:vAlign w:val="center"/>
            <w:hideMark/>
          </w:tcPr>
          <w:p w14:paraId="5F3A4AB1"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21 (7)</w:t>
            </w:r>
          </w:p>
        </w:tc>
        <w:tc>
          <w:tcPr>
            <w:tcW w:w="780" w:type="dxa"/>
            <w:tcBorders>
              <w:top w:val="nil"/>
              <w:left w:val="nil"/>
              <w:bottom w:val="nil"/>
              <w:right w:val="nil"/>
            </w:tcBorders>
            <w:shd w:val="clear" w:color="000000" w:fill="FFFFFF"/>
            <w:noWrap/>
            <w:vAlign w:val="center"/>
            <w:hideMark/>
          </w:tcPr>
          <w:p w14:paraId="5A50534C"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10.6 (6)</w:t>
            </w:r>
          </w:p>
        </w:tc>
        <w:tc>
          <w:tcPr>
            <w:tcW w:w="780" w:type="dxa"/>
            <w:tcBorders>
              <w:top w:val="nil"/>
              <w:left w:val="nil"/>
              <w:bottom w:val="nil"/>
              <w:right w:val="nil"/>
            </w:tcBorders>
            <w:shd w:val="clear" w:color="000000" w:fill="FFFFFF"/>
            <w:noWrap/>
            <w:vAlign w:val="center"/>
            <w:hideMark/>
          </w:tcPr>
          <w:p w14:paraId="56987322"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4.3 (6)</w:t>
            </w:r>
          </w:p>
        </w:tc>
        <w:tc>
          <w:tcPr>
            <w:tcW w:w="896" w:type="dxa"/>
            <w:tcBorders>
              <w:top w:val="nil"/>
              <w:left w:val="nil"/>
              <w:bottom w:val="nil"/>
              <w:right w:val="nil"/>
            </w:tcBorders>
            <w:shd w:val="clear" w:color="000000" w:fill="FFFFFF"/>
            <w:noWrap/>
            <w:vAlign w:val="center"/>
            <w:hideMark/>
          </w:tcPr>
          <w:p w14:paraId="3185C81A"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6.1 (3)</w:t>
            </w:r>
          </w:p>
        </w:tc>
        <w:tc>
          <w:tcPr>
            <w:tcW w:w="896" w:type="dxa"/>
            <w:tcBorders>
              <w:top w:val="nil"/>
              <w:left w:val="nil"/>
              <w:bottom w:val="nil"/>
              <w:right w:val="nil"/>
            </w:tcBorders>
            <w:shd w:val="clear" w:color="000000" w:fill="FFFFFF"/>
            <w:noWrap/>
            <w:vAlign w:val="center"/>
            <w:hideMark/>
          </w:tcPr>
          <w:p w14:paraId="745A64BC"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0.7 (1)</w:t>
            </w:r>
          </w:p>
        </w:tc>
        <w:tc>
          <w:tcPr>
            <w:tcW w:w="896" w:type="dxa"/>
            <w:tcBorders>
              <w:top w:val="nil"/>
              <w:left w:val="nil"/>
              <w:bottom w:val="nil"/>
              <w:right w:val="nil"/>
            </w:tcBorders>
            <w:shd w:val="clear" w:color="000000" w:fill="FFFFFF"/>
            <w:noWrap/>
            <w:vAlign w:val="center"/>
            <w:hideMark/>
          </w:tcPr>
          <w:p w14:paraId="4AD77197"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0.8 (1)</w:t>
            </w:r>
          </w:p>
        </w:tc>
        <w:tc>
          <w:tcPr>
            <w:tcW w:w="896" w:type="dxa"/>
            <w:tcBorders>
              <w:top w:val="nil"/>
              <w:left w:val="nil"/>
              <w:bottom w:val="nil"/>
              <w:right w:val="nil"/>
            </w:tcBorders>
            <w:shd w:val="clear" w:color="000000" w:fill="FFFFFF"/>
            <w:noWrap/>
            <w:vAlign w:val="center"/>
            <w:hideMark/>
          </w:tcPr>
          <w:p w14:paraId="462D79E8"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1.3 (2)</w:t>
            </w:r>
          </w:p>
        </w:tc>
        <w:tc>
          <w:tcPr>
            <w:tcW w:w="1036" w:type="dxa"/>
            <w:tcBorders>
              <w:top w:val="nil"/>
              <w:left w:val="nil"/>
              <w:bottom w:val="nil"/>
              <w:right w:val="nil"/>
            </w:tcBorders>
            <w:shd w:val="clear" w:color="000000" w:fill="FFFFFF"/>
            <w:noWrap/>
            <w:vAlign w:val="center"/>
            <w:hideMark/>
          </w:tcPr>
          <w:p w14:paraId="59AAA121"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01F465C1"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36" w:type="dxa"/>
            <w:tcBorders>
              <w:top w:val="nil"/>
              <w:left w:val="nil"/>
              <w:bottom w:val="nil"/>
              <w:right w:val="nil"/>
            </w:tcBorders>
            <w:shd w:val="clear" w:color="000000" w:fill="FFFFFF"/>
            <w:noWrap/>
            <w:vAlign w:val="center"/>
            <w:hideMark/>
          </w:tcPr>
          <w:p w14:paraId="17F04CC5"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196" w:type="dxa"/>
            <w:tcBorders>
              <w:top w:val="nil"/>
              <w:left w:val="nil"/>
              <w:bottom w:val="nil"/>
              <w:right w:val="nil"/>
            </w:tcBorders>
            <w:shd w:val="clear" w:color="000000" w:fill="FFFFFF"/>
            <w:noWrap/>
            <w:vAlign w:val="center"/>
            <w:hideMark/>
          </w:tcPr>
          <w:p w14:paraId="78BDE91F"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r>
      <w:tr w:rsidR="00BE2462" w:rsidRPr="00BE2462" w14:paraId="2CE9F8DF" w14:textId="77777777" w:rsidTr="00BE2462">
        <w:trPr>
          <w:trHeight w:val="282"/>
        </w:trPr>
        <w:tc>
          <w:tcPr>
            <w:tcW w:w="876" w:type="dxa"/>
            <w:tcBorders>
              <w:top w:val="nil"/>
              <w:left w:val="nil"/>
              <w:bottom w:val="nil"/>
              <w:right w:val="nil"/>
            </w:tcBorders>
            <w:shd w:val="clear" w:color="000000" w:fill="FFFFFF"/>
            <w:noWrap/>
            <w:vAlign w:val="bottom"/>
            <w:hideMark/>
          </w:tcPr>
          <w:p w14:paraId="68884494"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479" w:type="dxa"/>
            <w:tcBorders>
              <w:top w:val="nil"/>
              <w:left w:val="nil"/>
              <w:bottom w:val="nil"/>
              <w:right w:val="nil"/>
            </w:tcBorders>
            <w:shd w:val="clear" w:color="000000" w:fill="FFFFFF"/>
            <w:noWrap/>
            <w:vAlign w:val="center"/>
            <w:hideMark/>
          </w:tcPr>
          <w:p w14:paraId="4EBBCF76"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Nanolite+Halo</w:t>
            </w:r>
          </w:p>
        </w:tc>
        <w:tc>
          <w:tcPr>
            <w:tcW w:w="666" w:type="dxa"/>
            <w:tcBorders>
              <w:top w:val="nil"/>
              <w:left w:val="nil"/>
              <w:bottom w:val="nil"/>
              <w:right w:val="nil"/>
            </w:tcBorders>
            <w:shd w:val="clear" w:color="000000" w:fill="FFFFFF"/>
            <w:noWrap/>
            <w:vAlign w:val="center"/>
            <w:hideMark/>
          </w:tcPr>
          <w:p w14:paraId="1612B8B6"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60 (3)</w:t>
            </w:r>
          </w:p>
        </w:tc>
        <w:tc>
          <w:tcPr>
            <w:tcW w:w="780" w:type="dxa"/>
            <w:tcBorders>
              <w:top w:val="nil"/>
              <w:left w:val="nil"/>
              <w:bottom w:val="nil"/>
              <w:right w:val="nil"/>
            </w:tcBorders>
            <w:shd w:val="clear" w:color="000000" w:fill="FFFFFF"/>
            <w:noWrap/>
            <w:vAlign w:val="center"/>
            <w:hideMark/>
          </w:tcPr>
          <w:p w14:paraId="6744E599"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 (1)</w:t>
            </w:r>
          </w:p>
        </w:tc>
        <w:tc>
          <w:tcPr>
            <w:tcW w:w="895" w:type="dxa"/>
            <w:tcBorders>
              <w:top w:val="nil"/>
              <w:left w:val="nil"/>
              <w:bottom w:val="nil"/>
              <w:right w:val="nil"/>
            </w:tcBorders>
            <w:shd w:val="clear" w:color="000000" w:fill="FFFFFF"/>
            <w:noWrap/>
            <w:vAlign w:val="center"/>
            <w:hideMark/>
          </w:tcPr>
          <w:p w14:paraId="5929035C"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20 (4)</w:t>
            </w:r>
          </w:p>
        </w:tc>
        <w:tc>
          <w:tcPr>
            <w:tcW w:w="780" w:type="dxa"/>
            <w:tcBorders>
              <w:top w:val="nil"/>
              <w:left w:val="nil"/>
              <w:bottom w:val="nil"/>
              <w:right w:val="nil"/>
            </w:tcBorders>
            <w:shd w:val="clear" w:color="000000" w:fill="FFFFFF"/>
            <w:noWrap/>
            <w:vAlign w:val="center"/>
            <w:hideMark/>
          </w:tcPr>
          <w:p w14:paraId="1572C607"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8 (2)</w:t>
            </w:r>
          </w:p>
        </w:tc>
        <w:tc>
          <w:tcPr>
            <w:tcW w:w="780" w:type="dxa"/>
            <w:tcBorders>
              <w:top w:val="nil"/>
              <w:left w:val="nil"/>
              <w:bottom w:val="nil"/>
              <w:right w:val="nil"/>
            </w:tcBorders>
            <w:shd w:val="clear" w:color="000000" w:fill="FFFFFF"/>
            <w:noWrap/>
            <w:vAlign w:val="center"/>
            <w:hideMark/>
          </w:tcPr>
          <w:p w14:paraId="6F23B9B4"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2.8 (2)</w:t>
            </w:r>
          </w:p>
        </w:tc>
        <w:tc>
          <w:tcPr>
            <w:tcW w:w="896" w:type="dxa"/>
            <w:tcBorders>
              <w:top w:val="nil"/>
              <w:left w:val="nil"/>
              <w:bottom w:val="nil"/>
              <w:right w:val="nil"/>
            </w:tcBorders>
            <w:shd w:val="clear" w:color="000000" w:fill="FFFFFF"/>
            <w:noWrap/>
            <w:vAlign w:val="center"/>
            <w:hideMark/>
          </w:tcPr>
          <w:p w14:paraId="48983350"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6.3 (2)</w:t>
            </w:r>
          </w:p>
        </w:tc>
        <w:tc>
          <w:tcPr>
            <w:tcW w:w="896" w:type="dxa"/>
            <w:tcBorders>
              <w:top w:val="nil"/>
              <w:left w:val="nil"/>
              <w:bottom w:val="nil"/>
              <w:right w:val="nil"/>
            </w:tcBorders>
            <w:shd w:val="clear" w:color="000000" w:fill="FFFFFF"/>
            <w:noWrap/>
            <w:vAlign w:val="center"/>
            <w:hideMark/>
          </w:tcPr>
          <w:p w14:paraId="11F566E5"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0.5 (0.5)</w:t>
            </w:r>
          </w:p>
        </w:tc>
        <w:tc>
          <w:tcPr>
            <w:tcW w:w="896" w:type="dxa"/>
            <w:tcBorders>
              <w:top w:val="nil"/>
              <w:left w:val="nil"/>
              <w:bottom w:val="nil"/>
              <w:right w:val="nil"/>
            </w:tcBorders>
            <w:shd w:val="clear" w:color="000000" w:fill="FFFFFF"/>
            <w:noWrap/>
            <w:vAlign w:val="center"/>
            <w:hideMark/>
          </w:tcPr>
          <w:p w14:paraId="0E792913"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0.6 (0.6)</w:t>
            </w:r>
          </w:p>
        </w:tc>
        <w:tc>
          <w:tcPr>
            <w:tcW w:w="896" w:type="dxa"/>
            <w:tcBorders>
              <w:top w:val="nil"/>
              <w:left w:val="nil"/>
              <w:bottom w:val="nil"/>
              <w:right w:val="nil"/>
            </w:tcBorders>
            <w:shd w:val="clear" w:color="000000" w:fill="FFFFFF"/>
            <w:noWrap/>
            <w:vAlign w:val="center"/>
            <w:hideMark/>
          </w:tcPr>
          <w:p w14:paraId="59297520"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0.8 (1)</w:t>
            </w:r>
          </w:p>
        </w:tc>
        <w:tc>
          <w:tcPr>
            <w:tcW w:w="1036" w:type="dxa"/>
            <w:tcBorders>
              <w:top w:val="nil"/>
              <w:left w:val="nil"/>
              <w:bottom w:val="nil"/>
              <w:right w:val="nil"/>
            </w:tcBorders>
            <w:shd w:val="clear" w:color="000000" w:fill="FFFFFF"/>
            <w:noWrap/>
            <w:vAlign w:val="center"/>
            <w:hideMark/>
          </w:tcPr>
          <w:p w14:paraId="267F2172"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7632DD90"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36" w:type="dxa"/>
            <w:tcBorders>
              <w:top w:val="nil"/>
              <w:left w:val="nil"/>
              <w:bottom w:val="nil"/>
              <w:right w:val="nil"/>
            </w:tcBorders>
            <w:shd w:val="clear" w:color="000000" w:fill="FFFFFF"/>
            <w:noWrap/>
            <w:vAlign w:val="center"/>
            <w:hideMark/>
          </w:tcPr>
          <w:p w14:paraId="186AE4A3"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196" w:type="dxa"/>
            <w:tcBorders>
              <w:top w:val="nil"/>
              <w:left w:val="nil"/>
              <w:bottom w:val="nil"/>
              <w:right w:val="nil"/>
            </w:tcBorders>
            <w:shd w:val="clear" w:color="000000" w:fill="FFFFFF"/>
            <w:noWrap/>
            <w:vAlign w:val="center"/>
            <w:hideMark/>
          </w:tcPr>
          <w:p w14:paraId="57D1F67D"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r>
      <w:tr w:rsidR="00BE2462" w:rsidRPr="00BE2462" w14:paraId="597608FC" w14:textId="77777777" w:rsidTr="00BE2462">
        <w:trPr>
          <w:trHeight w:val="282"/>
        </w:trPr>
        <w:tc>
          <w:tcPr>
            <w:tcW w:w="876" w:type="dxa"/>
            <w:tcBorders>
              <w:top w:val="nil"/>
              <w:left w:val="nil"/>
              <w:bottom w:val="nil"/>
              <w:right w:val="nil"/>
            </w:tcBorders>
            <w:shd w:val="clear" w:color="000000" w:fill="FFFFFF"/>
            <w:noWrap/>
            <w:vAlign w:val="bottom"/>
            <w:hideMark/>
          </w:tcPr>
          <w:p w14:paraId="26FD4639"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479" w:type="dxa"/>
            <w:tcBorders>
              <w:top w:val="nil"/>
              <w:left w:val="nil"/>
              <w:bottom w:val="nil"/>
              <w:right w:val="nil"/>
            </w:tcBorders>
            <w:shd w:val="clear" w:color="000000" w:fill="FFFFFF"/>
            <w:noWrap/>
            <w:vAlign w:val="center"/>
            <w:hideMark/>
          </w:tcPr>
          <w:p w14:paraId="5D7BCFEC"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66" w:type="dxa"/>
            <w:tcBorders>
              <w:top w:val="nil"/>
              <w:left w:val="nil"/>
              <w:bottom w:val="nil"/>
              <w:right w:val="nil"/>
            </w:tcBorders>
            <w:shd w:val="clear" w:color="000000" w:fill="FFFFFF"/>
            <w:noWrap/>
            <w:vAlign w:val="center"/>
            <w:hideMark/>
          </w:tcPr>
          <w:p w14:paraId="71E47B0E"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780" w:type="dxa"/>
            <w:tcBorders>
              <w:top w:val="nil"/>
              <w:left w:val="nil"/>
              <w:bottom w:val="nil"/>
              <w:right w:val="nil"/>
            </w:tcBorders>
            <w:shd w:val="clear" w:color="000000" w:fill="FFFFFF"/>
            <w:noWrap/>
            <w:vAlign w:val="center"/>
            <w:hideMark/>
          </w:tcPr>
          <w:p w14:paraId="6551BE9F"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5" w:type="dxa"/>
            <w:tcBorders>
              <w:top w:val="nil"/>
              <w:left w:val="nil"/>
              <w:bottom w:val="nil"/>
              <w:right w:val="nil"/>
            </w:tcBorders>
            <w:shd w:val="clear" w:color="000000" w:fill="FFFFFF"/>
            <w:noWrap/>
            <w:vAlign w:val="center"/>
            <w:hideMark/>
          </w:tcPr>
          <w:p w14:paraId="0C0AC164"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780" w:type="dxa"/>
            <w:tcBorders>
              <w:top w:val="nil"/>
              <w:left w:val="nil"/>
              <w:bottom w:val="nil"/>
              <w:right w:val="nil"/>
            </w:tcBorders>
            <w:shd w:val="clear" w:color="000000" w:fill="FFFFFF"/>
            <w:noWrap/>
            <w:vAlign w:val="center"/>
            <w:hideMark/>
          </w:tcPr>
          <w:p w14:paraId="13A9D4D3"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780" w:type="dxa"/>
            <w:tcBorders>
              <w:top w:val="nil"/>
              <w:left w:val="nil"/>
              <w:bottom w:val="nil"/>
              <w:right w:val="nil"/>
            </w:tcBorders>
            <w:shd w:val="clear" w:color="000000" w:fill="FFFFFF"/>
            <w:noWrap/>
            <w:vAlign w:val="center"/>
            <w:hideMark/>
          </w:tcPr>
          <w:p w14:paraId="75565EAB"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0D7AB2EC"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372EB152"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1555695D"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08B7CEB5"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1036" w:type="dxa"/>
            <w:tcBorders>
              <w:top w:val="nil"/>
              <w:left w:val="nil"/>
              <w:bottom w:val="nil"/>
              <w:right w:val="nil"/>
            </w:tcBorders>
            <w:shd w:val="clear" w:color="000000" w:fill="FFFFFF"/>
            <w:noWrap/>
            <w:vAlign w:val="center"/>
            <w:hideMark/>
          </w:tcPr>
          <w:p w14:paraId="0E81B8E5"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219ED314"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36" w:type="dxa"/>
            <w:tcBorders>
              <w:top w:val="nil"/>
              <w:left w:val="nil"/>
              <w:bottom w:val="nil"/>
              <w:right w:val="nil"/>
            </w:tcBorders>
            <w:shd w:val="clear" w:color="000000" w:fill="FFFFFF"/>
            <w:noWrap/>
            <w:vAlign w:val="center"/>
            <w:hideMark/>
          </w:tcPr>
          <w:p w14:paraId="65146E58"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196" w:type="dxa"/>
            <w:tcBorders>
              <w:top w:val="nil"/>
              <w:left w:val="nil"/>
              <w:bottom w:val="nil"/>
              <w:right w:val="nil"/>
            </w:tcBorders>
            <w:shd w:val="clear" w:color="000000" w:fill="FFFFFF"/>
            <w:noWrap/>
            <w:vAlign w:val="center"/>
            <w:hideMark/>
          </w:tcPr>
          <w:p w14:paraId="5BDA1C21"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r>
      <w:tr w:rsidR="00BE2462" w:rsidRPr="00BE2462" w14:paraId="5B04A563" w14:textId="77777777" w:rsidTr="00BE2462">
        <w:trPr>
          <w:trHeight w:val="270"/>
        </w:trPr>
        <w:tc>
          <w:tcPr>
            <w:tcW w:w="876" w:type="dxa"/>
            <w:tcBorders>
              <w:top w:val="nil"/>
              <w:left w:val="nil"/>
              <w:bottom w:val="nil"/>
              <w:right w:val="nil"/>
            </w:tcBorders>
            <w:shd w:val="clear" w:color="000000" w:fill="FFFFFF"/>
            <w:noWrap/>
            <w:vAlign w:val="bottom"/>
            <w:hideMark/>
          </w:tcPr>
          <w:p w14:paraId="20439413"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MP</w:t>
            </w:r>
            <w:r w:rsidRPr="00BE2462">
              <w:rPr>
                <w:rFonts w:eastAsia="Times New Roman" w:cs="Times New Roman"/>
                <w:color w:val="000000"/>
                <w:sz w:val="16"/>
                <w:szCs w:val="16"/>
                <w:vertAlign w:val="subscript"/>
              </w:rPr>
              <w:t>723</w:t>
            </w:r>
          </w:p>
        </w:tc>
        <w:tc>
          <w:tcPr>
            <w:tcW w:w="1479" w:type="dxa"/>
            <w:tcBorders>
              <w:top w:val="nil"/>
              <w:left w:val="nil"/>
              <w:bottom w:val="nil"/>
              <w:right w:val="nil"/>
            </w:tcBorders>
            <w:shd w:val="clear" w:color="000000" w:fill="FFFFFF"/>
            <w:noWrap/>
            <w:vAlign w:val="center"/>
            <w:hideMark/>
          </w:tcPr>
          <w:p w14:paraId="5B945F4A"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Bulk</w:t>
            </w:r>
          </w:p>
        </w:tc>
        <w:tc>
          <w:tcPr>
            <w:tcW w:w="666" w:type="dxa"/>
            <w:tcBorders>
              <w:top w:val="nil"/>
              <w:left w:val="nil"/>
              <w:bottom w:val="nil"/>
              <w:right w:val="nil"/>
            </w:tcBorders>
            <w:shd w:val="clear" w:color="000000" w:fill="FFFFFF"/>
            <w:noWrap/>
            <w:vAlign w:val="center"/>
            <w:hideMark/>
          </w:tcPr>
          <w:p w14:paraId="6618712C"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62.7</w:t>
            </w:r>
          </w:p>
        </w:tc>
        <w:tc>
          <w:tcPr>
            <w:tcW w:w="780" w:type="dxa"/>
            <w:tcBorders>
              <w:top w:val="nil"/>
              <w:left w:val="nil"/>
              <w:bottom w:val="nil"/>
              <w:right w:val="nil"/>
            </w:tcBorders>
            <w:shd w:val="clear" w:color="000000" w:fill="FFFFFF"/>
            <w:noWrap/>
            <w:vAlign w:val="center"/>
            <w:hideMark/>
          </w:tcPr>
          <w:p w14:paraId="52BA9646"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0.8</w:t>
            </w:r>
          </w:p>
        </w:tc>
        <w:tc>
          <w:tcPr>
            <w:tcW w:w="895" w:type="dxa"/>
            <w:tcBorders>
              <w:top w:val="nil"/>
              <w:left w:val="nil"/>
              <w:bottom w:val="nil"/>
              <w:right w:val="nil"/>
            </w:tcBorders>
            <w:shd w:val="clear" w:color="000000" w:fill="FFFFFF"/>
            <w:noWrap/>
            <w:vAlign w:val="center"/>
            <w:hideMark/>
          </w:tcPr>
          <w:p w14:paraId="5B23EDD8"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17.4</w:t>
            </w:r>
          </w:p>
        </w:tc>
        <w:tc>
          <w:tcPr>
            <w:tcW w:w="780" w:type="dxa"/>
            <w:tcBorders>
              <w:top w:val="nil"/>
              <w:left w:val="nil"/>
              <w:bottom w:val="nil"/>
              <w:right w:val="nil"/>
            </w:tcBorders>
            <w:shd w:val="clear" w:color="000000" w:fill="FFFFFF"/>
            <w:noWrap/>
            <w:vAlign w:val="center"/>
            <w:hideMark/>
          </w:tcPr>
          <w:p w14:paraId="0C685F53"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7.1</w:t>
            </w:r>
          </w:p>
        </w:tc>
        <w:tc>
          <w:tcPr>
            <w:tcW w:w="780" w:type="dxa"/>
            <w:tcBorders>
              <w:top w:val="nil"/>
              <w:left w:val="nil"/>
              <w:bottom w:val="nil"/>
              <w:right w:val="nil"/>
            </w:tcBorders>
            <w:shd w:val="clear" w:color="000000" w:fill="FFFFFF"/>
            <w:noWrap/>
            <w:vAlign w:val="center"/>
            <w:hideMark/>
          </w:tcPr>
          <w:p w14:paraId="1B1D9D31"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2.8</w:t>
            </w:r>
          </w:p>
        </w:tc>
        <w:tc>
          <w:tcPr>
            <w:tcW w:w="896" w:type="dxa"/>
            <w:tcBorders>
              <w:top w:val="nil"/>
              <w:left w:val="nil"/>
              <w:bottom w:val="nil"/>
              <w:right w:val="nil"/>
            </w:tcBorders>
            <w:shd w:val="clear" w:color="000000" w:fill="FFFFFF"/>
            <w:noWrap/>
            <w:vAlign w:val="center"/>
            <w:hideMark/>
          </w:tcPr>
          <w:p w14:paraId="5A241074"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6.1</w:t>
            </w:r>
          </w:p>
        </w:tc>
        <w:tc>
          <w:tcPr>
            <w:tcW w:w="896" w:type="dxa"/>
            <w:tcBorders>
              <w:top w:val="nil"/>
              <w:left w:val="nil"/>
              <w:bottom w:val="nil"/>
              <w:right w:val="nil"/>
            </w:tcBorders>
            <w:shd w:val="clear" w:color="000000" w:fill="FFFFFF"/>
            <w:noWrap/>
            <w:vAlign w:val="center"/>
            <w:hideMark/>
          </w:tcPr>
          <w:p w14:paraId="34982010"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0.8</w:t>
            </w:r>
          </w:p>
        </w:tc>
        <w:tc>
          <w:tcPr>
            <w:tcW w:w="896" w:type="dxa"/>
            <w:tcBorders>
              <w:top w:val="nil"/>
              <w:left w:val="nil"/>
              <w:bottom w:val="nil"/>
              <w:right w:val="nil"/>
            </w:tcBorders>
            <w:shd w:val="clear" w:color="000000" w:fill="FFFFFF"/>
            <w:noWrap/>
            <w:vAlign w:val="center"/>
            <w:hideMark/>
          </w:tcPr>
          <w:p w14:paraId="4B12CB32"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2.0</w:t>
            </w:r>
          </w:p>
        </w:tc>
        <w:tc>
          <w:tcPr>
            <w:tcW w:w="896" w:type="dxa"/>
            <w:tcBorders>
              <w:top w:val="nil"/>
              <w:left w:val="nil"/>
              <w:bottom w:val="nil"/>
              <w:right w:val="nil"/>
            </w:tcBorders>
            <w:shd w:val="clear" w:color="000000" w:fill="FFFFFF"/>
            <w:noWrap/>
            <w:vAlign w:val="center"/>
            <w:hideMark/>
          </w:tcPr>
          <w:p w14:paraId="2B0A1EA6"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0.20</w:t>
            </w:r>
          </w:p>
        </w:tc>
        <w:tc>
          <w:tcPr>
            <w:tcW w:w="1036" w:type="dxa"/>
            <w:tcBorders>
              <w:top w:val="nil"/>
              <w:left w:val="nil"/>
              <w:bottom w:val="nil"/>
              <w:right w:val="nil"/>
            </w:tcBorders>
            <w:shd w:val="clear" w:color="000000" w:fill="FFFFFF"/>
            <w:vAlign w:val="center"/>
            <w:hideMark/>
          </w:tcPr>
          <w:p w14:paraId="3E4685D8"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2.44 ± 0.71</w:t>
            </w:r>
          </w:p>
        </w:tc>
        <w:tc>
          <w:tcPr>
            <w:tcW w:w="896" w:type="dxa"/>
            <w:tcBorders>
              <w:top w:val="nil"/>
              <w:left w:val="nil"/>
              <w:bottom w:val="nil"/>
              <w:right w:val="nil"/>
            </w:tcBorders>
            <w:shd w:val="clear" w:color="000000" w:fill="FFFFFF"/>
            <w:noWrap/>
            <w:vAlign w:val="center"/>
            <w:hideMark/>
          </w:tcPr>
          <w:p w14:paraId="32898A82"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50</w:t>
            </w:r>
          </w:p>
        </w:tc>
        <w:tc>
          <w:tcPr>
            <w:tcW w:w="636" w:type="dxa"/>
            <w:tcBorders>
              <w:top w:val="nil"/>
              <w:left w:val="nil"/>
              <w:bottom w:val="nil"/>
              <w:right w:val="nil"/>
            </w:tcBorders>
            <w:shd w:val="clear" w:color="000000" w:fill="FFFFFF"/>
            <w:noWrap/>
            <w:vAlign w:val="center"/>
            <w:hideMark/>
          </w:tcPr>
          <w:p w14:paraId="61936B4D"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1.70</w:t>
            </w:r>
          </w:p>
        </w:tc>
        <w:tc>
          <w:tcPr>
            <w:tcW w:w="1196" w:type="dxa"/>
            <w:tcBorders>
              <w:top w:val="nil"/>
              <w:left w:val="nil"/>
              <w:bottom w:val="nil"/>
              <w:right w:val="nil"/>
            </w:tcBorders>
            <w:shd w:val="clear" w:color="000000" w:fill="FFFFFF"/>
            <w:noWrap/>
            <w:vAlign w:val="center"/>
            <w:hideMark/>
          </w:tcPr>
          <w:p w14:paraId="6F884D26"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2.09</w:t>
            </w:r>
          </w:p>
        </w:tc>
      </w:tr>
      <w:tr w:rsidR="00BE2462" w:rsidRPr="00BE2462" w14:paraId="74289635" w14:textId="77777777" w:rsidTr="00BE2462">
        <w:trPr>
          <w:trHeight w:val="282"/>
        </w:trPr>
        <w:tc>
          <w:tcPr>
            <w:tcW w:w="876" w:type="dxa"/>
            <w:tcBorders>
              <w:top w:val="nil"/>
              <w:left w:val="nil"/>
              <w:bottom w:val="nil"/>
              <w:right w:val="nil"/>
            </w:tcBorders>
            <w:shd w:val="clear" w:color="000000" w:fill="FFFFFF"/>
            <w:noWrap/>
            <w:vAlign w:val="bottom"/>
            <w:hideMark/>
          </w:tcPr>
          <w:p w14:paraId="5C49A719"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479" w:type="dxa"/>
            <w:tcBorders>
              <w:top w:val="nil"/>
              <w:left w:val="nil"/>
              <w:bottom w:val="nil"/>
              <w:right w:val="nil"/>
            </w:tcBorders>
            <w:shd w:val="clear" w:color="000000" w:fill="FFFFFF"/>
            <w:noWrap/>
            <w:vAlign w:val="center"/>
            <w:hideMark/>
          </w:tcPr>
          <w:p w14:paraId="109C45A6"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Matrix</w:t>
            </w:r>
          </w:p>
        </w:tc>
        <w:tc>
          <w:tcPr>
            <w:tcW w:w="666" w:type="dxa"/>
            <w:tcBorders>
              <w:top w:val="nil"/>
              <w:left w:val="nil"/>
              <w:bottom w:val="nil"/>
              <w:right w:val="nil"/>
            </w:tcBorders>
            <w:shd w:val="clear" w:color="000000" w:fill="FFFFFF"/>
            <w:noWrap/>
            <w:vAlign w:val="center"/>
            <w:hideMark/>
          </w:tcPr>
          <w:p w14:paraId="5628A36E"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71 (5)</w:t>
            </w:r>
          </w:p>
        </w:tc>
        <w:tc>
          <w:tcPr>
            <w:tcW w:w="780" w:type="dxa"/>
            <w:tcBorders>
              <w:top w:val="nil"/>
              <w:left w:val="nil"/>
              <w:bottom w:val="nil"/>
              <w:right w:val="nil"/>
            </w:tcBorders>
            <w:shd w:val="clear" w:color="000000" w:fill="FFFFFF"/>
            <w:noWrap/>
            <w:vAlign w:val="center"/>
            <w:hideMark/>
          </w:tcPr>
          <w:p w14:paraId="7012A0A7"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0.8 (0.9)</w:t>
            </w:r>
          </w:p>
        </w:tc>
        <w:tc>
          <w:tcPr>
            <w:tcW w:w="895" w:type="dxa"/>
            <w:tcBorders>
              <w:top w:val="nil"/>
              <w:left w:val="nil"/>
              <w:bottom w:val="nil"/>
              <w:right w:val="nil"/>
            </w:tcBorders>
            <w:shd w:val="clear" w:color="000000" w:fill="FFFFFF"/>
            <w:noWrap/>
            <w:vAlign w:val="center"/>
            <w:hideMark/>
          </w:tcPr>
          <w:p w14:paraId="15AA23E0"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16 (4.8)</w:t>
            </w:r>
          </w:p>
        </w:tc>
        <w:tc>
          <w:tcPr>
            <w:tcW w:w="780" w:type="dxa"/>
            <w:tcBorders>
              <w:top w:val="nil"/>
              <w:left w:val="nil"/>
              <w:bottom w:val="nil"/>
              <w:right w:val="nil"/>
            </w:tcBorders>
            <w:shd w:val="clear" w:color="000000" w:fill="FFFFFF"/>
            <w:noWrap/>
            <w:vAlign w:val="center"/>
            <w:hideMark/>
          </w:tcPr>
          <w:p w14:paraId="3B2F0FEF"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2.8 (1.6)</w:t>
            </w:r>
          </w:p>
        </w:tc>
        <w:tc>
          <w:tcPr>
            <w:tcW w:w="780" w:type="dxa"/>
            <w:tcBorders>
              <w:top w:val="nil"/>
              <w:left w:val="nil"/>
              <w:bottom w:val="nil"/>
              <w:right w:val="nil"/>
            </w:tcBorders>
            <w:shd w:val="clear" w:color="000000" w:fill="FFFFFF"/>
            <w:noWrap/>
            <w:vAlign w:val="center"/>
            <w:hideMark/>
          </w:tcPr>
          <w:p w14:paraId="17830936"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 (1)</w:t>
            </w:r>
          </w:p>
        </w:tc>
        <w:tc>
          <w:tcPr>
            <w:tcW w:w="896" w:type="dxa"/>
            <w:tcBorders>
              <w:top w:val="nil"/>
              <w:left w:val="nil"/>
              <w:bottom w:val="nil"/>
              <w:right w:val="nil"/>
            </w:tcBorders>
            <w:shd w:val="clear" w:color="000000" w:fill="FFFFFF"/>
            <w:noWrap/>
            <w:vAlign w:val="center"/>
            <w:hideMark/>
          </w:tcPr>
          <w:p w14:paraId="190517BD"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4.7 (2)</w:t>
            </w:r>
          </w:p>
        </w:tc>
        <w:tc>
          <w:tcPr>
            <w:tcW w:w="896" w:type="dxa"/>
            <w:tcBorders>
              <w:top w:val="nil"/>
              <w:left w:val="nil"/>
              <w:bottom w:val="nil"/>
              <w:right w:val="nil"/>
            </w:tcBorders>
            <w:shd w:val="clear" w:color="000000" w:fill="FFFFFF"/>
            <w:noWrap/>
            <w:vAlign w:val="center"/>
            <w:hideMark/>
          </w:tcPr>
          <w:p w14:paraId="736C6D32"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0.4 (0.6)</w:t>
            </w:r>
          </w:p>
        </w:tc>
        <w:tc>
          <w:tcPr>
            <w:tcW w:w="896" w:type="dxa"/>
            <w:tcBorders>
              <w:top w:val="nil"/>
              <w:left w:val="nil"/>
              <w:bottom w:val="nil"/>
              <w:right w:val="nil"/>
            </w:tcBorders>
            <w:shd w:val="clear" w:color="000000" w:fill="FFFFFF"/>
            <w:noWrap/>
            <w:vAlign w:val="center"/>
            <w:hideMark/>
          </w:tcPr>
          <w:p w14:paraId="21A61891"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0.8 (0.9)</w:t>
            </w:r>
          </w:p>
        </w:tc>
        <w:tc>
          <w:tcPr>
            <w:tcW w:w="896" w:type="dxa"/>
            <w:tcBorders>
              <w:top w:val="nil"/>
              <w:left w:val="nil"/>
              <w:bottom w:val="nil"/>
              <w:right w:val="nil"/>
            </w:tcBorders>
            <w:shd w:val="clear" w:color="000000" w:fill="FFFFFF"/>
            <w:noWrap/>
            <w:vAlign w:val="center"/>
            <w:hideMark/>
          </w:tcPr>
          <w:p w14:paraId="7C0940D3"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 (0.6)</w:t>
            </w:r>
          </w:p>
        </w:tc>
        <w:tc>
          <w:tcPr>
            <w:tcW w:w="1036" w:type="dxa"/>
            <w:tcBorders>
              <w:top w:val="nil"/>
              <w:left w:val="nil"/>
              <w:bottom w:val="nil"/>
              <w:right w:val="nil"/>
            </w:tcBorders>
            <w:shd w:val="clear" w:color="000000" w:fill="FFFFFF"/>
            <w:vAlign w:val="center"/>
            <w:hideMark/>
          </w:tcPr>
          <w:p w14:paraId="0A08C9CE"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0E328DB9"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36" w:type="dxa"/>
            <w:tcBorders>
              <w:top w:val="nil"/>
              <w:left w:val="nil"/>
              <w:bottom w:val="nil"/>
              <w:right w:val="nil"/>
            </w:tcBorders>
            <w:shd w:val="clear" w:color="000000" w:fill="FFFFFF"/>
            <w:noWrap/>
            <w:vAlign w:val="center"/>
            <w:hideMark/>
          </w:tcPr>
          <w:p w14:paraId="4473BA4A"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196" w:type="dxa"/>
            <w:tcBorders>
              <w:top w:val="nil"/>
              <w:left w:val="nil"/>
              <w:bottom w:val="nil"/>
              <w:right w:val="nil"/>
            </w:tcBorders>
            <w:shd w:val="clear" w:color="000000" w:fill="FFFFFF"/>
            <w:noWrap/>
            <w:vAlign w:val="center"/>
            <w:hideMark/>
          </w:tcPr>
          <w:p w14:paraId="26BE78AF"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r>
      <w:tr w:rsidR="00BE2462" w:rsidRPr="00BE2462" w14:paraId="4DB2449D" w14:textId="77777777" w:rsidTr="00BE2462">
        <w:trPr>
          <w:trHeight w:val="282"/>
        </w:trPr>
        <w:tc>
          <w:tcPr>
            <w:tcW w:w="876" w:type="dxa"/>
            <w:tcBorders>
              <w:top w:val="nil"/>
              <w:left w:val="nil"/>
              <w:bottom w:val="nil"/>
              <w:right w:val="nil"/>
            </w:tcBorders>
            <w:shd w:val="clear" w:color="000000" w:fill="FFFFFF"/>
            <w:noWrap/>
            <w:vAlign w:val="bottom"/>
            <w:hideMark/>
          </w:tcPr>
          <w:p w14:paraId="541757C7"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479" w:type="dxa"/>
            <w:tcBorders>
              <w:top w:val="nil"/>
              <w:left w:val="nil"/>
              <w:bottom w:val="nil"/>
              <w:right w:val="nil"/>
            </w:tcBorders>
            <w:shd w:val="clear" w:color="000000" w:fill="FFFFFF"/>
            <w:noWrap/>
            <w:vAlign w:val="center"/>
            <w:hideMark/>
          </w:tcPr>
          <w:p w14:paraId="1E8F561F"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Nanolite</w:t>
            </w:r>
          </w:p>
        </w:tc>
        <w:tc>
          <w:tcPr>
            <w:tcW w:w="666" w:type="dxa"/>
            <w:tcBorders>
              <w:top w:val="nil"/>
              <w:left w:val="nil"/>
              <w:bottom w:val="nil"/>
              <w:right w:val="nil"/>
            </w:tcBorders>
            <w:shd w:val="clear" w:color="000000" w:fill="FFFFFF"/>
            <w:noWrap/>
            <w:vAlign w:val="center"/>
            <w:hideMark/>
          </w:tcPr>
          <w:p w14:paraId="7BE79B28"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53 (9)</w:t>
            </w:r>
          </w:p>
        </w:tc>
        <w:tc>
          <w:tcPr>
            <w:tcW w:w="780" w:type="dxa"/>
            <w:tcBorders>
              <w:top w:val="nil"/>
              <w:left w:val="nil"/>
              <w:bottom w:val="nil"/>
              <w:right w:val="nil"/>
            </w:tcBorders>
            <w:shd w:val="clear" w:color="000000" w:fill="FFFFFF"/>
            <w:noWrap/>
            <w:vAlign w:val="center"/>
            <w:hideMark/>
          </w:tcPr>
          <w:p w14:paraId="7F383AB3" w14:textId="2636D678"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1.6 (</w:t>
            </w:r>
            <w:r w:rsidR="00A82169">
              <w:rPr>
                <w:rFonts w:eastAsia="Times New Roman" w:cs="Times New Roman"/>
                <w:color w:val="000000"/>
                <w:sz w:val="16"/>
                <w:szCs w:val="16"/>
              </w:rPr>
              <w:t>1</w:t>
            </w:r>
            <w:r w:rsidRPr="00BE2462">
              <w:rPr>
                <w:rFonts w:eastAsia="Times New Roman" w:cs="Times New Roman"/>
                <w:color w:val="000000"/>
                <w:sz w:val="16"/>
                <w:szCs w:val="16"/>
              </w:rPr>
              <w:t>)</w:t>
            </w:r>
          </w:p>
        </w:tc>
        <w:tc>
          <w:tcPr>
            <w:tcW w:w="895" w:type="dxa"/>
            <w:tcBorders>
              <w:top w:val="nil"/>
              <w:left w:val="nil"/>
              <w:bottom w:val="nil"/>
              <w:right w:val="nil"/>
            </w:tcBorders>
            <w:shd w:val="clear" w:color="000000" w:fill="FFFFFF"/>
            <w:noWrap/>
            <w:vAlign w:val="center"/>
            <w:hideMark/>
          </w:tcPr>
          <w:p w14:paraId="2B30D7E5"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18.6 (6)</w:t>
            </w:r>
          </w:p>
        </w:tc>
        <w:tc>
          <w:tcPr>
            <w:tcW w:w="780" w:type="dxa"/>
            <w:tcBorders>
              <w:top w:val="nil"/>
              <w:left w:val="nil"/>
              <w:bottom w:val="nil"/>
              <w:right w:val="nil"/>
            </w:tcBorders>
            <w:shd w:val="clear" w:color="000000" w:fill="FFFFFF"/>
            <w:noWrap/>
            <w:vAlign w:val="center"/>
            <w:hideMark/>
          </w:tcPr>
          <w:p w14:paraId="0BD73134"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13 (5)</w:t>
            </w:r>
          </w:p>
        </w:tc>
        <w:tc>
          <w:tcPr>
            <w:tcW w:w="780" w:type="dxa"/>
            <w:tcBorders>
              <w:top w:val="nil"/>
              <w:left w:val="nil"/>
              <w:bottom w:val="nil"/>
              <w:right w:val="nil"/>
            </w:tcBorders>
            <w:shd w:val="clear" w:color="000000" w:fill="FFFFFF"/>
            <w:noWrap/>
            <w:vAlign w:val="center"/>
            <w:hideMark/>
          </w:tcPr>
          <w:p w14:paraId="59875688"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2.5 (2)</w:t>
            </w:r>
          </w:p>
        </w:tc>
        <w:tc>
          <w:tcPr>
            <w:tcW w:w="896" w:type="dxa"/>
            <w:tcBorders>
              <w:top w:val="nil"/>
              <w:left w:val="nil"/>
              <w:bottom w:val="nil"/>
              <w:right w:val="nil"/>
            </w:tcBorders>
            <w:shd w:val="clear" w:color="000000" w:fill="FFFFFF"/>
            <w:noWrap/>
            <w:vAlign w:val="center"/>
            <w:hideMark/>
          </w:tcPr>
          <w:p w14:paraId="380F738D"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7.3 (4)</w:t>
            </w:r>
          </w:p>
        </w:tc>
        <w:tc>
          <w:tcPr>
            <w:tcW w:w="896" w:type="dxa"/>
            <w:tcBorders>
              <w:top w:val="nil"/>
              <w:left w:val="nil"/>
              <w:bottom w:val="nil"/>
              <w:right w:val="nil"/>
            </w:tcBorders>
            <w:shd w:val="clear" w:color="000000" w:fill="FFFFFF"/>
            <w:noWrap/>
            <w:vAlign w:val="center"/>
            <w:hideMark/>
          </w:tcPr>
          <w:p w14:paraId="43D0C163"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0.8 (1)</w:t>
            </w:r>
          </w:p>
        </w:tc>
        <w:tc>
          <w:tcPr>
            <w:tcW w:w="896" w:type="dxa"/>
            <w:tcBorders>
              <w:top w:val="nil"/>
              <w:left w:val="nil"/>
              <w:bottom w:val="nil"/>
              <w:right w:val="nil"/>
            </w:tcBorders>
            <w:shd w:val="clear" w:color="000000" w:fill="FFFFFF"/>
            <w:noWrap/>
            <w:vAlign w:val="center"/>
            <w:hideMark/>
          </w:tcPr>
          <w:p w14:paraId="3A97D2A6"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1.3 (2)</w:t>
            </w:r>
          </w:p>
        </w:tc>
        <w:tc>
          <w:tcPr>
            <w:tcW w:w="896" w:type="dxa"/>
            <w:tcBorders>
              <w:top w:val="nil"/>
              <w:left w:val="nil"/>
              <w:bottom w:val="nil"/>
              <w:right w:val="nil"/>
            </w:tcBorders>
            <w:shd w:val="clear" w:color="000000" w:fill="FFFFFF"/>
            <w:noWrap/>
            <w:vAlign w:val="center"/>
            <w:hideMark/>
          </w:tcPr>
          <w:p w14:paraId="6D79026B"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0.7 (2)</w:t>
            </w:r>
          </w:p>
        </w:tc>
        <w:tc>
          <w:tcPr>
            <w:tcW w:w="1036" w:type="dxa"/>
            <w:tcBorders>
              <w:top w:val="nil"/>
              <w:left w:val="nil"/>
              <w:bottom w:val="nil"/>
              <w:right w:val="nil"/>
            </w:tcBorders>
            <w:shd w:val="clear" w:color="000000" w:fill="FFFFFF"/>
            <w:noWrap/>
            <w:vAlign w:val="center"/>
            <w:hideMark/>
          </w:tcPr>
          <w:p w14:paraId="565EB416"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0A2F9B85"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36" w:type="dxa"/>
            <w:tcBorders>
              <w:top w:val="nil"/>
              <w:left w:val="nil"/>
              <w:bottom w:val="nil"/>
              <w:right w:val="nil"/>
            </w:tcBorders>
            <w:shd w:val="clear" w:color="000000" w:fill="FFFFFF"/>
            <w:noWrap/>
            <w:vAlign w:val="center"/>
            <w:hideMark/>
          </w:tcPr>
          <w:p w14:paraId="5F6DE387"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196" w:type="dxa"/>
            <w:tcBorders>
              <w:top w:val="nil"/>
              <w:left w:val="nil"/>
              <w:bottom w:val="nil"/>
              <w:right w:val="nil"/>
            </w:tcBorders>
            <w:shd w:val="clear" w:color="000000" w:fill="FFFFFF"/>
            <w:noWrap/>
            <w:vAlign w:val="center"/>
            <w:hideMark/>
          </w:tcPr>
          <w:p w14:paraId="15BEA450"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r>
      <w:tr w:rsidR="00BE2462" w:rsidRPr="00BE2462" w14:paraId="390978D6" w14:textId="77777777" w:rsidTr="00BE2462">
        <w:trPr>
          <w:trHeight w:val="282"/>
        </w:trPr>
        <w:tc>
          <w:tcPr>
            <w:tcW w:w="876" w:type="dxa"/>
            <w:tcBorders>
              <w:top w:val="nil"/>
              <w:left w:val="nil"/>
              <w:bottom w:val="nil"/>
              <w:right w:val="nil"/>
            </w:tcBorders>
            <w:shd w:val="clear" w:color="000000" w:fill="FFFFFF"/>
            <w:noWrap/>
            <w:vAlign w:val="bottom"/>
            <w:hideMark/>
          </w:tcPr>
          <w:p w14:paraId="4AFF13AD"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479" w:type="dxa"/>
            <w:tcBorders>
              <w:top w:val="nil"/>
              <w:left w:val="nil"/>
              <w:bottom w:val="nil"/>
              <w:right w:val="nil"/>
            </w:tcBorders>
            <w:shd w:val="clear" w:color="000000" w:fill="FFFFFF"/>
            <w:noWrap/>
            <w:vAlign w:val="center"/>
            <w:hideMark/>
          </w:tcPr>
          <w:p w14:paraId="36A2A91E"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Nanolite+Halo</w:t>
            </w:r>
          </w:p>
        </w:tc>
        <w:tc>
          <w:tcPr>
            <w:tcW w:w="666" w:type="dxa"/>
            <w:tcBorders>
              <w:top w:val="nil"/>
              <w:left w:val="nil"/>
              <w:bottom w:val="nil"/>
              <w:right w:val="nil"/>
            </w:tcBorders>
            <w:shd w:val="clear" w:color="000000" w:fill="FFFFFF"/>
            <w:noWrap/>
            <w:vAlign w:val="center"/>
            <w:hideMark/>
          </w:tcPr>
          <w:p w14:paraId="193EB280"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60 (3)</w:t>
            </w:r>
          </w:p>
        </w:tc>
        <w:tc>
          <w:tcPr>
            <w:tcW w:w="780" w:type="dxa"/>
            <w:tcBorders>
              <w:top w:val="nil"/>
              <w:left w:val="nil"/>
              <w:bottom w:val="nil"/>
              <w:right w:val="nil"/>
            </w:tcBorders>
            <w:shd w:val="clear" w:color="000000" w:fill="FFFFFF"/>
            <w:noWrap/>
            <w:vAlign w:val="center"/>
            <w:hideMark/>
          </w:tcPr>
          <w:p w14:paraId="1552A0BC"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1.1 (0.5)</w:t>
            </w:r>
          </w:p>
        </w:tc>
        <w:tc>
          <w:tcPr>
            <w:tcW w:w="895" w:type="dxa"/>
            <w:tcBorders>
              <w:top w:val="nil"/>
              <w:left w:val="nil"/>
              <w:bottom w:val="nil"/>
              <w:right w:val="nil"/>
            </w:tcBorders>
            <w:shd w:val="clear" w:color="000000" w:fill="FFFFFF"/>
            <w:noWrap/>
            <w:vAlign w:val="center"/>
            <w:hideMark/>
          </w:tcPr>
          <w:p w14:paraId="1DED03AC"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18 (1.4)</w:t>
            </w:r>
          </w:p>
        </w:tc>
        <w:tc>
          <w:tcPr>
            <w:tcW w:w="780" w:type="dxa"/>
            <w:tcBorders>
              <w:top w:val="nil"/>
              <w:left w:val="nil"/>
              <w:bottom w:val="nil"/>
              <w:right w:val="nil"/>
            </w:tcBorders>
            <w:shd w:val="clear" w:color="000000" w:fill="FFFFFF"/>
            <w:noWrap/>
            <w:vAlign w:val="center"/>
            <w:hideMark/>
          </w:tcPr>
          <w:p w14:paraId="28B299E1"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8.4 (2)</w:t>
            </w:r>
          </w:p>
        </w:tc>
        <w:tc>
          <w:tcPr>
            <w:tcW w:w="780" w:type="dxa"/>
            <w:tcBorders>
              <w:top w:val="nil"/>
              <w:left w:val="nil"/>
              <w:bottom w:val="nil"/>
              <w:right w:val="nil"/>
            </w:tcBorders>
            <w:shd w:val="clear" w:color="000000" w:fill="FFFFFF"/>
            <w:noWrap/>
            <w:vAlign w:val="center"/>
            <w:hideMark/>
          </w:tcPr>
          <w:p w14:paraId="66C60FA6"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3.1 (1)</w:t>
            </w:r>
          </w:p>
        </w:tc>
        <w:tc>
          <w:tcPr>
            <w:tcW w:w="896" w:type="dxa"/>
            <w:tcBorders>
              <w:top w:val="nil"/>
              <w:left w:val="nil"/>
              <w:bottom w:val="nil"/>
              <w:right w:val="nil"/>
            </w:tcBorders>
            <w:shd w:val="clear" w:color="000000" w:fill="FFFFFF"/>
            <w:noWrap/>
            <w:vAlign w:val="center"/>
            <w:hideMark/>
          </w:tcPr>
          <w:p w14:paraId="57533503"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6.8 (4)</w:t>
            </w:r>
          </w:p>
        </w:tc>
        <w:tc>
          <w:tcPr>
            <w:tcW w:w="896" w:type="dxa"/>
            <w:tcBorders>
              <w:top w:val="nil"/>
              <w:left w:val="nil"/>
              <w:bottom w:val="nil"/>
              <w:right w:val="nil"/>
            </w:tcBorders>
            <w:shd w:val="clear" w:color="000000" w:fill="FFFFFF"/>
            <w:noWrap/>
            <w:vAlign w:val="center"/>
            <w:hideMark/>
          </w:tcPr>
          <w:p w14:paraId="2E258889"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0.5 (0.4)</w:t>
            </w:r>
          </w:p>
        </w:tc>
        <w:tc>
          <w:tcPr>
            <w:tcW w:w="896" w:type="dxa"/>
            <w:tcBorders>
              <w:top w:val="nil"/>
              <w:left w:val="nil"/>
              <w:bottom w:val="nil"/>
              <w:right w:val="nil"/>
            </w:tcBorders>
            <w:shd w:val="clear" w:color="000000" w:fill="FFFFFF"/>
            <w:noWrap/>
            <w:vAlign w:val="center"/>
            <w:hideMark/>
          </w:tcPr>
          <w:p w14:paraId="70F3BE71"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0.9 (0.6)</w:t>
            </w:r>
          </w:p>
        </w:tc>
        <w:tc>
          <w:tcPr>
            <w:tcW w:w="896" w:type="dxa"/>
            <w:tcBorders>
              <w:top w:val="nil"/>
              <w:left w:val="nil"/>
              <w:bottom w:val="nil"/>
              <w:right w:val="nil"/>
            </w:tcBorders>
            <w:shd w:val="clear" w:color="000000" w:fill="FFFFFF"/>
            <w:noWrap/>
            <w:vAlign w:val="center"/>
            <w:hideMark/>
          </w:tcPr>
          <w:p w14:paraId="51DDEA9D"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0.4 (0.6)</w:t>
            </w:r>
          </w:p>
        </w:tc>
        <w:tc>
          <w:tcPr>
            <w:tcW w:w="1036" w:type="dxa"/>
            <w:tcBorders>
              <w:top w:val="nil"/>
              <w:left w:val="nil"/>
              <w:bottom w:val="nil"/>
              <w:right w:val="nil"/>
            </w:tcBorders>
            <w:shd w:val="clear" w:color="000000" w:fill="FFFFFF"/>
            <w:noWrap/>
            <w:vAlign w:val="center"/>
            <w:hideMark/>
          </w:tcPr>
          <w:p w14:paraId="497E62B9"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109E3D4F"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36" w:type="dxa"/>
            <w:tcBorders>
              <w:top w:val="nil"/>
              <w:left w:val="nil"/>
              <w:bottom w:val="nil"/>
              <w:right w:val="nil"/>
            </w:tcBorders>
            <w:shd w:val="clear" w:color="000000" w:fill="FFFFFF"/>
            <w:noWrap/>
            <w:vAlign w:val="center"/>
            <w:hideMark/>
          </w:tcPr>
          <w:p w14:paraId="21A2BAF8"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196" w:type="dxa"/>
            <w:tcBorders>
              <w:top w:val="nil"/>
              <w:left w:val="nil"/>
              <w:bottom w:val="nil"/>
              <w:right w:val="nil"/>
            </w:tcBorders>
            <w:shd w:val="clear" w:color="000000" w:fill="FFFFFF"/>
            <w:noWrap/>
            <w:vAlign w:val="center"/>
            <w:hideMark/>
          </w:tcPr>
          <w:p w14:paraId="7AEB8991"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r>
      <w:tr w:rsidR="00BE2462" w:rsidRPr="00BE2462" w14:paraId="1DF1A270" w14:textId="77777777" w:rsidTr="00BE2462">
        <w:trPr>
          <w:trHeight w:val="282"/>
        </w:trPr>
        <w:tc>
          <w:tcPr>
            <w:tcW w:w="876" w:type="dxa"/>
            <w:tcBorders>
              <w:top w:val="nil"/>
              <w:left w:val="nil"/>
              <w:bottom w:val="nil"/>
              <w:right w:val="nil"/>
            </w:tcBorders>
            <w:shd w:val="clear" w:color="000000" w:fill="FFFFFF"/>
            <w:noWrap/>
            <w:vAlign w:val="bottom"/>
            <w:hideMark/>
          </w:tcPr>
          <w:p w14:paraId="3B6D78A4"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479" w:type="dxa"/>
            <w:tcBorders>
              <w:top w:val="nil"/>
              <w:left w:val="nil"/>
              <w:bottom w:val="nil"/>
              <w:right w:val="nil"/>
            </w:tcBorders>
            <w:shd w:val="clear" w:color="000000" w:fill="FFFFFF"/>
            <w:noWrap/>
            <w:vAlign w:val="center"/>
            <w:hideMark/>
          </w:tcPr>
          <w:p w14:paraId="71BA0FAE"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66" w:type="dxa"/>
            <w:tcBorders>
              <w:top w:val="nil"/>
              <w:left w:val="nil"/>
              <w:bottom w:val="nil"/>
              <w:right w:val="nil"/>
            </w:tcBorders>
            <w:shd w:val="clear" w:color="000000" w:fill="FFFFFF"/>
            <w:noWrap/>
            <w:vAlign w:val="center"/>
            <w:hideMark/>
          </w:tcPr>
          <w:p w14:paraId="09F879D4"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780" w:type="dxa"/>
            <w:tcBorders>
              <w:top w:val="nil"/>
              <w:left w:val="nil"/>
              <w:bottom w:val="nil"/>
              <w:right w:val="nil"/>
            </w:tcBorders>
            <w:shd w:val="clear" w:color="000000" w:fill="FFFFFF"/>
            <w:noWrap/>
            <w:vAlign w:val="center"/>
            <w:hideMark/>
          </w:tcPr>
          <w:p w14:paraId="1C6677FC"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5" w:type="dxa"/>
            <w:tcBorders>
              <w:top w:val="nil"/>
              <w:left w:val="nil"/>
              <w:bottom w:val="nil"/>
              <w:right w:val="nil"/>
            </w:tcBorders>
            <w:shd w:val="clear" w:color="000000" w:fill="FFFFFF"/>
            <w:noWrap/>
            <w:vAlign w:val="center"/>
            <w:hideMark/>
          </w:tcPr>
          <w:p w14:paraId="2215BA58"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780" w:type="dxa"/>
            <w:tcBorders>
              <w:top w:val="nil"/>
              <w:left w:val="nil"/>
              <w:bottom w:val="nil"/>
              <w:right w:val="nil"/>
            </w:tcBorders>
            <w:shd w:val="clear" w:color="000000" w:fill="FFFFFF"/>
            <w:noWrap/>
            <w:vAlign w:val="center"/>
            <w:hideMark/>
          </w:tcPr>
          <w:p w14:paraId="369A737F"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780" w:type="dxa"/>
            <w:tcBorders>
              <w:top w:val="nil"/>
              <w:left w:val="nil"/>
              <w:bottom w:val="nil"/>
              <w:right w:val="nil"/>
            </w:tcBorders>
            <w:shd w:val="clear" w:color="000000" w:fill="FFFFFF"/>
            <w:noWrap/>
            <w:vAlign w:val="center"/>
            <w:hideMark/>
          </w:tcPr>
          <w:p w14:paraId="5E4DAB72"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64B72C39"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6228718E"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44992F2D"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43B39BFA"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1036" w:type="dxa"/>
            <w:tcBorders>
              <w:top w:val="nil"/>
              <w:left w:val="nil"/>
              <w:bottom w:val="nil"/>
              <w:right w:val="nil"/>
            </w:tcBorders>
            <w:shd w:val="clear" w:color="000000" w:fill="FFFFFF"/>
            <w:noWrap/>
            <w:vAlign w:val="center"/>
            <w:hideMark/>
          </w:tcPr>
          <w:p w14:paraId="5C739C5C"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5A426DC1"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36" w:type="dxa"/>
            <w:tcBorders>
              <w:top w:val="nil"/>
              <w:left w:val="nil"/>
              <w:bottom w:val="nil"/>
              <w:right w:val="nil"/>
            </w:tcBorders>
            <w:shd w:val="clear" w:color="000000" w:fill="FFFFFF"/>
            <w:noWrap/>
            <w:vAlign w:val="center"/>
            <w:hideMark/>
          </w:tcPr>
          <w:p w14:paraId="41797A60"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196" w:type="dxa"/>
            <w:tcBorders>
              <w:top w:val="nil"/>
              <w:left w:val="nil"/>
              <w:bottom w:val="nil"/>
              <w:right w:val="nil"/>
            </w:tcBorders>
            <w:shd w:val="clear" w:color="000000" w:fill="FFFFFF"/>
            <w:noWrap/>
            <w:vAlign w:val="center"/>
            <w:hideMark/>
          </w:tcPr>
          <w:p w14:paraId="6C5898FA"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r>
      <w:tr w:rsidR="00BE2462" w:rsidRPr="00BE2462" w14:paraId="0324B01F" w14:textId="77777777" w:rsidTr="00BE2462">
        <w:trPr>
          <w:trHeight w:val="270"/>
        </w:trPr>
        <w:tc>
          <w:tcPr>
            <w:tcW w:w="876" w:type="dxa"/>
            <w:tcBorders>
              <w:top w:val="nil"/>
              <w:left w:val="nil"/>
              <w:bottom w:val="nil"/>
              <w:right w:val="nil"/>
            </w:tcBorders>
            <w:shd w:val="clear" w:color="000000" w:fill="FFFFFF"/>
            <w:noWrap/>
            <w:vAlign w:val="bottom"/>
            <w:hideMark/>
          </w:tcPr>
          <w:p w14:paraId="59F160A7"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MP</w:t>
            </w:r>
            <w:r w:rsidRPr="00BE2462">
              <w:rPr>
                <w:rFonts w:eastAsia="Times New Roman" w:cs="Times New Roman"/>
                <w:color w:val="000000"/>
                <w:sz w:val="16"/>
                <w:szCs w:val="16"/>
                <w:vertAlign w:val="subscript"/>
              </w:rPr>
              <w:t>808</w:t>
            </w:r>
          </w:p>
        </w:tc>
        <w:tc>
          <w:tcPr>
            <w:tcW w:w="1479" w:type="dxa"/>
            <w:tcBorders>
              <w:top w:val="nil"/>
              <w:left w:val="nil"/>
              <w:bottom w:val="nil"/>
              <w:right w:val="nil"/>
            </w:tcBorders>
            <w:shd w:val="clear" w:color="000000" w:fill="FFFFFF"/>
            <w:noWrap/>
            <w:vAlign w:val="center"/>
            <w:hideMark/>
          </w:tcPr>
          <w:p w14:paraId="1C15C8D4"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Bulk</w:t>
            </w:r>
          </w:p>
        </w:tc>
        <w:tc>
          <w:tcPr>
            <w:tcW w:w="666" w:type="dxa"/>
            <w:tcBorders>
              <w:top w:val="nil"/>
              <w:left w:val="nil"/>
              <w:bottom w:val="nil"/>
              <w:right w:val="nil"/>
            </w:tcBorders>
            <w:shd w:val="clear" w:color="000000" w:fill="FFFFFF"/>
            <w:noWrap/>
            <w:vAlign w:val="center"/>
            <w:hideMark/>
          </w:tcPr>
          <w:p w14:paraId="0AC61E8C"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60.4</w:t>
            </w:r>
          </w:p>
        </w:tc>
        <w:tc>
          <w:tcPr>
            <w:tcW w:w="780" w:type="dxa"/>
            <w:tcBorders>
              <w:top w:val="nil"/>
              <w:left w:val="nil"/>
              <w:bottom w:val="nil"/>
              <w:right w:val="nil"/>
            </w:tcBorders>
            <w:shd w:val="clear" w:color="000000" w:fill="FFFFFF"/>
            <w:noWrap/>
            <w:vAlign w:val="center"/>
            <w:hideMark/>
          </w:tcPr>
          <w:p w14:paraId="6D8E96CE"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1.1</w:t>
            </w:r>
          </w:p>
        </w:tc>
        <w:tc>
          <w:tcPr>
            <w:tcW w:w="895" w:type="dxa"/>
            <w:tcBorders>
              <w:top w:val="nil"/>
              <w:left w:val="nil"/>
              <w:bottom w:val="nil"/>
              <w:right w:val="nil"/>
            </w:tcBorders>
            <w:shd w:val="clear" w:color="000000" w:fill="FFFFFF"/>
            <w:noWrap/>
            <w:vAlign w:val="center"/>
            <w:hideMark/>
          </w:tcPr>
          <w:p w14:paraId="123C54A6"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16.7</w:t>
            </w:r>
          </w:p>
        </w:tc>
        <w:tc>
          <w:tcPr>
            <w:tcW w:w="780" w:type="dxa"/>
            <w:tcBorders>
              <w:top w:val="nil"/>
              <w:left w:val="nil"/>
              <w:bottom w:val="nil"/>
              <w:right w:val="nil"/>
            </w:tcBorders>
            <w:shd w:val="clear" w:color="000000" w:fill="FFFFFF"/>
            <w:noWrap/>
            <w:vAlign w:val="center"/>
            <w:hideMark/>
          </w:tcPr>
          <w:p w14:paraId="2F8828DE"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7.2</w:t>
            </w:r>
          </w:p>
        </w:tc>
        <w:tc>
          <w:tcPr>
            <w:tcW w:w="780" w:type="dxa"/>
            <w:tcBorders>
              <w:top w:val="nil"/>
              <w:left w:val="nil"/>
              <w:bottom w:val="nil"/>
              <w:right w:val="nil"/>
            </w:tcBorders>
            <w:shd w:val="clear" w:color="000000" w:fill="FFFFFF"/>
            <w:noWrap/>
            <w:vAlign w:val="center"/>
            <w:hideMark/>
          </w:tcPr>
          <w:p w14:paraId="159487D8"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2.8</w:t>
            </w:r>
          </w:p>
        </w:tc>
        <w:tc>
          <w:tcPr>
            <w:tcW w:w="896" w:type="dxa"/>
            <w:tcBorders>
              <w:top w:val="nil"/>
              <w:left w:val="nil"/>
              <w:bottom w:val="nil"/>
              <w:right w:val="nil"/>
            </w:tcBorders>
            <w:shd w:val="clear" w:color="000000" w:fill="FFFFFF"/>
            <w:noWrap/>
            <w:vAlign w:val="center"/>
            <w:hideMark/>
          </w:tcPr>
          <w:p w14:paraId="7E2C2FF9"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7.0</w:t>
            </w:r>
          </w:p>
        </w:tc>
        <w:tc>
          <w:tcPr>
            <w:tcW w:w="896" w:type="dxa"/>
            <w:tcBorders>
              <w:top w:val="nil"/>
              <w:left w:val="nil"/>
              <w:bottom w:val="nil"/>
              <w:right w:val="nil"/>
            </w:tcBorders>
            <w:shd w:val="clear" w:color="000000" w:fill="FFFFFF"/>
            <w:noWrap/>
            <w:vAlign w:val="center"/>
            <w:hideMark/>
          </w:tcPr>
          <w:p w14:paraId="003960BE"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2.5</w:t>
            </w:r>
          </w:p>
        </w:tc>
        <w:tc>
          <w:tcPr>
            <w:tcW w:w="896" w:type="dxa"/>
            <w:tcBorders>
              <w:top w:val="nil"/>
              <w:left w:val="nil"/>
              <w:bottom w:val="nil"/>
              <w:right w:val="nil"/>
            </w:tcBorders>
            <w:shd w:val="clear" w:color="000000" w:fill="FFFFFF"/>
            <w:noWrap/>
            <w:vAlign w:val="center"/>
            <w:hideMark/>
          </w:tcPr>
          <w:p w14:paraId="3441011C"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2.3</w:t>
            </w:r>
          </w:p>
        </w:tc>
        <w:tc>
          <w:tcPr>
            <w:tcW w:w="896" w:type="dxa"/>
            <w:tcBorders>
              <w:top w:val="nil"/>
              <w:left w:val="nil"/>
              <w:bottom w:val="nil"/>
              <w:right w:val="nil"/>
            </w:tcBorders>
            <w:shd w:val="clear" w:color="000000" w:fill="FFFFFF"/>
            <w:noWrap/>
            <w:vAlign w:val="center"/>
            <w:hideMark/>
          </w:tcPr>
          <w:p w14:paraId="3CD46FD5"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2.29</w:t>
            </w:r>
          </w:p>
        </w:tc>
        <w:tc>
          <w:tcPr>
            <w:tcW w:w="1036" w:type="dxa"/>
            <w:tcBorders>
              <w:top w:val="nil"/>
              <w:left w:val="nil"/>
              <w:bottom w:val="nil"/>
              <w:right w:val="nil"/>
            </w:tcBorders>
            <w:shd w:val="clear" w:color="000000" w:fill="FFFFFF"/>
            <w:vAlign w:val="center"/>
            <w:hideMark/>
          </w:tcPr>
          <w:p w14:paraId="3CD30C61"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2.60 ± 0.82</w:t>
            </w:r>
          </w:p>
        </w:tc>
        <w:tc>
          <w:tcPr>
            <w:tcW w:w="896" w:type="dxa"/>
            <w:tcBorders>
              <w:top w:val="nil"/>
              <w:left w:val="nil"/>
              <w:bottom w:val="nil"/>
              <w:right w:val="nil"/>
            </w:tcBorders>
            <w:shd w:val="clear" w:color="000000" w:fill="FFFFFF"/>
            <w:vAlign w:val="center"/>
            <w:hideMark/>
          </w:tcPr>
          <w:p w14:paraId="078EC274"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24</w:t>
            </w:r>
          </w:p>
        </w:tc>
        <w:tc>
          <w:tcPr>
            <w:tcW w:w="636" w:type="dxa"/>
            <w:tcBorders>
              <w:top w:val="nil"/>
              <w:left w:val="nil"/>
              <w:bottom w:val="nil"/>
              <w:right w:val="nil"/>
            </w:tcBorders>
            <w:shd w:val="clear" w:color="000000" w:fill="FFFFFF"/>
            <w:vAlign w:val="center"/>
            <w:hideMark/>
          </w:tcPr>
          <w:p w14:paraId="0AC68E1F"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1.01</w:t>
            </w:r>
          </w:p>
        </w:tc>
        <w:tc>
          <w:tcPr>
            <w:tcW w:w="1196" w:type="dxa"/>
            <w:tcBorders>
              <w:top w:val="nil"/>
              <w:left w:val="nil"/>
              <w:bottom w:val="nil"/>
              <w:right w:val="nil"/>
            </w:tcBorders>
            <w:shd w:val="clear" w:color="000000" w:fill="FFFFFF"/>
            <w:vAlign w:val="center"/>
            <w:hideMark/>
          </w:tcPr>
          <w:p w14:paraId="7E46F4A7"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1.35</w:t>
            </w:r>
          </w:p>
        </w:tc>
      </w:tr>
      <w:tr w:rsidR="00BE2462" w:rsidRPr="00BE2462" w14:paraId="002C3A62" w14:textId="77777777" w:rsidTr="00BE2462">
        <w:trPr>
          <w:trHeight w:val="282"/>
        </w:trPr>
        <w:tc>
          <w:tcPr>
            <w:tcW w:w="876" w:type="dxa"/>
            <w:tcBorders>
              <w:top w:val="nil"/>
              <w:left w:val="nil"/>
              <w:bottom w:val="nil"/>
              <w:right w:val="nil"/>
            </w:tcBorders>
            <w:shd w:val="clear" w:color="000000" w:fill="FFFFFF"/>
            <w:noWrap/>
            <w:vAlign w:val="bottom"/>
            <w:hideMark/>
          </w:tcPr>
          <w:p w14:paraId="318535B5"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479" w:type="dxa"/>
            <w:tcBorders>
              <w:top w:val="nil"/>
              <w:left w:val="nil"/>
              <w:bottom w:val="nil"/>
              <w:right w:val="nil"/>
            </w:tcBorders>
            <w:shd w:val="clear" w:color="000000" w:fill="FFFFFF"/>
            <w:noWrap/>
            <w:vAlign w:val="center"/>
            <w:hideMark/>
          </w:tcPr>
          <w:p w14:paraId="5E6A2D2E"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Matrix</w:t>
            </w:r>
          </w:p>
        </w:tc>
        <w:tc>
          <w:tcPr>
            <w:tcW w:w="666" w:type="dxa"/>
            <w:tcBorders>
              <w:top w:val="nil"/>
              <w:left w:val="nil"/>
              <w:bottom w:val="nil"/>
              <w:right w:val="nil"/>
            </w:tcBorders>
            <w:shd w:val="clear" w:color="000000" w:fill="FFFFFF"/>
            <w:noWrap/>
            <w:vAlign w:val="center"/>
            <w:hideMark/>
          </w:tcPr>
          <w:p w14:paraId="2A54390B"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70 (3)</w:t>
            </w:r>
          </w:p>
        </w:tc>
        <w:tc>
          <w:tcPr>
            <w:tcW w:w="780" w:type="dxa"/>
            <w:tcBorders>
              <w:top w:val="nil"/>
              <w:left w:val="nil"/>
              <w:bottom w:val="nil"/>
              <w:right w:val="nil"/>
            </w:tcBorders>
            <w:shd w:val="clear" w:color="000000" w:fill="FFFFFF"/>
            <w:noWrap/>
            <w:vAlign w:val="center"/>
            <w:hideMark/>
          </w:tcPr>
          <w:p w14:paraId="7C1D3415"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0.6 (0.9)</w:t>
            </w:r>
          </w:p>
        </w:tc>
        <w:tc>
          <w:tcPr>
            <w:tcW w:w="895" w:type="dxa"/>
            <w:tcBorders>
              <w:top w:val="nil"/>
              <w:left w:val="nil"/>
              <w:bottom w:val="nil"/>
              <w:right w:val="nil"/>
            </w:tcBorders>
            <w:shd w:val="clear" w:color="000000" w:fill="FFFFFF"/>
            <w:noWrap/>
            <w:vAlign w:val="center"/>
            <w:hideMark/>
          </w:tcPr>
          <w:p w14:paraId="076408B6"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14 (3.4)</w:t>
            </w:r>
          </w:p>
        </w:tc>
        <w:tc>
          <w:tcPr>
            <w:tcW w:w="780" w:type="dxa"/>
            <w:tcBorders>
              <w:top w:val="nil"/>
              <w:left w:val="nil"/>
              <w:bottom w:val="nil"/>
              <w:right w:val="nil"/>
            </w:tcBorders>
            <w:shd w:val="clear" w:color="000000" w:fill="FFFFFF"/>
            <w:noWrap/>
            <w:vAlign w:val="center"/>
            <w:hideMark/>
          </w:tcPr>
          <w:p w14:paraId="23AEE3FE"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1.7 (1)</w:t>
            </w:r>
          </w:p>
        </w:tc>
        <w:tc>
          <w:tcPr>
            <w:tcW w:w="780" w:type="dxa"/>
            <w:tcBorders>
              <w:top w:val="nil"/>
              <w:left w:val="nil"/>
              <w:bottom w:val="nil"/>
              <w:right w:val="nil"/>
            </w:tcBorders>
            <w:shd w:val="clear" w:color="000000" w:fill="FFFFFF"/>
            <w:noWrap/>
            <w:vAlign w:val="center"/>
            <w:hideMark/>
          </w:tcPr>
          <w:p w14:paraId="076D51C2"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2.2 (1.9)</w:t>
            </w:r>
          </w:p>
        </w:tc>
        <w:tc>
          <w:tcPr>
            <w:tcW w:w="896" w:type="dxa"/>
            <w:tcBorders>
              <w:top w:val="nil"/>
              <w:left w:val="nil"/>
              <w:bottom w:val="nil"/>
              <w:right w:val="nil"/>
            </w:tcBorders>
            <w:shd w:val="clear" w:color="000000" w:fill="FFFFFF"/>
            <w:noWrap/>
            <w:vAlign w:val="center"/>
            <w:hideMark/>
          </w:tcPr>
          <w:p w14:paraId="07E621B9"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6.3 (2)</w:t>
            </w:r>
          </w:p>
        </w:tc>
        <w:tc>
          <w:tcPr>
            <w:tcW w:w="896" w:type="dxa"/>
            <w:tcBorders>
              <w:top w:val="nil"/>
              <w:left w:val="nil"/>
              <w:bottom w:val="nil"/>
              <w:right w:val="nil"/>
            </w:tcBorders>
            <w:shd w:val="clear" w:color="000000" w:fill="FFFFFF"/>
            <w:noWrap/>
            <w:vAlign w:val="center"/>
            <w:hideMark/>
          </w:tcPr>
          <w:p w14:paraId="22A86A0F"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 (1.6)</w:t>
            </w:r>
          </w:p>
        </w:tc>
        <w:tc>
          <w:tcPr>
            <w:tcW w:w="896" w:type="dxa"/>
            <w:tcBorders>
              <w:top w:val="nil"/>
              <w:left w:val="nil"/>
              <w:bottom w:val="nil"/>
              <w:right w:val="nil"/>
            </w:tcBorders>
            <w:shd w:val="clear" w:color="000000" w:fill="FFFFFF"/>
            <w:noWrap/>
            <w:vAlign w:val="center"/>
            <w:hideMark/>
          </w:tcPr>
          <w:p w14:paraId="31F98F9A"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1.7 (1.1)</w:t>
            </w:r>
          </w:p>
        </w:tc>
        <w:tc>
          <w:tcPr>
            <w:tcW w:w="896" w:type="dxa"/>
            <w:tcBorders>
              <w:top w:val="nil"/>
              <w:left w:val="nil"/>
              <w:bottom w:val="nil"/>
              <w:right w:val="nil"/>
            </w:tcBorders>
            <w:shd w:val="clear" w:color="000000" w:fill="FFFFFF"/>
            <w:noWrap/>
            <w:vAlign w:val="center"/>
            <w:hideMark/>
          </w:tcPr>
          <w:p w14:paraId="4E06CBBB"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0.9 (1)</w:t>
            </w:r>
          </w:p>
        </w:tc>
        <w:tc>
          <w:tcPr>
            <w:tcW w:w="1036" w:type="dxa"/>
            <w:tcBorders>
              <w:top w:val="nil"/>
              <w:left w:val="nil"/>
              <w:bottom w:val="nil"/>
              <w:right w:val="nil"/>
            </w:tcBorders>
            <w:shd w:val="clear" w:color="000000" w:fill="FFFFFF"/>
            <w:vAlign w:val="center"/>
            <w:hideMark/>
          </w:tcPr>
          <w:p w14:paraId="75C29507"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44DC346A"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36" w:type="dxa"/>
            <w:tcBorders>
              <w:top w:val="nil"/>
              <w:left w:val="nil"/>
              <w:bottom w:val="nil"/>
              <w:right w:val="nil"/>
            </w:tcBorders>
            <w:shd w:val="clear" w:color="000000" w:fill="FFFFFF"/>
            <w:noWrap/>
            <w:vAlign w:val="center"/>
            <w:hideMark/>
          </w:tcPr>
          <w:p w14:paraId="4ED39E8C"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196" w:type="dxa"/>
            <w:tcBorders>
              <w:top w:val="nil"/>
              <w:left w:val="nil"/>
              <w:bottom w:val="nil"/>
              <w:right w:val="nil"/>
            </w:tcBorders>
            <w:shd w:val="clear" w:color="000000" w:fill="FFFFFF"/>
            <w:noWrap/>
            <w:vAlign w:val="center"/>
            <w:hideMark/>
          </w:tcPr>
          <w:p w14:paraId="27764B1C"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r>
      <w:tr w:rsidR="00BE2462" w:rsidRPr="00BE2462" w14:paraId="40CFA154" w14:textId="77777777" w:rsidTr="00BE2462">
        <w:trPr>
          <w:trHeight w:val="282"/>
        </w:trPr>
        <w:tc>
          <w:tcPr>
            <w:tcW w:w="876" w:type="dxa"/>
            <w:tcBorders>
              <w:top w:val="nil"/>
              <w:left w:val="nil"/>
              <w:bottom w:val="nil"/>
              <w:right w:val="nil"/>
            </w:tcBorders>
            <w:shd w:val="clear" w:color="000000" w:fill="FFFFFF"/>
            <w:noWrap/>
            <w:vAlign w:val="bottom"/>
            <w:hideMark/>
          </w:tcPr>
          <w:p w14:paraId="3BC86079"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479" w:type="dxa"/>
            <w:tcBorders>
              <w:top w:val="nil"/>
              <w:left w:val="nil"/>
              <w:bottom w:val="nil"/>
              <w:right w:val="nil"/>
            </w:tcBorders>
            <w:shd w:val="clear" w:color="000000" w:fill="FFFFFF"/>
            <w:noWrap/>
            <w:vAlign w:val="center"/>
            <w:hideMark/>
          </w:tcPr>
          <w:p w14:paraId="1129D582"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Nanolite</w:t>
            </w:r>
          </w:p>
        </w:tc>
        <w:tc>
          <w:tcPr>
            <w:tcW w:w="666" w:type="dxa"/>
            <w:tcBorders>
              <w:top w:val="nil"/>
              <w:left w:val="nil"/>
              <w:bottom w:val="nil"/>
              <w:right w:val="nil"/>
            </w:tcBorders>
            <w:shd w:val="clear" w:color="000000" w:fill="FFFFFF"/>
            <w:noWrap/>
            <w:vAlign w:val="center"/>
            <w:hideMark/>
          </w:tcPr>
          <w:p w14:paraId="0CF08C09"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44 (10)</w:t>
            </w:r>
          </w:p>
        </w:tc>
        <w:tc>
          <w:tcPr>
            <w:tcW w:w="780" w:type="dxa"/>
            <w:tcBorders>
              <w:top w:val="nil"/>
              <w:left w:val="nil"/>
              <w:bottom w:val="nil"/>
              <w:right w:val="nil"/>
            </w:tcBorders>
            <w:shd w:val="clear" w:color="000000" w:fill="FFFFFF"/>
            <w:noWrap/>
            <w:vAlign w:val="center"/>
            <w:hideMark/>
          </w:tcPr>
          <w:p w14:paraId="0338E467"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2.9 (2)</w:t>
            </w:r>
          </w:p>
        </w:tc>
        <w:tc>
          <w:tcPr>
            <w:tcW w:w="895" w:type="dxa"/>
            <w:tcBorders>
              <w:top w:val="nil"/>
              <w:left w:val="nil"/>
              <w:bottom w:val="nil"/>
              <w:right w:val="nil"/>
            </w:tcBorders>
            <w:shd w:val="clear" w:color="000000" w:fill="FFFFFF"/>
            <w:noWrap/>
            <w:vAlign w:val="center"/>
            <w:hideMark/>
          </w:tcPr>
          <w:p w14:paraId="389F008F"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16.1 (7)</w:t>
            </w:r>
          </w:p>
        </w:tc>
        <w:tc>
          <w:tcPr>
            <w:tcW w:w="780" w:type="dxa"/>
            <w:tcBorders>
              <w:top w:val="nil"/>
              <w:left w:val="nil"/>
              <w:bottom w:val="nil"/>
              <w:right w:val="nil"/>
            </w:tcBorders>
            <w:shd w:val="clear" w:color="000000" w:fill="FFFFFF"/>
            <w:noWrap/>
            <w:vAlign w:val="center"/>
            <w:hideMark/>
          </w:tcPr>
          <w:p w14:paraId="46E5502F"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22 (5)</w:t>
            </w:r>
          </w:p>
        </w:tc>
        <w:tc>
          <w:tcPr>
            <w:tcW w:w="780" w:type="dxa"/>
            <w:tcBorders>
              <w:top w:val="nil"/>
              <w:left w:val="nil"/>
              <w:bottom w:val="nil"/>
              <w:right w:val="nil"/>
            </w:tcBorders>
            <w:shd w:val="clear" w:color="000000" w:fill="FFFFFF"/>
            <w:noWrap/>
            <w:vAlign w:val="center"/>
            <w:hideMark/>
          </w:tcPr>
          <w:p w14:paraId="6641EA92"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4 (3)</w:t>
            </w:r>
          </w:p>
        </w:tc>
        <w:tc>
          <w:tcPr>
            <w:tcW w:w="896" w:type="dxa"/>
            <w:tcBorders>
              <w:top w:val="nil"/>
              <w:left w:val="nil"/>
              <w:bottom w:val="nil"/>
              <w:right w:val="nil"/>
            </w:tcBorders>
            <w:shd w:val="clear" w:color="000000" w:fill="FFFFFF"/>
            <w:noWrap/>
            <w:vAlign w:val="center"/>
            <w:hideMark/>
          </w:tcPr>
          <w:p w14:paraId="09D0D888"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8 (4)</w:t>
            </w:r>
          </w:p>
        </w:tc>
        <w:tc>
          <w:tcPr>
            <w:tcW w:w="896" w:type="dxa"/>
            <w:tcBorders>
              <w:top w:val="nil"/>
              <w:left w:val="nil"/>
              <w:bottom w:val="nil"/>
              <w:right w:val="nil"/>
            </w:tcBorders>
            <w:shd w:val="clear" w:color="000000" w:fill="FFFFFF"/>
            <w:noWrap/>
            <w:vAlign w:val="center"/>
            <w:hideMark/>
          </w:tcPr>
          <w:p w14:paraId="2C0F85B1"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 (1)</w:t>
            </w:r>
          </w:p>
        </w:tc>
        <w:tc>
          <w:tcPr>
            <w:tcW w:w="896" w:type="dxa"/>
            <w:tcBorders>
              <w:top w:val="nil"/>
              <w:left w:val="nil"/>
              <w:bottom w:val="nil"/>
              <w:right w:val="nil"/>
            </w:tcBorders>
            <w:shd w:val="clear" w:color="000000" w:fill="FFFFFF"/>
            <w:noWrap/>
            <w:vAlign w:val="center"/>
            <w:hideMark/>
          </w:tcPr>
          <w:p w14:paraId="6A889830"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0.8 (1)</w:t>
            </w:r>
          </w:p>
        </w:tc>
        <w:tc>
          <w:tcPr>
            <w:tcW w:w="896" w:type="dxa"/>
            <w:tcBorders>
              <w:top w:val="nil"/>
              <w:left w:val="nil"/>
              <w:bottom w:val="nil"/>
              <w:right w:val="nil"/>
            </w:tcBorders>
            <w:shd w:val="clear" w:color="000000" w:fill="FFFFFF"/>
            <w:noWrap/>
            <w:vAlign w:val="center"/>
            <w:hideMark/>
          </w:tcPr>
          <w:p w14:paraId="15434ED2"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 (0.9)</w:t>
            </w:r>
          </w:p>
        </w:tc>
        <w:tc>
          <w:tcPr>
            <w:tcW w:w="1036" w:type="dxa"/>
            <w:tcBorders>
              <w:top w:val="nil"/>
              <w:left w:val="nil"/>
              <w:bottom w:val="nil"/>
              <w:right w:val="nil"/>
            </w:tcBorders>
            <w:shd w:val="clear" w:color="000000" w:fill="FFFFFF"/>
            <w:noWrap/>
            <w:vAlign w:val="center"/>
            <w:hideMark/>
          </w:tcPr>
          <w:p w14:paraId="5233788C"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center"/>
            <w:hideMark/>
          </w:tcPr>
          <w:p w14:paraId="1BA47DC9"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36" w:type="dxa"/>
            <w:tcBorders>
              <w:top w:val="nil"/>
              <w:left w:val="nil"/>
              <w:bottom w:val="nil"/>
              <w:right w:val="nil"/>
            </w:tcBorders>
            <w:shd w:val="clear" w:color="000000" w:fill="FFFFFF"/>
            <w:noWrap/>
            <w:vAlign w:val="center"/>
            <w:hideMark/>
          </w:tcPr>
          <w:p w14:paraId="107A4337"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196" w:type="dxa"/>
            <w:tcBorders>
              <w:top w:val="nil"/>
              <w:left w:val="nil"/>
              <w:bottom w:val="nil"/>
              <w:right w:val="nil"/>
            </w:tcBorders>
            <w:shd w:val="clear" w:color="000000" w:fill="FFFFFF"/>
            <w:noWrap/>
            <w:vAlign w:val="center"/>
            <w:hideMark/>
          </w:tcPr>
          <w:p w14:paraId="3D715B7D"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r>
      <w:tr w:rsidR="00BE2462" w:rsidRPr="00BE2462" w14:paraId="0388F220" w14:textId="77777777" w:rsidTr="00BE2462">
        <w:trPr>
          <w:trHeight w:val="282"/>
        </w:trPr>
        <w:tc>
          <w:tcPr>
            <w:tcW w:w="876" w:type="dxa"/>
            <w:tcBorders>
              <w:top w:val="nil"/>
              <w:left w:val="nil"/>
              <w:bottom w:val="single" w:sz="8" w:space="0" w:color="auto"/>
              <w:right w:val="nil"/>
            </w:tcBorders>
            <w:shd w:val="clear" w:color="000000" w:fill="FFFFFF"/>
            <w:noWrap/>
            <w:vAlign w:val="bottom"/>
            <w:hideMark/>
          </w:tcPr>
          <w:p w14:paraId="786CE1F6"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479" w:type="dxa"/>
            <w:tcBorders>
              <w:top w:val="nil"/>
              <w:left w:val="nil"/>
              <w:bottom w:val="single" w:sz="8" w:space="0" w:color="auto"/>
              <w:right w:val="nil"/>
            </w:tcBorders>
            <w:shd w:val="clear" w:color="000000" w:fill="FFFFFF"/>
            <w:noWrap/>
            <w:vAlign w:val="center"/>
            <w:hideMark/>
          </w:tcPr>
          <w:p w14:paraId="0425A164"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Nanolite+Halo</w:t>
            </w:r>
          </w:p>
        </w:tc>
        <w:tc>
          <w:tcPr>
            <w:tcW w:w="666" w:type="dxa"/>
            <w:tcBorders>
              <w:top w:val="nil"/>
              <w:left w:val="nil"/>
              <w:bottom w:val="single" w:sz="8" w:space="0" w:color="auto"/>
              <w:right w:val="nil"/>
            </w:tcBorders>
            <w:shd w:val="clear" w:color="000000" w:fill="FFFFFF"/>
            <w:noWrap/>
            <w:vAlign w:val="center"/>
            <w:hideMark/>
          </w:tcPr>
          <w:p w14:paraId="32AD3918"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58 (4)</w:t>
            </w:r>
          </w:p>
        </w:tc>
        <w:tc>
          <w:tcPr>
            <w:tcW w:w="780" w:type="dxa"/>
            <w:tcBorders>
              <w:top w:val="nil"/>
              <w:left w:val="nil"/>
              <w:bottom w:val="single" w:sz="8" w:space="0" w:color="auto"/>
              <w:right w:val="nil"/>
            </w:tcBorders>
            <w:shd w:val="clear" w:color="000000" w:fill="FFFFFF"/>
            <w:noWrap/>
            <w:vAlign w:val="center"/>
            <w:hideMark/>
          </w:tcPr>
          <w:p w14:paraId="3A74174D"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1.4 (0.5)</w:t>
            </w:r>
          </w:p>
        </w:tc>
        <w:tc>
          <w:tcPr>
            <w:tcW w:w="895" w:type="dxa"/>
            <w:tcBorders>
              <w:top w:val="nil"/>
              <w:left w:val="nil"/>
              <w:bottom w:val="single" w:sz="8" w:space="0" w:color="auto"/>
              <w:right w:val="nil"/>
            </w:tcBorders>
            <w:shd w:val="clear" w:color="000000" w:fill="FFFFFF"/>
            <w:noWrap/>
            <w:vAlign w:val="center"/>
            <w:hideMark/>
          </w:tcPr>
          <w:p w14:paraId="12AEA6B0"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18.5 (1.4)</w:t>
            </w:r>
          </w:p>
        </w:tc>
        <w:tc>
          <w:tcPr>
            <w:tcW w:w="780" w:type="dxa"/>
            <w:tcBorders>
              <w:top w:val="nil"/>
              <w:left w:val="nil"/>
              <w:bottom w:val="single" w:sz="8" w:space="0" w:color="auto"/>
              <w:right w:val="nil"/>
            </w:tcBorders>
            <w:shd w:val="clear" w:color="000000" w:fill="FFFFFF"/>
            <w:noWrap/>
            <w:vAlign w:val="center"/>
            <w:hideMark/>
          </w:tcPr>
          <w:p w14:paraId="513D6CE0"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11 (2)</w:t>
            </w:r>
          </w:p>
        </w:tc>
        <w:tc>
          <w:tcPr>
            <w:tcW w:w="780" w:type="dxa"/>
            <w:tcBorders>
              <w:top w:val="nil"/>
              <w:left w:val="nil"/>
              <w:bottom w:val="single" w:sz="8" w:space="0" w:color="auto"/>
              <w:right w:val="nil"/>
            </w:tcBorders>
            <w:shd w:val="clear" w:color="000000" w:fill="FFFFFF"/>
            <w:noWrap/>
            <w:vAlign w:val="center"/>
            <w:hideMark/>
          </w:tcPr>
          <w:p w14:paraId="3C86BD65"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3.4 (1)</w:t>
            </w:r>
          </w:p>
        </w:tc>
        <w:tc>
          <w:tcPr>
            <w:tcW w:w="896" w:type="dxa"/>
            <w:tcBorders>
              <w:top w:val="nil"/>
              <w:left w:val="nil"/>
              <w:bottom w:val="single" w:sz="8" w:space="0" w:color="auto"/>
              <w:right w:val="nil"/>
            </w:tcBorders>
            <w:shd w:val="clear" w:color="000000" w:fill="FFFFFF"/>
            <w:noWrap/>
            <w:vAlign w:val="center"/>
            <w:hideMark/>
          </w:tcPr>
          <w:p w14:paraId="181C9460"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7.8 (1)</w:t>
            </w:r>
          </w:p>
        </w:tc>
        <w:tc>
          <w:tcPr>
            <w:tcW w:w="896" w:type="dxa"/>
            <w:tcBorders>
              <w:top w:val="nil"/>
              <w:left w:val="nil"/>
              <w:bottom w:val="single" w:sz="8" w:space="0" w:color="auto"/>
              <w:right w:val="nil"/>
            </w:tcBorders>
            <w:shd w:val="clear" w:color="000000" w:fill="FFFFFF"/>
            <w:noWrap/>
            <w:vAlign w:val="center"/>
            <w:hideMark/>
          </w:tcPr>
          <w:p w14:paraId="1B74E1B2"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0.9 (0.8)</w:t>
            </w:r>
          </w:p>
        </w:tc>
        <w:tc>
          <w:tcPr>
            <w:tcW w:w="896" w:type="dxa"/>
            <w:tcBorders>
              <w:top w:val="nil"/>
              <w:left w:val="nil"/>
              <w:bottom w:val="single" w:sz="8" w:space="0" w:color="auto"/>
              <w:right w:val="nil"/>
            </w:tcBorders>
            <w:shd w:val="clear" w:color="000000" w:fill="FFFFFF"/>
            <w:noWrap/>
            <w:vAlign w:val="center"/>
            <w:hideMark/>
          </w:tcPr>
          <w:p w14:paraId="6E0333B1"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 (1)</w:t>
            </w:r>
          </w:p>
        </w:tc>
        <w:tc>
          <w:tcPr>
            <w:tcW w:w="896" w:type="dxa"/>
            <w:tcBorders>
              <w:top w:val="nil"/>
              <w:left w:val="nil"/>
              <w:bottom w:val="single" w:sz="8" w:space="0" w:color="auto"/>
              <w:right w:val="nil"/>
            </w:tcBorders>
            <w:shd w:val="clear" w:color="000000" w:fill="FFFFFF"/>
            <w:noWrap/>
            <w:vAlign w:val="center"/>
            <w:hideMark/>
          </w:tcPr>
          <w:p w14:paraId="0BE2F8D4" w14:textId="77777777" w:rsidR="00BE2462" w:rsidRPr="00BE2462" w:rsidRDefault="00BE2462" w:rsidP="00BE2462">
            <w:pPr>
              <w:spacing w:line="240" w:lineRule="auto"/>
              <w:jc w:val="center"/>
              <w:rPr>
                <w:rFonts w:eastAsia="Times New Roman" w:cs="Times New Roman"/>
                <w:color w:val="000000"/>
                <w:sz w:val="16"/>
                <w:szCs w:val="16"/>
              </w:rPr>
            </w:pPr>
            <w:r w:rsidRPr="00BE2462">
              <w:rPr>
                <w:rFonts w:eastAsia="Times New Roman" w:cs="Times New Roman"/>
                <w:color w:val="000000"/>
                <w:sz w:val="16"/>
                <w:szCs w:val="16"/>
              </w:rPr>
              <w:t>1 (1)</w:t>
            </w:r>
          </w:p>
        </w:tc>
        <w:tc>
          <w:tcPr>
            <w:tcW w:w="1036" w:type="dxa"/>
            <w:tcBorders>
              <w:top w:val="nil"/>
              <w:left w:val="nil"/>
              <w:bottom w:val="single" w:sz="8" w:space="0" w:color="auto"/>
              <w:right w:val="nil"/>
            </w:tcBorders>
            <w:shd w:val="clear" w:color="000000" w:fill="FFFFFF"/>
            <w:noWrap/>
            <w:vAlign w:val="center"/>
            <w:hideMark/>
          </w:tcPr>
          <w:p w14:paraId="1D70834E"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single" w:sz="8" w:space="0" w:color="auto"/>
              <w:right w:val="nil"/>
            </w:tcBorders>
            <w:shd w:val="clear" w:color="000000" w:fill="FFFFFF"/>
            <w:noWrap/>
            <w:vAlign w:val="center"/>
            <w:hideMark/>
          </w:tcPr>
          <w:p w14:paraId="006A1A36"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636" w:type="dxa"/>
            <w:tcBorders>
              <w:top w:val="nil"/>
              <w:left w:val="nil"/>
              <w:bottom w:val="single" w:sz="8" w:space="0" w:color="auto"/>
              <w:right w:val="nil"/>
            </w:tcBorders>
            <w:shd w:val="clear" w:color="000000" w:fill="FFFFFF"/>
            <w:noWrap/>
            <w:vAlign w:val="center"/>
            <w:hideMark/>
          </w:tcPr>
          <w:p w14:paraId="017C390D"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196" w:type="dxa"/>
            <w:tcBorders>
              <w:top w:val="nil"/>
              <w:left w:val="nil"/>
              <w:bottom w:val="single" w:sz="8" w:space="0" w:color="auto"/>
              <w:right w:val="nil"/>
            </w:tcBorders>
            <w:shd w:val="clear" w:color="000000" w:fill="FFFFFF"/>
            <w:noWrap/>
            <w:vAlign w:val="center"/>
            <w:hideMark/>
          </w:tcPr>
          <w:p w14:paraId="15A55A61"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r>
      <w:tr w:rsidR="00BE2462" w:rsidRPr="00BE2462" w14:paraId="34EE9CF4" w14:textId="77777777" w:rsidTr="00BE2462">
        <w:trPr>
          <w:trHeight w:val="282"/>
        </w:trPr>
        <w:tc>
          <w:tcPr>
            <w:tcW w:w="5476" w:type="dxa"/>
            <w:gridSpan w:val="6"/>
            <w:tcBorders>
              <w:top w:val="nil"/>
              <w:left w:val="nil"/>
              <w:bottom w:val="nil"/>
              <w:right w:val="nil"/>
            </w:tcBorders>
            <w:shd w:val="clear" w:color="000000" w:fill="FFFFFF"/>
            <w:noWrap/>
            <w:vAlign w:val="bottom"/>
            <w:hideMark/>
          </w:tcPr>
          <w:p w14:paraId="37BD6744"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vertAlign w:val="superscript"/>
              </w:rPr>
              <w:t>*</w:t>
            </w:r>
            <w:r w:rsidRPr="00BE2462">
              <w:rPr>
                <w:rFonts w:eastAsia="Times New Roman" w:cs="Times New Roman"/>
                <w:color w:val="000000"/>
                <w:sz w:val="16"/>
                <w:szCs w:val="16"/>
              </w:rPr>
              <w:t>Nanolite number density (NND): amount of nanolites per volume</w:t>
            </w:r>
          </w:p>
        </w:tc>
        <w:tc>
          <w:tcPr>
            <w:tcW w:w="780" w:type="dxa"/>
            <w:tcBorders>
              <w:top w:val="nil"/>
              <w:left w:val="nil"/>
              <w:bottom w:val="nil"/>
              <w:right w:val="nil"/>
            </w:tcBorders>
            <w:shd w:val="clear" w:color="000000" w:fill="FFFFFF"/>
            <w:noWrap/>
            <w:vAlign w:val="bottom"/>
            <w:hideMark/>
          </w:tcPr>
          <w:p w14:paraId="782F6F48"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bottom"/>
            <w:hideMark/>
          </w:tcPr>
          <w:p w14:paraId="4ECD21EE"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bottom"/>
            <w:hideMark/>
          </w:tcPr>
          <w:p w14:paraId="2E9B7C35"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bottom"/>
            <w:hideMark/>
          </w:tcPr>
          <w:p w14:paraId="1DF8C171"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896" w:type="dxa"/>
            <w:tcBorders>
              <w:top w:val="nil"/>
              <w:left w:val="nil"/>
              <w:bottom w:val="nil"/>
              <w:right w:val="nil"/>
            </w:tcBorders>
            <w:shd w:val="clear" w:color="000000" w:fill="FFFFFF"/>
            <w:noWrap/>
            <w:vAlign w:val="bottom"/>
            <w:hideMark/>
          </w:tcPr>
          <w:p w14:paraId="6B21CAC3" w14:textId="77777777" w:rsidR="00BE2462" w:rsidRPr="00BE2462" w:rsidRDefault="00BE2462" w:rsidP="00BE2462">
            <w:pPr>
              <w:spacing w:line="240" w:lineRule="auto"/>
              <w:jc w:val="left"/>
              <w:rPr>
                <w:rFonts w:eastAsia="Times New Roman" w:cs="Times New Roman"/>
                <w:color w:val="000000"/>
                <w:sz w:val="16"/>
                <w:szCs w:val="16"/>
              </w:rPr>
            </w:pPr>
            <w:r w:rsidRPr="00BE2462">
              <w:rPr>
                <w:rFonts w:eastAsia="Times New Roman" w:cs="Times New Roman"/>
                <w:color w:val="000000"/>
                <w:sz w:val="16"/>
                <w:szCs w:val="16"/>
              </w:rPr>
              <w:t> </w:t>
            </w:r>
          </w:p>
        </w:tc>
        <w:tc>
          <w:tcPr>
            <w:tcW w:w="1036" w:type="dxa"/>
            <w:tcBorders>
              <w:top w:val="nil"/>
              <w:left w:val="nil"/>
              <w:bottom w:val="nil"/>
              <w:right w:val="nil"/>
            </w:tcBorders>
            <w:shd w:val="clear" w:color="000000" w:fill="FFFFFF"/>
            <w:noWrap/>
            <w:vAlign w:val="bottom"/>
            <w:hideMark/>
          </w:tcPr>
          <w:p w14:paraId="0A6C9C52" w14:textId="77777777" w:rsidR="00BE2462" w:rsidRPr="00BE2462" w:rsidRDefault="00BE2462" w:rsidP="00BE2462">
            <w:pPr>
              <w:spacing w:line="240" w:lineRule="auto"/>
              <w:jc w:val="left"/>
              <w:rPr>
                <w:rFonts w:ascii="Arial" w:eastAsia="Times New Roman" w:hAnsi="Arial" w:cs="Arial"/>
                <w:color w:val="000000"/>
                <w:sz w:val="16"/>
                <w:szCs w:val="16"/>
              </w:rPr>
            </w:pPr>
            <w:r w:rsidRPr="00BE2462">
              <w:rPr>
                <w:rFonts w:ascii="Arial" w:eastAsia="Times New Roman" w:hAnsi="Arial" w:cs="Arial"/>
                <w:color w:val="000000"/>
                <w:sz w:val="16"/>
                <w:szCs w:val="16"/>
              </w:rPr>
              <w:t> </w:t>
            </w:r>
          </w:p>
        </w:tc>
        <w:tc>
          <w:tcPr>
            <w:tcW w:w="896" w:type="dxa"/>
            <w:tcBorders>
              <w:top w:val="nil"/>
              <w:left w:val="nil"/>
              <w:bottom w:val="nil"/>
              <w:right w:val="nil"/>
            </w:tcBorders>
            <w:shd w:val="clear" w:color="000000" w:fill="FFFFFF"/>
            <w:noWrap/>
            <w:vAlign w:val="bottom"/>
            <w:hideMark/>
          </w:tcPr>
          <w:p w14:paraId="03B5A479" w14:textId="77777777" w:rsidR="00BE2462" w:rsidRPr="00BE2462" w:rsidRDefault="00BE2462" w:rsidP="00BE2462">
            <w:pPr>
              <w:spacing w:line="240" w:lineRule="auto"/>
              <w:jc w:val="left"/>
              <w:rPr>
                <w:rFonts w:ascii="Arial" w:eastAsia="Times New Roman" w:hAnsi="Arial" w:cs="Arial"/>
                <w:color w:val="000000"/>
                <w:sz w:val="16"/>
                <w:szCs w:val="16"/>
              </w:rPr>
            </w:pPr>
            <w:r w:rsidRPr="00BE2462">
              <w:rPr>
                <w:rFonts w:ascii="Arial" w:eastAsia="Times New Roman" w:hAnsi="Arial" w:cs="Arial"/>
                <w:color w:val="000000"/>
                <w:sz w:val="16"/>
                <w:szCs w:val="16"/>
              </w:rPr>
              <w:t> </w:t>
            </w:r>
          </w:p>
        </w:tc>
        <w:tc>
          <w:tcPr>
            <w:tcW w:w="636" w:type="dxa"/>
            <w:tcBorders>
              <w:top w:val="nil"/>
              <w:left w:val="nil"/>
              <w:bottom w:val="nil"/>
              <w:right w:val="nil"/>
            </w:tcBorders>
            <w:shd w:val="clear" w:color="000000" w:fill="FFFFFF"/>
            <w:noWrap/>
            <w:vAlign w:val="bottom"/>
            <w:hideMark/>
          </w:tcPr>
          <w:p w14:paraId="6A736FA6" w14:textId="77777777" w:rsidR="00BE2462" w:rsidRPr="00BE2462" w:rsidRDefault="00BE2462" w:rsidP="00BE2462">
            <w:pPr>
              <w:spacing w:line="240" w:lineRule="auto"/>
              <w:jc w:val="left"/>
              <w:rPr>
                <w:rFonts w:ascii="Arial" w:eastAsia="Times New Roman" w:hAnsi="Arial" w:cs="Arial"/>
                <w:color w:val="000000"/>
                <w:sz w:val="16"/>
                <w:szCs w:val="16"/>
              </w:rPr>
            </w:pPr>
            <w:r w:rsidRPr="00BE2462">
              <w:rPr>
                <w:rFonts w:ascii="Arial" w:eastAsia="Times New Roman" w:hAnsi="Arial" w:cs="Arial"/>
                <w:color w:val="000000"/>
                <w:sz w:val="16"/>
                <w:szCs w:val="16"/>
              </w:rPr>
              <w:t> </w:t>
            </w:r>
          </w:p>
        </w:tc>
        <w:tc>
          <w:tcPr>
            <w:tcW w:w="1196" w:type="dxa"/>
            <w:tcBorders>
              <w:top w:val="nil"/>
              <w:left w:val="nil"/>
              <w:bottom w:val="nil"/>
              <w:right w:val="nil"/>
            </w:tcBorders>
            <w:shd w:val="clear" w:color="000000" w:fill="FFFFFF"/>
            <w:noWrap/>
            <w:vAlign w:val="bottom"/>
            <w:hideMark/>
          </w:tcPr>
          <w:p w14:paraId="698F2E43" w14:textId="77777777" w:rsidR="00BE2462" w:rsidRPr="00BE2462" w:rsidRDefault="00BE2462" w:rsidP="00BE2462">
            <w:pPr>
              <w:spacing w:line="240" w:lineRule="auto"/>
              <w:jc w:val="left"/>
              <w:rPr>
                <w:rFonts w:ascii="Arial" w:eastAsia="Times New Roman" w:hAnsi="Arial" w:cs="Arial"/>
                <w:color w:val="000000"/>
                <w:sz w:val="16"/>
                <w:szCs w:val="16"/>
              </w:rPr>
            </w:pPr>
            <w:r w:rsidRPr="00BE2462">
              <w:rPr>
                <w:rFonts w:ascii="Arial" w:eastAsia="Times New Roman" w:hAnsi="Arial" w:cs="Arial"/>
                <w:color w:val="000000"/>
                <w:sz w:val="16"/>
                <w:szCs w:val="16"/>
              </w:rPr>
              <w:t> </w:t>
            </w:r>
          </w:p>
        </w:tc>
      </w:tr>
    </w:tbl>
    <w:p w14:paraId="77FBC3F4" w14:textId="77777777" w:rsidR="00415A12" w:rsidRDefault="00415A12" w:rsidP="00760C46">
      <w:pPr>
        <w:pStyle w:val="Heading1"/>
        <w:rPr>
          <w:sz w:val="22"/>
          <w:szCs w:val="22"/>
          <w:lang w:val="en-GB"/>
        </w:rPr>
        <w:sectPr w:rsidR="00415A12" w:rsidSect="00186DBC">
          <w:pgSz w:w="15840" w:h="12240" w:orient="landscape" w:code="1"/>
          <w:pgMar w:top="1440" w:right="1440" w:bottom="1440" w:left="1440" w:header="709" w:footer="709" w:gutter="0"/>
          <w:lnNumType w:countBy="1" w:restart="continuous"/>
          <w:cols w:space="708"/>
          <w:docGrid w:linePitch="360"/>
        </w:sectPr>
      </w:pPr>
    </w:p>
    <w:p w14:paraId="67CB7E7F" w14:textId="2A841EE9" w:rsidR="006D0A5F" w:rsidRPr="00C97BA2" w:rsidRDefault="006D0A5F" w:rsidP="00760C46">
      <w:pPr>
        <w:pStyle w:val="Heading1"/>
        <w:rPr>
          <w:sz w:val="22"/>
          <w:szCs w:val="22"/>
          <w:lang w:val="en-GB"/>
        </w:rPr>
      </w:pPr>
      <w:r w:rsidRPr="00C97BA2">
        <w:rPr>
          <w:sz w:val="22"/>
          <w:szCs w:val="22"/>
          <w:lang w:val="en-GB"/>
        </w:rPr>
        <w:lastRenderedPageBreak/>
        <w:t>Refe</w:t>
      </w:r>
      <w:r w:rsidR="00C97BA2">
        <w:rPr>
          <w:sz w:val="22"/>
          <w:szCs w:val="22"/>
          <w:lang w:val="en-GB"/>
        </w:rPr>
        <w:t>r</w:t>
      </w:r>
      <w:r w:rsidRPr="00C97BA2">
        <w:rPr>
          <w:sz w:val="22"/>
          <w:szCs w:val="22"/>
          <w:lang w:val="en-GB"/>
        </w:rPr>
        <w:t>ences</w:t>
      </w:r>
    </w:p>
    <w:p w14:paraId="4DC3FD1F" w14:textId="59D194F0" w:rsidR="0002472C" w:rsidRPr="0002472C" w:rsidRDefault="003F683E" w:rsidP="0002472C">
      <w:pPr>
        <w:widowControl w:val="0"/>
        <w:autoSpaceDE w:val="0"/>
        <w:autoSpaceDN w:val="0"/>
        <w:adjustRightInd w:val="0"/>
        <w:spacing w:line="240" w:lineRule="auto"/>
        <w:ind w:left="640" w:hanging="640"/>
        <w:rPr>
          <w:rFonts w:cs="Times New Roman"/>
          <w:noProof/>
          <w:sz w:val="22"/>
          <w:szCs w:val="24"/>
        </w:rPr>
      </w:pPr>
      <w:r w:rsidRPr="00C97BA2">
        <w:rPr>
          <w:sz w:val="22"/>
          <w:lang w:val="en-GB"/>
        </w:rPr>
        <w:fldChar w:fldCharType="begin" w:fldLock="1"/>
      </w:r>
      <w:r w:rsidRPr="00C97BA2">
        <w:rPr>
          <w:sz w:val="22"/>
        </w:rPr>
        <w:instrText xml:space="preserve">ADDIN Mendeley Bibliography CSL_BIBLIOGRAPHY </w:instrText>
      </w:r>
      <w:r w:rsidRPr="00C97BA2">
        <w:rPr>
          <w:sz w:val="22"/>
          <w:lang w:val="en-GB"/>
        </w:rPr>
        <w:fldChar w:fldCharType="separate"/>
      </w:r>
      <w:r w:rsidR="0002472C" w:rsidRPr="0002472C">
        <w:rPr>
          <w:rFonts w:cs="Times New Roman"/>
          <w:noProof/>
          <w:sz w:val="22"/>
          <w:szCs w:val="24"/>
        </w:rPr>
        <w:t>1.</w:t>
      </w:r>
      <w:r w:rsidR="0002472C" w:rsidRPr="0002472C">
        <w:rPr>
          <w:rFonts w:cs="Times New Roman"/>
          <w:noProof/>
          <w:sz w:val="22"/>
          <w:szCs w:val="24"/>
        </w:rPr>
        <w:tab/>
        <w:t xml:space="preserve">Okumura, S. </w:t>
      </w:r>
      <w:r w:rsidR="0002472C" w:rsidRPr="0002472C">
        <w:rPr>
          <w:rFonts w:cs="Times New Roman"/>
          <w:i/>
          <w:iCs/>
          <w:noProof/>
          <w:sz w:val="22"/>
          <w:szCs w:val="24"/>
        </w:rPr>
        <w:t>et al.</w:t>
      </w:r>
      <w:r w:rsidR="0002472C" w:rsidRPr="0002472C">
        <w:rPr>
          <w:rFonts w:cs="Times New Roman"/>
          <w:noProof/>
          <w:sz w:val="22"/>
          <w:szCs w:val="24"/>
        </w:rPr>
        <w:t xml:space="preserve"> Rheology of nanocrystal-bearing andesite magma and its roles in explosive volcanism. </w:t>
      </w:r>
      <w:r w:rsidR="0002472C" w:rsidRPr="0002472C">
        <w:rPr>
          <w:rFonts w:cs="Times New Roman"/>
          <w:i/>
          <w:iCs/>
          <w:noProof/>
          <w:sz w:val="22"/>
          <w:szCs w:val="24"/>
        </w:rPr>
        <w:t>Commun. Earth Environ.</w:t>
      </w:r>
      <w:r w:rsidR="0002472C" w:rsidRPr="0002472C">
        <w:rPr>
          <w:rFonts w:cs="Times New Roman"/>
          <w:noProof/>
          <w:sz w:val="22"/>
          <w:szCs w:val="24"/>
        </w:rPr>
        <w:t xml:space="preserve"> </w:t>
      </w:r>
      <w:r w:rsidR="0002472C" w:rsidRPr="0002472C">
        <w:rPr>
          <w:rFonts w:cs="Times New Roman"/>
          <w:b/>
          <w:bCs/>
          <w:noProof/>
          <w:sz w:val="22"/>
          <w:szCs w:val="24"/>
        </w:rPr>
        <w:t>3</w:t>
      </w:r>
      <w:r w:rsidR="0002472C" w:rsidRPr="0002472C">
        <w:rPr>
          <w:rFonts w:cs="Times New Roman"/>
          <w:noProof/>
          <w:sz w:val="22"/>
          <w:szCs w:val="24"/>
        </w:rPr>
        <w:t>, 241 (2022).</w:t>
      </w:r>
    </w:p>
    <w:p w14:paraId="72D25B23"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2.</w:t>
      </w:r>
      <w:r w:rsidRPr="0002472C">
        <w:rPr>
          <w:rFonts w:cs="Times New Roman"/>
          <w:noProof/>
          <w:sz w:val="22"/>
          <w:szCs w:val="24"/>
        </w:rPr>
        <w:tab/>
        <w:t xml:space="preserve">Giordano, D. </w:t>
      </w:r>
      <w:r w:rsidRPr="0002472C">
        <w:rPr>
          <w:rFonts w:cs="Times New Roman"/>
          <w:i/>
          <w:iCs/>
          <w:noProof/>
          <w:sz w:val="22"/>
          <w:szCs w:val="24"/>
        </w:rPr>
        <w:t>et al.</w:t>
      </w:r>
      <w:r w:rsidRPr="0002472C">
        <w:rPr>
          <w:rFonts w:cs="Times New Roman"/>
          <w:noProof/>
          <w:sz w:val="22"/>
          <w:szCs w:val="24"/>
        </w:rPr>
        <w:t xml:space="preserve"> An expanded non-Arrhenian model for silicate melt viscosity: A treatment for metaluminous, peraluminous and peralkaline liquids. </w:t>
      </w:r>
      <w:r w:rsidRPr="0002472C">
        <w:rPr>
          <w:rFonts w:cs="Times New Roman"/>
          <w:i/>
          <w:iCs/>
          <w:noProof/>
          <w:sz w:val="22"/>
          <w:szCs w:val="24"/>
        </w:rPr>
        <w:t>Chem. Geol.</w:t>
      </w:r>
      <w:r w:rsidRPr="0002472C">
        <w:rPr>
          <w:rFonts w:cs="Times New Roman"/>
          <w:noProof/>
          <w:sz w:val="22"/>
          <w:szCs w:val="24"/>
        </w:rPr>
        <w:t xml:space="preserve"> </w:t>
      </w:r>
      <w:r w:rsidRPr="0002472C">
        <w:rPr>
          <w:rFonts w:cs="Times New Roman"/>
          <w:b/>
          <w:bCs/>
          <w:noProof/>
          <w:sz w:val="22"/>
          <w:szCs w:val="24"/>
        </w:rPr>
        <w:t>229</w:t>
      </w:r>
      <w:r w:rsidRPr="0002472C">
        <w:rPr>
          <w:rFonts w:cs="Times New Roman"/>
          <w:noProof/>
          <w:sz w:val="22"/>
          <w:szCs w:val="24"/>
        </w:rPr>
        <w:t>, 42–56 (2006).</w:t>
      </w:r>
    </w:p>
    <w:p w14:paraId="0AFF357E"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3.</w:t>
      </w:r>
      <w:r w:rsidRPr="0002472C">
        <w:rPr>
          <w:rFonts w:cs="Times New Roman"/>
          <w:noProof/>
          <w:sz w:val="22"/>
          <w:szCs w:val="24"/>
        </w:rPr>
        <w:tab/>
        <w:t xml:space="preserve">Liebske, C., Behrens, H., Holtz, F. &amp; Lange, R. A. The influence of pressure and composition on the viscosity of andesitic melts. </w:t>
      </w:r>
      <w:r w:rsidRPr="0002472C">
        <w:rPr>
          <w:rFonts w:cs="Times New Roman"/>
          <w:i/>
          <w:iCs/>
          <w:noProof/>
          <w:sz w:val="22"/>
          <w:szCs w:val="24"/>
        </w:rPr>
        <w:t>Geochim. Cosmochim. Acta</w:t>
      </w:r>
      <w:r w:rsidRPr="0002472C">
        <w:rPr>
          <w:rFonts w:cs="Times New Roman"/>
          <w:noProof/>
          <w:sz w:val="22"/>
          <w:szCs w:val="24"/>
        </w:rPr>
        <w:t xml:space="preserve"> </w:t>
      </w:r>
      <w:r w:rsidRPr="0002472C">
        <w:rPr>
          <w:rFonts w:cs="Times New Roman"/>
          <w:b/>
          <w:bCs/>
          <w:noProof/>
          <w:sz w:val="22"/>
          <w:szCs w:val="24"/>
        </w:rPr>
        <w:t>67</w:t>
      </w:r>
      <w:r w:rsidRPr="0002472C">
        <w:rPr>
          <w:rFonts w:cs="Times New Roman"/>
          <w:noProof/>
          <w:sz w:val="22"/>
          <w:szCs w:val="24"/>
        </w:rPr>
        <w:t>, 473–485 (2003).</w:t>
      </w:r>
    </w:p>
    <w:p w14:paraId="7BB3EC46"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4.</w:t>
      </w:r>
      <w:r w:rsidRPr="0002472C">
        <w:rPr>
          <w:rFonts w:cs="Times New Roman"/>
          <w:noProof/>
          <w:sz w:val="22"/>
          <w:szCs w:val="24"/>
        </w:rPr>
        <w:tab/>
        <w:t xml:space="preserve">Richet, P., Lejeune, A. M. M., Holtz, F. &amp; Roux, J. Water and the viscosity of andesite melts. </w:t>
      </w:r>
      <w:r w:rsidRPr="0002472C">
        <w:rPr>
          <w:rFonts w:cs="Times New Roman"/>
          <w:i/>
          <w:iCs/>
          <w:noProof/>
          <w:sz w:val="22"/>
          <w:szCs w:val="24"/>
        </w:rPr>
        <w:t>Chem. Geol.</w:t>
      </w:r>
      <w:r w:rsidRPr="0002472C">
        <w:rPr>
          <w:rFonts w:cs="Times New Roman"/>
          <w:noProof/>
          <w:sz w:val="22"/>
          <w:szCs w:val="24"/>
        </w:rPr>
        <w:t xml:space="preserve"> </w:t>
      </w:r>
      <w:r w:rsidRPr="0002472C">
        <w:rPr>
          <w:rFonts w:cs="Times New Roman"/>
          <w:b/>
          <w:bCs/>
          <w:noProof/>
          <w:sz w:val="22"/>
          <w:szCs w:val="24"/>
        </w:rPr>
        <w:t>128</w:t>
      </w:r>
      <w:r w:rsidRPr="0002472C">
        <w:rPr>
          <w:rFonts w:cs="Times New Roman"/>
          <w:noProof/>
          <w:sz w:val="22"/>
          <w:szCs w:val="24"/>
        </w:rPr>
        <w:t>, 185–197 (1996).</w:t>
      </w:r>
    </w:p>
    <w:p w14:paraId="407C40E6"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5.</w:t>
      </w:r>
      <w:r w:rsidRPr="0002472C">
        <w:rPr>
          <w:rFonts w:cs="Times New Roman"/>
          <w:noProof/>
          <w:sz w:val="22"/>
          <w:szCs w:val="24"/>
        </w:rPr>
        <w:tab/>
        <w:t xml:space="preserve">Neuville, D. R., Courtial, P., Dingwell, D. B. &amp; Richet, P. Thermodynamic and rheological properties of rhyolite and andesite melts. </w:t>
      </w:r>
      <w:r w:rsidRPr="0002472C">
        <w:rPr>
          <w:rFonts w:cs="Times New Roman"/>
          <w:i/>
          <w:iCs/>
          <w:noProof/>
          <w:sz w:val="22"/>
          <w:szCs w:val="24"/>
        </w:rPr>
        <w:t>Contrib. to Mineral. Petrol.</w:t>
      </w:r>
      <w:r w:rsidRPr="0002472C">
        <w:rPr>
          <w:rFonts w:cs="Times New Roman"/>
          <w:noProof/>
          <w:sz w:val="22"/>
          <w:szCs w:val="24"/>
        </w:rPr>
        <w:t xml:space="preserve"> </w:t>
      </w:r>
      <w:r w:rsidRPr="0002472C">
        <w:rPr>
          <w:rFonts w:cs="Times New Roman"/>
          <w:b/>
          <w:bCs/>
          <w:noProof/>
          <w:sz w:val="22"/>
          <w:szCs w:val="24"/>
        </w:rPr>
        <w:t>113</w:t>
      </w:r>
      <w:r w:rsidRPr="0002472C">
        <w:rPr>
          <w:rFonts w:cs="Times New Roman"/>
          <w:noProof/>
          <w:sz w:val="22"/>
          <w:szCs w:val="24"/>
        </w:rPr>
        <w:t>, 572–581 (1993).</w:t>
      </w:r>
    </w:p>
    <w:p w14:paraId="79D2A0FA"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6.</w:t>
      </w:r>
      <w:r w:rsidRPr="0002472C">
        <w:rPr>
          <w:rFonts w:cs="Times New Roman"/>
          <w:noProof/>
          <w:sz w:val="22"/>
          <w:szCs w:val="24"/>
        </w:rPr>
        <w:tab/>
        <w:t xml:space="preserve">Prata, G. S. </w:t>
      </w:r>
      <w:r w:rsidRPr="0002472C">
        <w:rPr>
          <w:rFonts w:cs="Times New Roman"/>
          <w:i/>
          <w:iCs/>
          <w:noProof/>
          <w:sz w:val="22"/>
          <w:szCs w:val="24"/>
        </w:rPr>
        <w:t>et al.</w:t>
      </w:r>
      <w:r w:rsidRPr="0002472C">
        <w:rPr>
          <w:rFonts w:cs="Times New Roman"/>
          <w:noProof/>
          <w:sz w:val="22"/>
          <w:szCs w:val="24"/>
        </w:rPr>
        <w:t xml:space="preserve"> A New Parameterization of Volcanic Ash Complex Refractive Index Based on NBO/T and SiO 2 Content. </w:t>
      </w:r>
      <w:r w:rsidRPr="0002472C">
        <w:rPr>
          <w:rFonts w:cs="Times New Roman"/>
          <w:i/>
          <w:iCs/>
          <w:noProof/>
          <w:sz w:val="22"/>
          <w:szCs w:val="24"/>
        </w:rPr>
        <w:t>J. Geophys. Res. Atmos.</w:t>
      </w:r>
      <w:r w:rsidRPr="0002472C">
        <w:rPr>
          <w:rFonts w:cs="Times New Roman"/>
          <w:noProof/>
          <w:sz w:val="22"/>
          <w:szCs w:val="24"/>
        </w:rPr>
        <w:t xml:space="preserve"> </w:t>
      </w:r>
      <w:r w:rsidRPr="0002472C">
        <w:rPr>
          <w:rFonts w:cs="Times New Roman"/>
          <w:b/>
          <w:bCs/>
          <w:noProof/>
          <w:sz w:val="22"/>
          <w:szCs w:val="24"/>
        </w:rPr>
        <w:t>124</w:t>
      </w:r>
      <w:r w:rsidRPr="0002472C">
        <w:rPr>
          <w:rFonts w:cs="Times New Roman"/>
          <w:noProof/>
          <w:sz w:val="22"/>
          <w:szCs w:val="24"/>
        </w:rPr>
        <w:t>, 1779–1797 (2019).</w:t>
      </w:r>
    </w:p>
    <w:p w14:paraId="20768677"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7.</w:t>
      </w:r>
      <w:r w:rsidRPr="0002472C">
        <w:rPr>
          <w:rFonts w:cs="Times New Roman"/>
          <w:noProof/>
          <w:sz w:val="22"/>
          <w:szCs w:val="24"/>
        </w:rPr>
        <w:tab/>
        <w:t xml:space="preserve">Prescher, C., McCammon, C. &amp; Dubrovinsky, L. MossA : a program for analyzing energy-domain Mössbauer spectra from conventional and synchrotron sources. </w:t>
      </w:r>
      <w:r w:rsidRPr="0002472C">
        <w:rPr>
          <w:rFonts w:cs="Times New Roman"/>
          <w:i/>
          <w:iCs/>
          <w:noProof/>
          <w:sz w:val="22"/>
          <w:szCs w:val="24"/>
        </w:rPr>
        <w:t>J. Appl. Crystallogr.</w:t>
      </w:r>
      <w:r w:rsidRPr="0002472C">
        <w:rPr>
          <w:rFonts w:cs="Times New Roman"/>
          <w:noProof/>
          <w:sz w:val="22"/>
          <w:szCs w:val="24"/>
        </w:rPr>
        <w:t xml:space="preserve"> </w:t>
      </w:r>
      <w:r w:rsidRPr="0002472C">
        <w:rPr>
          <w:rFonts w:cs="Times New Roman"/>
          <w:b/>
          <w:bCs/>
          <w:noProof/>
          <w:sz w:val="22"/>
          <w:szCs w:val="24"/>
        </w:rPr>
        <w:t>45</w:t>
      </w:r>
      <w:r w:rsidRPr="0002472C">
        <w:rPr>
          <w:rFonts w:cs="Times New Roman"/>
          <w:noProof/>
          <w:sz w:val="22"/>
          <w:szCs w:val="24"/>
        </w:rPr>
        <w:t>, 329–331 (2012).</w:t>
      </w:r>
    </w:p>
    <w:p w14:paraId="7E114F94"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8.</w:t>
      </w:r>
      <w:r w:rsidRPr="0002472C">
        <w:rPr>
          <w:rFonts w:cs="Times New Roman"/>
          <w:noProof/>
          <w:sz w:val="22"/>
          <w:szCs w:val="24"/>
        </w:rPr>
        <w:tab/>
        <w:t xml:space="preserve">Le Losq, C., Neuville, D. R., Moretti, R. &amp; Roux, J. Determination of water content in silicate glasses using Raman spectrometry: Implications for the study of explosive volcanism. </w:t>
      </w:r>
      <w:r w:rsidRPr="0002472C">
        <w:rPr>
          <w:rFonts w:cs="Times New Roman"/>
          <w:i/>
          <w:iCs/>
          <w:noProof/>
          <w:sz w:val="22"/>
          <w:szCs w:val="24"/>
        </w:rPr>
        <w:t>Am. Mineral.</w:t>
      </w:r>
      <w:r w:rsidRPr="0002472C">
        <w:rPr>
          <w:rFonts w:cs="Times New Roman"/>
          <w:noProof/>
          <w:sz w:val="22"/>
          <w:szCs w:val="24"/>
        </w:rPr>
        <w:t xml:space="preserve"> </w:t>
      </w:r>
      <w:r w:rsidRPr="0002472C">
        <w:rPr>
          <w:rFonts w:cs="Times New Roman"/>
          <w:b/>
          <w:bCs/>
          <w:noProof/>
          <w:sz w:val="22"/>
          <w:szCs w:val="24"/>
        </w:rPr>
        <w:t>97</w:t>
      </w:r>
      <w:r w:rsidRPr="0002472C">
        <w:rPr>
          <w:rFonts w:cs="Times New Roman"/>
          <w:noProof/>
          <w:sz w:val="22"/>
          <w:szCs w:val="24"/>
        </w:rPr>
        <w:t>, 779–790 (2012).</w:t>
      </w:r>
    </w:p>
    <w:p w14:paraId="7926E47D"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9.</w:t>
      </w:r>
      <w:r w:rsidRPr="0002472C">
        <w:rPr>
          <w:rFonts w:cs="Times New Roman"/>
          <w:noProof/>
          <w:sz w:val="22"/>
          <w:szCs w:val="24"/>
        </w:rPr>
        <w:tab/>
        <w:t xml:space="preserve">Giordano, D. </w:t>
      </w:r>
      <w:r w:rsidRPr="0002472C">
        <w:rPr>
          <w:rFonts w:cs="Times New Roman"/>
          <w:i/>
          <w:iCs/>
          <w:noProof/>
          <w:sz w:val="22"/>
          <w:szCs w:val="24"/>
        </w:rPr>
        <w:t>et al.</w:t>
      </w:r>
      <w:r w:rsidRPr="0002472C">
        <w:rPr>
          <w:rFonts w:cs="Times New Roman"/>
          <w:noProof/>
          <w:sz w:val="22"/>
          <w:szCs w:val="24"/>
        </w:rPr>
        <w:t xml:space="preserve"> A calibrated database of Raman spectra for natural silicate glasses: implications for modelling melt physical properties. </w:t>
      </w:r>
      <w:r w:rsidRPr="0002472C">
        <w:rPr>
          <w:rFonts w:cs="Times New Roman"/>
          <w:i/>
          <w:iCs/>
          <w:noProof/>
          <w:sz w:val="22"/>
          <w:szCs w:val="24"/>
        </w:rPr>
        <w:t>J. Raman Spectrosc.</w:t>
      </w:r>
      <w:r w:rsidRPr="0002472C">
        <w:rPr>
          <w:rFonts w:cs="Times New Roman"/>
          <w:noProof/>
          <w:sz w:val="22"/>
          <w:szCs w:val="24"/>
        </w:rPr>
        <w:t xml:space="preserve"> </w:t>
      </w:r>
      <w:r w:rsidRPr="0002472C">
        <w:rPr>
          <w:rFonts w:cs="Times New Roman"/>
          <w:b/>
          <w:bCs/>
          <w:noProof/>
          <w:sz w:val="22"/>
          <w:szCs w:val="24"/>
        </w:rPr>
        <w:t>51</w:t>
      </w:r>
      <w:r w:rsidRPr="0002472C">
        <w:rPr>
          <w:rFonts w:cs="Times New Roman"/>
          <w:noProof/>
          <w:sz w:val="22"/>
          <w:szCs w:val="24"/>
        </w:rPr>
        <w:t>, 1822–1838 (2020).</w:t>
      </w:r>
    </w:p>
    <w:p w14:paraId="641875D6"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10.</w:t>
      </w:r>
      <w:r w:rsidRPr="0002472C">
        <w:rPr>
          <w:rFonts w:cs="Times New Roman"/>
          <w:noProof/>
          <w:sz w:val="22"/>
          <w:szCs w:val="24"/>
        </w:rPr>
        <w:tab/>
        <w:t xml:space="preserve">Di Genova, D. </w:t>
      </w:r>
      <w:r w:rsidRPr="0002472C">
        <w:rPr>
          <w:rFonts w:cs="Times New Roman"/>
          <w:i/>
          <w:iCs/>
          <w:noProof/>
          <w:sz w:val="22"/>
          <w:szCs w:val="24"/>
        </w:rPr>
        <w:t>et al.</w:t>
      </w:r>
      <w:r w:rsidRPr="0002472C">
        <w:rPr>
          <w:rFonts w:cs="Times New Roman"/>
          <w:noProof/>
          <w:sz w:val="22"/>
          <w:szCs w:val="24"/>
        </w:rPr>
        <w:t xml:space="preserve"> In situ observation of nanolite growth in volcanic melt: A driving force for explosive eruptions. </w:t>
      </w:r>
      <w:r w:rsidRPr="0002472C">
        <w:rPr>
          <w:rFonts w:cs="Times New Roman"/>
          <w:i/>
          <w:iCs/>
          <w:noProof/>
          <w:sz w:val="22"/>
          <w:szCs w:val="24"/>
        </w:rPr>
        <w:t>Sci. Adv.</w:t>
      </w:r>
      <w:r w:rsidRPr="0002472C">
        <w:rPr>
          <w:rFonts w:cs="Times New Roman"/>
          <w:noProof/>
          <w:sz w:val="22"/>
          <w:szCs w:val="24"/>
        </w:rPr>
        <w:t xml:space="preserve"> </w:t>
      </w:r>
      <w:r w:rsidRPr="0002472C">
        <w:rPr>
          <w:rFonts w:cs="Times New Roman"/>
          <w:b/>
          <w:bCs/>
          <w:noProof/>
          <w:sz w:val="22"/>
          <w:szCs w:val="24"/>
        </w:rPr>
        <w:t>6</w:t>
      </w:r>
      <w:r w:rsidRPr="0002472C">
        <w:rPr>
          <w:rFonts w:cs="Times New Roman"/>
          <w:noProof/>
          <w:sz w:val="22"/>
          <w:szCs w:val="24"/>
        </w:rPr>
        <w:t>, (2020).</w:t>
      </w:r>
    </w:p>
    <w:p w14:paraId="196D7846"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11.</w:t>
      </w:r>
      <w:r w:rsidRPr="0002472C">
        <w:rPr>
          <w:rFonts w:cs="Times New Roman"/>
          <w:noProof/>
          <w:sz w:val="22"/>
          <w:szCs w:val="24"/>
        </w:rPr>
        <w:tab/>
        <w:t xml:space="preserve">Di Genova, D., Zandona, A. &amp; Deubener, J. Unravelling the effect of nano-heterogeneity on the viscosity of silicate melts: Implications for glass manufacturing and volcanic eruptions. </w:t>
      </w:r>
      <w:r w:rsidRPr="0002472C">
        <w:rPr>
          <w:rFonts w:cs="Times New Roman"/>
          <w:i/>
          <w:iCs/>
          <w:noProof/>
          <w:sz w:val="22"/>
          <w:szCs w:val="24"/>
        </w:rPr>
        <w:t>J. Non. Cryst. Solids</w:t>
      </w:r>
      <w:r w:rsidRPr="0002472C">
        <w:rPr>
          <w:rFonts w:cs="Times New Roman"/>
          <w:noProof/>
          <w:sz w:val="22"/>
          <w:szCs w:val="24"/>
        </w:rPr>
        <w:t xml:space="preserve"> </w:t>
      </w:r>
      <w:r w:rsidRPr="0002472C">
        <w:rPr>
          <w:rFonts w:cs="Times New Roman"/>
          <w:b/>
          <w:bCs/>
          <w:noProof/>
          <w:sz w:val="22"/>
          <w:szCs w:val="24"/>
        </w:rPr>
        <w:t>545</w:t>
      </w:r>
      <w:r w:rsidRPr="0002472C">
        <w:rPr>
          <w:rFonts w:cs="Times New Roman"/>
          <w:noProof/>
          <w:sz w:val="22"/>
          <w:szCs w:val="24"/>
        </w:rPr>
        <w:t>, 120248 (2020).</w:t>
      </w:r>
    </w:p>
    <w:p w14:paraId="17ABCDA1"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12.</w:t>
      </w:r>
      <w:r w:rsidRPr="0002472C">
        <w:rPr>
          <w:rFonts w:cs="Times New Roman"/>
          <w:noProof/>
          <w:sz w:val="22"/>
          <w:szCs w:val="24"/>
        </w:rPr>
        <w:tab/>
        <w:t xml:space="preserve">Di Genova, D. </w:t>
      </w:r>
      <w:r w:rsidRPr="0002472C">
        <w:rPr>
          <w:rFonts w:cs="Times New Roman"/>
          <w:i/>
          <w:iCs/>
          <w:noProof/>
          <w:sz w:val="22"/>
          <w:szCs w:val="24"/>
        </w:rPr>
        <w:t>et al.</w:t>
      </w:r>
      <w:r w:rsidRPr="0002472C">
        <w:rPr>
          <w:rFonts w:cs="Times New Roman"/>
          <w:noProof/>
          <w:sz w:val="22"/>
          <w:szCs w:val="24"/>
        </w:rPr>
        <w:t xml:space="preserve"> Effect of iron and nanolites on Raman spectra of volcanic glasses: A reassessment of existing strategies to estimate the water content. </w:t>
      </w:r>
      <w:r w:rsidRPr="0002472C">
        <w:rPr>
          <w:rFonts w:cs="Times New Roman"/>
          <w:i/>
          <w:iCs/>
          <w:noProof/>
          <w:sz w:val="22"/>
          <w:szCs w:val="24"/>
        </w:rPr>
        <w:t>Chem. Geol.</w:t>
      </w:r>
      <w:r w:rsidRPr="0002472C">
        <w:rPr>
          <w:rFonts w:cs="Times New Roman"/>
          <w:noProof/>
          <w:sz w:val="22"/>
          <w:szCs w:val="24"/>
        </w:rPr>
        <w:t xml:space="preserve"> </w:t>
      </w:r>
      <w:r w:rsidRPr="0002472C">
        <w:rPr>
          <w:rFonts w:cs="Times New Roman"/>
          <w:b/>
          <w:bCs/>
          <w:noProof/>
          <w:sz w:val="22"/>
          <w:szCs w:val="24"/>
        </w:rPr>
        <w:t>475</w:t>
      </w:r>
      <w:r w:rsidRPr="0002472C">
        <w:rPr>
          <w:rFonts w:cs="Times New Roman"/>
          <w:noProof/>
          <w:sz w:val="22"/>
          <w:szCs w:val="24"/>
        </w:rPr>
        <w:t>, 76–86 (2017).</w:t>
      </w:r>
    </w:p>
    <w:p w14:paraId="34FC55CE"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13.</w:t>
      </w:r>
      <w:r w:rsidRPr="0002472C">
        <w:rPr>
          <w:rFonts w:cs="Times New Roman"/>
          <w:noProof/>
          <w:sz w:val="22"/>
          <w:szCs w:val="24"/>
        </w:rPr>
        <w:tab/>
        <w:t xml:space="preserve">Schiavi, F. </w:t>
      </w:r>
      <w:r w:rsidRPr="0002472C">
        <w:rPr>
          <w:rFonts w:cs="Times New Roman"/>
          <w:i/>
          <w:iCs/>
          <w:noProof/>
          <w:sz w:val="22"/>
          <w:szCs w:val="24"/>
        </w:rPr>
        <w:t>et al.</w:t>
      </w:r>
      <w:r w:rsidRPr="0002472C">
        <w:rPr>
          <w:rFonts w:cs="Times New Roman"/>
          <w:noProof/>
          <w:sz w:val="22"/>
          <w:szCs w:val="24"/>
        </w:rPr>
        <w:t xml:space="preserve"> Water quantification in silicate glasses by Raman spectroscopy: Correcting for the effects of confocality, density and ferric iron. </w:t>
      </w:r>
      <w:r w:rsidRPr="0002472C">
        <w:rPr>
          <w:rFonts w:cs="Times New Roman"/>
          <w:i/>
          <w:iCs/>
          <w:noProof/>
          <w:sz w:val="22"/>
          <w:szCs w:val="24"/>
        </w:rPr>
        <w:t>Chem. Geol.</w:t>
      </w:r>
      <w:r w:rsidRPr="0002472C">
        <w:rPr>
          <w:rFonts w:cs="Times New Roman"/>
          <w:noProof/>
          <w:sz w:val="22"/>
          <w:szCs w:val="24"/>
        </w:rPr>
        <w:t xml:space="preserve"> </w:t>
      </w:r>
      <w:r w:rsidRPr="0002472C">
        <w:rPr>
          <w:rFonts w:cs="Times New Roman"/>
          <w:b/>
          <w:bCs/>
          <w:noProof/>
          <w:sz w:val="22"/>
          <w:szCs w:val="24"/>
        </w:rPr>
        <w:t>483</w:t>
      </w:r>
      <w:r w:rsidRPr="0002472C">
        <w:rPr>
          <w:rFonts w:cs="Times New Roman"/>
          <w:noProof/>
          <w:sz w:val="22"/>
          <w:szCs w:val="24"/>
        </w:rPr>
        <w:t>, 312–331 (2018).</w:t>
      </w:r>
    </w:p>
    <w:p w14:paraId="4F74A224"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14.</w:t>
      </w:r>
      <w:r w:rsidRPr="0002472C">
        <w:rPr>
          <w:rFonts w:cs="Times New Roman"/>
          <w:noProof/>
          <w:sz w:val="22"/>
          <w:szCs w:val="24"/>
        </w:rPr>
        <w:tab/>
        <w:t xml:space="preserve">Stabile, P. </w:t>
      </w:r>
      <w:r w:rsidRPr="0002472C">
        <w:rPr>
          <w:rFonts w:cs="Times New Roman"/>
          <w:i/>
          <w:iCs/>
          <w:noProof/>
          <w:sz w:val="22"/>
          <w:szCs w:val="24"/>
        </w:rPr>
        <w:t>et al.</w:t>
      </w:r>
      <w:r w:rsidRPr="0002472C">
        <w:rPr>
          <w:rFonts w:cs="Times New Roman"/>
          <w:noProof/>
          <w:sz w:val="22"/>
          <w:szCs w:val="24"/>
        </w:rPr>
        <w:t xml:space="preserve"> The effect of iron and alkali on the nanocrystal-free viscosity of volcanic melts: A combined Raman spectroscopy and DSC study. </w:t>
      </w:r>
      <w:r w:rsidRPr="0002472C">
        <w:rPr>
          <w:rFonts w:cs="Times New Roman"/>
          <w:i/>
          <w:iCs/>
          <w:noProof/>
          <w:sz w:val="22"/>
          <w:szCs w:val="24"/>
        </w:rPr>
        <w:t>Chem. Geol.</w:t>
      </w:r>
      <w:r w:rsidRPr="0002472C">
        <w:rPr>
          <w:rFonts w:cs="Times New Roman"/>
          <w:noProof/>
          <w:sz w:val="22"/>
          <w:szCs w:val="24"/>
        </w:rPr>
        <w:t xml:space="preserve"> </w:t>
      </w:r>
      <w:r w:rsidRPr="0002472C">
        <w:rPr>
          <w:rFonts w:cs="Times New Roman"/>
          <w:b/>
          <w:bCs/>
          <w:noProof/>
          <w:sz w:val="22"/>
          <w:szCs w:val="24"/>
        </w:rPr>
        <w:t>559</w:t>
      </w:r>
      <w:r w:rsidRPr="0002472C">
        <w:rPr>
          <w:rFonts w:cs="Times New Roman"/>
          <w:noProof/>
          <w:sz w:val="22"/>
          <w:szCs w:val="24"/>
        </w:rPr>
        <w:t>, 119991 (2021).</w:t>
      </w:r>
    </w:p>
    <w:p w14:paraId="487D24E8"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15.</w:t>
      </w:r>
      <w:r w:rsidRPr="0002472C">
        <w:rPr>
          <w:rFonts w:cs="Times New Roman"/>
          <w:noProof/>
          <w:sz w:val="22"/>
          <w:szCs w:val="24"/>
        </w:rPr>
        <w:tab/>
        <w:t xml:space="preserve">Scarani, A. </w:t>
      </w:r>
      <w:r w:rsidRPr="0002472C">
        <w:rPr>
          <w:rFonts w:cs="Times New Roman"/>
          <w:i/>
          <w:iCs/>
          <w:noProof/>
          <w:sz w:val="22"/>
          <w:szCs w:val="24"/>
        </w:rPr>
        <w:t>et al.</w:t>
      </w:r>
      <w:r w:rsidRPr="0002472C">
        <w:rPr>
          <w:rFonts w:cs="Times New Roman"/>
          <w:noProof/>
          <w:sz w:val="22"/>
          <w:szCs w:val="24"/>
        </w:rPr>
        <w:t xml:space="preserve"> A chemical threshold controls nanocrystallization and degassing behaviour in basalt magmas. </w:t>
      </w:r>
      <w:r w:rsidRPr="0002472C">
        <w:rPr>
          <w:rFonts w:cs="Times New Roman"/>
          <w:i/>
          <w:iCs/>
          <w:noProof/>
          <w:sz w:val="22"/>
          <w:szCs w:val="24"/>
        </w:rPr>
        <w:t>Commun. Earth Environ.</w:t>
      </w:r>
      <w:r w:rsidRPr="0002472C">
        <w:rPr>
          <w:rFonts w:cs="Times New Roman"/>
          <w:noProof/>
          <w:sz w:val="22"/>
          <w:szCs w:val="24"/>
        </w:rPr>
        <w:t xml:space="preserve"> </w:t>
      </w:r>
      <w:r w:rsidRPr="0002472C">
        <w:rPr>
          <w:rFonts w:cs="Times New Roman"/>
          <w:b/>
          <w:bCs/>
          <w:noProof/>
          <w:sz w:val="22"/>
          <w:szCs w:val="24"/>
        </w:rPr>
        <w:t>3</w:t>
      </w:r>
      <w:r w:rsidRPr="0002472C">
        <w:rPr>
          <w:rFonts w:cs="Times New Roman"/>
          <w:noProof/>
          <w:sz w:val="22"/>
          <w:szCs w:val="24"/>
        </w:rPr>
        <w:t>, 284 (2022).</w:t>
      </w:r>
    </w:p>
    <w:p w14:paraId="03FDAC5B"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16.</w:t>
      </w:r>
      <w:r w:rsidRPr="0002472C">
        <w:rPr>
          <w:rFonts w:cs="Times New Roman"/>
          <w:noProof/>
          <w:sz w:val="22"/>
          <w:szCs w:val="24"/>
        </w:rPr>
        <w:tab/>
        <w:t xml:space="preserve">Di Genova, D. </w:t>
      </w:r>
      <w:r w:rsidRPr="0002472C">
        <w:rPr>
          <w:rFonts w:cs="Times New Roman"/>
          <w:i/>
          <w:iCs/>
          <w:noProof/>
          <w:sz w:val="22"/>
          <w:szCs w:val="24"/>
        </w:rPr>
        <w:t>et al.</w:t>
      </w:r>
      <w:r w:rsidRPr="0002472C">
        <w:rPr>
          <w:rFonts w:cs="Times New Roman"/>
          <w:noProof/>
          <w:sz w:val="22"/>
          <w:szCs w:val="24"/>
        </w:rPr>
        <w:t xml:space="preserve"> A compositional tipping point governing the mobilization and eruption style of rhyolitic magma. </w:t>
      </w:r>
      <w:r w:rsidRPr="0002472C">
        <w:rPr>
          <w:rFonts w:cs="Times New Roman"/>
          <w:i/>
          <w:iCs/>
          <w:noProof/>
          <w:sz w:val="22"/>
          <w:szCs w:val="24"/>
        </w:rPr>
        <w:t>Nature</w:t>
      </w:r>
      <w:r w:rsidRPr="0002472C">
        <w:rPr>
          <w:rFonts w:cs="Times New Roman"/>
          <w:noProof/>
          <w:sz w:val="22"/>
          <w:szCs w:val="24"/>
        </w:rPr>
        <w:t xml:space="preserve"> </w:t>
      </w:r>
      <w:r w:rsidRPr="0002472C">
        <w:rPr>
          <w:rFonts w:cs="Times New Roman"/>
          <w:b/>
          <w:bCs/>
          <w:noProof/>
          <w:sz w:val="22"/>
          <w:szCs w:val="24"/>
        </w:rPr>
        <w:t>552</w:t>
      </w:r>
      <w:r w:rsidRPr="0002472C">
        <w:rPr>
          <w:rFonts w:cs="Times New Roman"/>
          <w:noProof/>
          <w:sz w:val="22"/>
          <w:szCs w:val="24"/>
        </w:rPr>
        <w:t>, 235–238 (2017).</w:t>
      </w:r>
    </w:p>
    <w:p w14:paraId="35C9CAE5"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17.</w:t>
      </w:r>
      <w:r w:rsidRPr="0002472C">
        <w:rPr>
          <w:rFonts w:cs="Times New Roman"/>
          <w:noProof/>
          <w:sz w:val="22"/>
          <w:szCs w:val="24"/>
        </w:rPr>
        <w:tab/>
        <w:t xml:space="preserve">Valdivia, P. </w:t>
      </w:r>
      <w:r w:rsidRPr="0002472C">
        <w:rPr>
          <w:rFonts w:cs="Times New Roman"/>
          <w:i/>
          <w:iCs/>
          <w:noProof/>
          <w:sz w:val="22"/>
          <w:szCs w:val="24"/>
        </w:rPr>
        <w:t>et al.</w:t>
      </w:r>
      <w:r w:rsidRPr="0002472C">
        <w:rPr>
          <w:rFonts w:cs="Times New Roman"/>
          <w:noProof/>
          <w:sz w:val="22"/>
          <w:szCs w:val="24"/>
        </w:rPr>
        <w:t xml:space="preserve"> Are volcanic melts less viscous than we thought? The case of Stromboli basalt. </w:t>
      </w:r>
      <w:r w:rsidRPr="0002472C">
        <w:rPr>
          <w:rFonts w:cs="Times New Roman"/>
          <w:i/>
          <w:iCs/>
          <w:noProof/>
          <w:sz w:val="22"/>
          <w:szCs w:val="24"/>
        </w:rPr>
        <w:t>Contrib. to Mineral. Petrol.</w:t>
      </w:r>
      <w:r w:rsidRPr="0002472C">
        <w:rPr>
          <w:rFonts w:cs="Times New Roman"/>
          <w:noProof/>
          <w:sz w:val="22"/>
          <w:szCs w:val="24"/>
        </w:rPr>
        <w:t xml:space="preserve"> </w:t>
      </w:r>
      <w:r w:rsidRPr="0002472C">
        <w:rPr>
          <w:rFonts w:cs="Times New Roman"/>
          <w:b/>
          <w:bCs/>
          <w:noProof/>
          <w:sz w:val="22"/>
          <w:szCs w:val="24"/>
        </w:rPr>
        <w:t>178</w:t>
      </w:r>
      <w:r w:rsidRPr="0002472C">
        <w:rPr>
          <w:rFonts w:cs="Times New Roman"/>
          <w:noProof/>
          <w:sz w:val="22"/>
          <w:szCs w:val="24"/>
        </w:rPr>
        <w:t>, 45 (2023).</w:t>
      </w:r>
    </w:p>
    <w:p w14:paraId="197970A3"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18.</w:t>
      </w:r>
      <w:r w:rsidRPr="0002472C">
        <w:rPr>
          <w:rFonts w:cs="Times New Roman"/>
          <w:noProof/>
          <w:sz w:val="22"/>
          <w:szCs w:val="24"/>
        </w:rPr>
        <w:tab/>
        <w:t xml:space="preserve">Schroeder, J. </w:t>
      </w:r>
      <w:r w:rsidRPr="0002472C">
        <w:rPr>
          <w:rFonts w:cs="Times New Roman"/>
          <w:i/>
          <w:iCs/>
          <w:noProof/>
          <w:sz w:val="22"/>
          <w:szCs w:val="24"/>
        </w:rPr>
        <w:t>et al.</w:t>
      </w:r>
      <w:r w:rsidRPr="0002472C">
        <w:rPr>
          <w:rFonts w:cs="Times New Roman"/>
          <w:noProof/>
          <w:sz w:val="22"/>
          <w:szCs w:val="24"/>
        </w:rPr>
        <w:t xml:space="preserve"> Raman scattering and Boson peaks in glasses: temperature and pressure effects. </w:t>
      </w:r>
      <w:r w:rsidRPr="0002472C">
        <w:rPr>
          <w:rFonts w:cs="Times New Roman"/>
          <w:i/>
          <w:iCs/>
          <w:noProof/>
          <w:sz w:val="22"/>
          <w:szCs w:val="24"/>
        </w:rPr>
        <w:t>J. Non. Cryst. Solids</w:t>
      </w:r>
      <w:r w:rsidRPr="0002472C">
        <w:rPr>
          <w:rFonts w:cs="Times New Roman"/>
          <w:noProof/>
          <w:sz w:val="22"/>
          <w:szCs w:val="24"/>
        </w:rPr>
        <w:t xml:space="preserve"> </w:t>
      </w:r>
      <w:r w:rsidRPr="0002472C">
        <w:rPr>
          <w:rFonts w:cs="Times New Roman"/>
          <w:b/>
          <w:bCs/>
          <w:noProof/>
          <w:sz w:val="22"/>
          <w:szCs w:val="24"/>
        </w:rPr>
        <w:t>349</w:t>
      </w:r>
      <w:r w:rsidRPr="0002472C">
        <w:rPr>
          <w:rFonts w:cs="Times New Roman"/>
          <w:noProof/>
          <w:sz w:val="22"/>
          <w:szCs w:val="24"/>
        </w:rPr>
        <w:t>, 88–97 (2004).</w:t>
      </w:r>
    </w:p>
    <w:p w14:paraId="62E2CE97"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19.</w:t>
      </w:r>
      <w:r w:rsidRPr="0002472C">
        <w:rPr>
          <w:rFonts w:cs="Times New Roman"/>
          <w:noProof/>
          <w:sz w:val="22"/>
          <w:szCs w:val="24"/>
        </w:rPr>
        <w:tab/>
        <w:t xml:space="preserve">Zanatta, M. </w:t>
      </w:r>
      <w:r w:rsidRPr="0002472C">
        <w:rPr>
          <w:rFonts w:cs="Times New Roman"/>
          <w:i/>
          <w:iCs/>
          <w:noProof/>
          <w:sz w:val="22"/>
          <w:szCs w:val="24"/>
        </w:rPr>
        <w:t>et al.</w:t>
      </w:r>
      <w:r w:rsidRPr="0002472C">
        <w:rPr>
          <w:rFonts w:cs="Times New Roman"/>
          <w:noProof/>
          <w:sz w:val="22"/>
          <w:szCs w:val="24"/>
        </w:rPr>
        <w:t xml:space="preserve"> Debye to non-Debye scaling of the Boson peak dynamics: Critical behavior and local disorder in vitreous germania. </w:t>
      </w:r>
      <w:r w:rsidRPr="0002472C">
        <w:rPr>
          <w:rFonts w:cs="Times New Roman"/>
          <w:i/>
          <w:iCs/>
          <w:noProof/>
          <w:sz w:val="22"/>
          <w:szCs w:val="24"/>
        </w:rPr>
        <w:t>J. Chem. Phys.</w:t>
      </w:r>
      <w:r w:rsidRPr="0002472C">
        <w:rPr>
          <w:rFonts w:cs="Times New Roman"/>
          <w:noProof/>
          <w:sz w:val="22"/>
          <w:szCs w:val="24"/>
        </w:rPr>
        <w:t xml:space="preserve"> </w:t>
      </w:r>
      <w:r w:rsidRPr="0002472C">
        <w:rPr>
          <w:rFonts w:cs="Times New Roman"/>
          <w:b/>
          <w:bCs/>
          <w:noProof/>
          <w:sz w:val="22"/>
          <w:szCs w:val="24"/>
        </w:rPr>
        <w:t>135</w:t>
      </w:r>
      <w:r w:rsidRPr="0002472C">
        <w:rPr>
          <w:rFonts w:cs="Times New Roman"/>
          <w:noProof/>
          <w:sz w:val="22"/>
          <w:szCs w:val="24"/>
        </w:rPr>
        <w:t>, (2011).</w:t>
      </w:r>
    </w:p>
    <w:p w14:paraId="321C6B98"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20.</w:t>
      </w:r>
      <w:r w:rsidRPr="0002472C">
        <w:rPr>
          <w:rFonts w:cs="Times New Roman"/>
          <w:noProof/>
          <w:sz w:val="22"/>
          <w:szCs w:val="24"/>
        </w:rPr>
        <w:tab/>
        <w:t xml:space="preserve">Cassetta, M. </w:t>
      </w:r>
      <w:r w:rsidRPr="0002472C">
        <w:rPr>
          <w:rFonts w:cs="Times New Roman"/>
          <w:i/>
          <w:iCs/>
          <w:noProof/>
          <w:sz w:val="22"/>
          <w:szCs w:val="24"/>
        </w:rPr>
        <w:t>et al.</w:t>
      </w:r>
      <w:r w:rsidRPr="0002472C">
        <w:rPr>
          <w:rFonts w:cs="Times New Roman"/>
          <w:noProof/>
          <w:sz w:val="22"/>
          <w:szCs w:val="24"/>
        </w:rPr>
        <w:t xml:space="preserve"> Estimating the viscosity of volcanic melts from the vibrational properties of their parental glasses. </w:t>
      </w:r>
      <w:r w:rsidRPr="0002472C">
        <w:rPr>
          <w:rFonts w:cs="Times New Roman"/>
          <w:i/>
          <w:iCs/>
          <w:noProof/>
          <w:sz w:val="22"/>
          <w:szCs w:val="24"/>
        </w:rPr>
        <w:t>Sci. Rep.</w:t>
      </w:r>
      <w:r w:rsidRPr="0002472C">
        <w:rPr>
          <w:rFonts w:cs="Times New Roman"/>
          <w:noProof/>
          <w:sz w:val="22"/>
          <w:szCs w:val="24"/>
        </w:rPr>
        <w:t xml:space="preserve"> </w:t>
      </w:r>
      <w:r w:rsidRPr="0002472C">
        <w:rPr>
          <w:rFonts w:cs="Times New Roman"/>
          <w:b/>
          <w:bCs/>
          <w:noProof/>
          <w:sz w:val="22"/>
          <w:szCs w:val="24"/>
        </w:rPr>
        <w:t>11</w:t>
      </w:r>
      <w:r w:rsidRPr="0002472C">
        <w:rPr>
          <w:rFonts w:cs="Times New Roman"/>
          <w:noProof/>
          <w:sz w:val="22"/>
          <w:szCs w:val="24"/>
        </w:rPr>
        <w:t>, 1–14 (2021).</w:t>
      </w:r>
    </w:p>
    <w:p w14:paraId="07587FE9"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21.</w:t>
      </w:r>
      <w:r w:rsidRPr="0002472C">
        <w:rPr>
          <w:rFonts w:cs="Times New Roman"/>
          <w:noProof/>
          <w:sz w:val="22"/>
          <w:szCs w:val="24"/>
        </w:rPr>
        <w:tab/>
        <w:t xml:space="preserve">Shebanova, O. N. &amp; Lazor, P. Raman spectroscopic study of magnetite (FeFe2O4): a new assignment for the vibrational spectrum. </w:t>
      </w:r>
      <w:r w:rsidRPr="0002472C">
        <w:rPr>
          <w:rFonts w:cs="Times New Roman"/>
          <w:i/>
          <w:iCs/>
          <w:noProof/>
          <w:sz w:val="22"/>
          <w:szCs w:val="24"/>
        </w:rPr>
        <w:t>J. Solid State Chem.</w:t>
      </w:r>
      <w:r w:rsidRPr="0002472C">
        <w:rPr>
          <w:rFonts w:cs="Times New Roman"/>
          <w:noProof/>
          <w:sz w:val="22"/>
          <w:szCs w:val="24"/>
        </w:rPr>
        <w:t xml:space="preserve"> </w:t>
      </w:r>
      <w:r w:rsidRPr="0002472C">
        <w:rPr>
          <w:rFonts w:cs="Times New Roman"/>
          <w:b/>
          <w:bCs/>
          <w:noProof/>
          <w:sz w:val="22"/>
          <w:szCs w:val="24"/>
        </w:rPr>
        <w:t>174</w:t>
      </w:r>
      <w:r w:rsidRPr="0002472C">
        <w:rPr>
          <w:rFonts w:cs="Times New Roman"/>
          <w:noProof/>
          <w:sz w:val="22"/>
          <w:szCs w:val="24"/>
        </w:rPr>
        <w:t>, 424–430 (2003).</w:t>
      </w:r>
    </w:p>
    <w:p w14:paraId="692FD161"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22.</w:t>
      </w:r>
      <w:r w:rsidRPr="0002472C">
        <w:rPr>
          <w:rFonts w:cs="Times New Roman"/>
          <w:noProof/>
          <w:sz w:val="22"/>
          <w:szCs w:val="24"/>
        </w:rPr>
        <w:tab/>
        <w:t xml:space="preserve">Jubb, A. M. &amp; Allen, H. C. Vibrational Spectroscopic Characterization of Hematite, Maghemite, and Magnetite Thin Films Produced by Vapor Deposition. </w:t>
      </w:r>
      <w:r w:rsidRPr="0002472C">
        <w:rPr>
          <w:rFonts w:cs="Times New Roman"/>
          <w:i/>
          <w:iCs/>
          <w:noProof/>
          <w:sz w:val="22"/>
          <w:szCs w:val="24"/>
        </w:rPr>
        <w:t>ACS Appl. Mater. Interfaces</w:t>
      </w:r>
      <w:r w:rsidRPr="0002472C">
        <w:rPr>
          <w:rFonts w:cs="Times New Roman"/>
          <w:noProof/>
          <w:sz w:val="22"/>
          <w:szCs w:val="24"/>
        </w:rPr>
        <w:t xml:space="preserve"> </w:t>
      </w:r>
      <w:r w:rsidRPr="0002472C">
        <w:rPr>
          <w:rFonts w:cs="Times New Roman"/>
          <w:b/>
          <w:bCs/>
          <w:noProof/>
          <w:sz w:val="22"/>
          <w:szCs w:val="24"/>
        </w:rPr>
        <w:t>2</w:t>
      </w:r>
      <w:r w:rsidRPr="0002472C">
        <w:rPr>
          <w:rFonts w:cs="Times New Roman"/>
          <w:noProof/>
          <w:sz w:val="22"/>
          <w:szCs w:val="24"/>
        </w:rPr>
        <w:t>, 2804–2812 (2010).</w:t>
      </w:r>
    </w:p>
    <w:p w14:paraId="6A8057DE"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23.</w:t>
      </w:r>
      <w:r w:rsidRPr="0002472C">
        <w:rPr>
          <w:rFonts w:cs="Times New Roman"/>
          <w:noProof/>
          <w:sz w:val="22"/>
          <w:szCs w:val="24"/>
        </w:rPr>
        <w:tab/>
        <w:t xml:space="preserve">Langhammer, D., Di Genova, D. &amp; Steinle-Neumann, G. Modeling the Viscosity of Anhydrous and Hydrous Volcanic Melts. </w:t>
      </w:r>
      <w:r w:rsidRPr="0002472C">
        <w:rPr>
          <w:rFonts w:cs="Times New Roman"/>
          <w:i/>
          <w:iCs/>
          <w:noProof/>
          <w:sz w:val="22"/>
          <w:szCs w:val="24"/>
        </w:rPr>
        <w:t>Geochemistry, Geophys. Geosystems</w:t>
      </w:r>
      <w:r w:rsidRPr="0002472C">
        <w:rPr>
          <w:rFonts w:cs="Times New Roman"/>
          <w:noProof/>
          <w:sz w:val="22"/>
          <w:szCs w:val="24"/>
        </w:rPr>
        <w:t xml:space="preserve"> </w:t>
      </w:r>
      <w:r w:rsidRPr="0002472C">
        <w:rPr>
          <w:rFonts w:cs="Times New Roman"/>
          <w:b/>
          <w:bCs/>
          <w:noProof/>
          <w:sz w:val="22"/>
          <w:szCs w:val="24"/>
        </w:rPr>
        <w:t>22</w:t>
      </w:r>
      <w:r w:rsidRPr="0002472C">
        <w:rPr>
          <w:rFonts w:cs="Times New Roman"/>
          <w:noProof/>
          <w:sz w:val="22"/>
          <w:szCs w:val="24"/>
        </w:rPr>
        <w:t>, 1–26 (2021).</w:t>
      </w:r>
    </w:p>
    <w:p w14:paraId="58B7D37D"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lastRenderedPageBreak/>
        <w:t>24.</w:t>
      </w:r>
      <w:r w:rsidRPr="0002472C">
        <w:rPr>
          <w:rFonts w:cs="Times New Roman"/>
          <w:noProof/>
          <w:sz w:val="22"/>
          <w:szCs w:val="24"/>
        </w:rPr>
        <w:tab/>
        <w:t xml:space="preserve">Mauro, J. C., Yue, Y., Ellison, A. J., Gupta, P. K. &amp; Allan, D. C. Viscosity of glass-forming liquids. </w:t>
      </w:r>
      <w:r w:rsidRPr="0002472C">
        <w:rPr>
          <w:rFonts w:cs="Times New Roman"/>
          <w:i/>
          <w:iCs/>
          <w:noProof/>
          <w:sz w:val="22"/>
          <w:szCs w:val="24"/>
        </w:rPr>
        <w:t>Proc. Natl. Acad. Sci. U. S. A.</w:t>
      </w:r>
      <w:r w:rsidRPr="0002472C">
        <w:rPr>
          <w:rFonts w:cs="Times New Roman"/>
          <w:noProof/>
          <w:sz w:val="22"/>
          <w:szCs w:val="24"/>
        </w:rPr>
        <w:t xml:space="preserve"> </w:t>
      </w:r>
      <w:r w:rsidRPr="0002472C">
        <w:rPr>
          <w:rFonts w:cs="Times New Roman"/>
          <w:b/>
          <w:bCs/>
          <w:noProof/>
          <w:sz w:val="22"/>
          <w:szCs w:val="24"/>
        </w:rPr>
        <w:t>106</w:t>
      </w:r>
      <w:r w:rsidRPr="0002472C">
        <w:rPr>
          <w:rFonts w:cs="Times New Roman"/>
          <w:noProof/>
          <w:sz w:val="22"/>
          <w:szCs w:val="24"/>
        </w:rPr>
        <w:t>, 19780–4 (2009).</w:t>
      </w:r>
    </w:p>
    <w:p w14:paraId="1F393535"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25.</w:t>
      </w:r>
      <w:r w:rsidRPr="0002472C">
        <w:rPr>
          <w:rFonts w:cs="Times New Roman"/>
          <w:noProof/>
          <w:sz w:val="22"/>
          <w:szCs w:val="24"/>
        </w:rPr>
        <w:tab/>
        <w:t xml:space="preserve">Novikov, V. N., Ding, Y. &amp; Sokolov, A. P. Correlation of fragility of supercooled liquids with elastic properties of glasses. </w:t>
      </w:r>
      <w:r w:rsidRPr="0002472C">
        <w:rPr>
          <w:rFonts w:cs="Times New Roman"/>
          <w:i/>
          <w:iCs/>
          <w:noProof/>
          <w:sz w:val="22"/>
          <w:szCs w:val="24"/>
        </w:rPr>
        <w:t>Phys. Rev. E - Stat. Nonlinear, Soft Matter Phys.</w:t>
      </w:r>
      <w:r w:rsidRPr="0002472C">
        <w:rPr>
          <w:rFonts w:cs="Times New Roman"/>
          <w:noProof/>
          <w:sz w:val="22"/>
          <w:szCs w:val="24"/>
        </w:rPr>
        <w:t xml:space="preserve"> </w:t>
      </w:r>
      <w:r w:rsidRPr="0002472C">
        <w:rPr>
          <w:rFonts w:cs="Times New Roman"/>
          <w:b/>
          <w:bCs/>
          <w:noProof/>
          <w:sz w:val="22"/>
          <w:szCs w:val="24"/>
        </w:rPr>
        <w:t>71</w:t>
      </w:r>
      <w:r w:rsidRPr="0002472C">
        <w:rPr>
          <w:rFonts w:cs="Times New Roman"/>
          <w:noProof/>
          <w:sz w:val="22"/>
          <w:szCs w:val="24"/>
        </w:rPr>
        <w:t>, 1–12 (2005).</w:t>
      </w:r>
    </w:p>
    <w:p w14:paraId="70BB0113"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szCs w:val="24"/>
        </w:rPr>
      </w:pPr>
      <w:r w:rsidRPr="0002472C">
        <w:rPr>
          <w:rFonts w:cs="Times New Roman"/>
          <w:noProof/>
          <w:sz w:val="22"/>
          <w:szCs w:val="24"/>
        </w:rPr>
        <w:t>26.</w:t>
      </w:r>
      <w:r w:rsidRPr="0002472C">
        <w:rPr>
          <w:rFonts w:cs="Times New Roman"/>
          <w:noProof/>
          <w:sz w:val="22"/>
          <w:szCs w:val="24"/>
        </w:rPr>
        <w:tab/>
        <w:t xml:space="preserve">Wechsler, B. A., Lindsley, D. H. &amp; Prewitt, C. T. Crystal structure and cation distribution in titanomagnetites (Fe3-xTixO4). </w:t>
      </w:r>
      <w:r w:rsidRPr="0002472C">
        <w:rPr>
          <w:rFonts w:cs="Times New Roman"/>
          <w:i/>
          <w:iCs/>
          <w:noProof/>
          <w:sz w:val="22"/>
          <w:szCs w:val="24"/>
        </w:rPr>
        <w:t>Am. Mineral.</w:t>
      </w:r>
      <w:r w:rsidRPr="0002472C">
        <w:rPr>
          <w:rFonts w:cs="Times New Roman"/>
          <w:noProof/>
          <w:sz w:val="22"/>
          <w:szCs w:val="24"/>
        </w:rPr>
        <w:t xml:space="preserve"> </w:t>
      </w:r>
      <w:r w:rsidRPr="0002472C">
        <w:rPr>
          <w:rFonts w:cs="Times New Roman"/>
          <w:b/>
          <w:bCs/>
          <w:noProof/>
          <w:sz w:val="22"/>
          <w:szCs w:val="24"/>
        </w:rPr>
        <w:t>69</w:t>
      </w:r>
      <w:r w:rsidRPr="0002472C">
        <w:rPr>
          <w:rFonts w:cs="Times New Roman"/>
          <w:noProof/>
          <w:sz w:val="22"/>
          <w:szCs w:val="24"/>
        </w:rPr>
        <w:t>, 754–770 (1984).</w:t>
      </w:r>
    </w:p>
    <w:p w14:paraId="51253967" w14:textId="77777777" w:rsidR="0002472C" w:rsidRPr="0002472C" w:rsidRDefault="0002472C" w:rsidP="0002472C">
      <w:pPr>
        <w:widowControl w:val="0"/>
        <w:autoSpaceDE w:val="0"/>
        <w:autoSpaceDN w:val="0"/>
        <w:adjustRightInd w:val="0"/>
        <w:spacing w:line="240" w:lineRule="auto"/>
        <w:ind w:left="640" w:hanging="640"/>
        <w:rPr>
          <w:rFonts w:cs="Times New Roman"/>
          <w:noProof/>
          <w:sz w:val="22"/>
        </w:rPr>
      </w:pPr>
      <w:r w:rsidRPr="0002472C">
        <w:rPr>
          <w:rFonts w:cs="Times New Roman"/>
          <w:noProof/>
          <w:sz w:val="22"/>
          <w:szCs w:val="24"/>
        </w:rPr>
        <w:t>27.</w:t>
      </w:r>
      <w:r w:rsidRPr="0002472C">
        <w:rPr>
          <w:rFonts w:cs="Times New Roman"/>
          <w:noProof/>
          <w:sz w:val="22"/>
          <w:szCs w:val="24"/>
        </w:rPr>
        <w:tab/>
        <w:t xml:space="preserve">Berg, S. </w:t>
      </w:r>
      <w:r w:rsidRPr="0002472C">
        <w:rPr>
          <w:rFonts w:cs="Times New Roman"/>
          <w:i/>
          <w:iCs/>
          <w:noProof/>
          <w:sz w:val="22"/>
          <w:szCs w:val="24"/>
        </w:rPr>
        <w:t>et al.</w:t>
      </w:r>
      <w:r w:rsidRPr="0002472C">
        <w:rPr>
          <w:rFonts w:cs="Times New Roman"/>
          <w:noProof/>
          <w:sz w:val="22"/>
          <w:szCs w:val="24"/>
        </w:rPr>
        <w:t xml:space="preserve"> Ilastik: Interactive Machine Learning for (Bio)Image Analysis. </w:t>
      </w:r>
      <w:r w:rsidRPr="0002472C">
        <w:rPr>
          <w:rFonts w:cs="Times New Roman"/>
          <w:i/>
          <w:iCs/>
          <w:noProof/>
          <w:sz w:val="22"/>
          <w:szCs w:val="24"/>
        </w:rPr>
        <w:t>Nat. Methods</w:t>
      </w:r>
      <w:r w:rsidRPr="0002472C">
        <w:rPr>
          <w:rFonts w:cs="Times New Roman"/>
          <w:noProof/>
          <w:sz w:val="22"/>
          <w:szCs w:val="24"/>
        </w:rPr>
        <w:t xml:space="preserve"> </w:t>
      </w:r>
      <w:r w:rsidRPr="0002472C">
        <w:rPr>
          <w:rFonts w:cs="Times New Roman"/>
          <w:b/>
          <w:bCs/>
          <w:noProof/>
          <w:sz w:val="22"/>
          <w:szCs w:val="24"/>
        </w:rPr>
        <w:t>16</w:t>
      </w:r>
      <w:r w:rsidRPr="0002472C">
        <w:rPr>
          <w:rFonts w:cs="Times New Roman"/>
          <w:noProof/>
          <w:sz w:val="22"/>
          <w:szCs w:val="24"/>
        </w:rPr>
        <w:t>, 1226–1232 (2019).</w:t>
      </w:r>
    </w:p>
    <w:p w14:paraId="5768D562" w14:textId="5850069C" w:rsidR="007C6171" w:rsidRPr="00C97BA2" w:rsidRDefault="003F683E" w:rsidP="00403848">
      <w:pPr>
        <w:ind w:left="426" w:hanging="426"/>
        <w:jc w:val="left"/>
        <w:rPr>
          <w:sz w:val="22"/>
          <w:lang w:val="en-GB"/>
        </w:rPr>
      </w:pPr>
      <w:r w:rsidRPr="00C97BA2">
        <w:rPr>
          <w:sz w:val="22"/>
          <w:lang w:val="en-GB"/>
        </w:rPr>
        <w:fldChar w:fldCharType="end"/>
      </w:r>
      <w:r w:rsidR="006564E8" w:rsidRPr="00C97BA2">
        <w:rPr>
          <w:sz w:val="22"/>
          <w:lang w:val="en-GB"/>
        </w:rPr>
        <w:t xml:space="preserve"> </w:t>
      </w:r>
    </w:p>
    <w:sectPr w:rsidR="007C6171" w:rsidRPr="00C97BA2" w:rsidSect="00186DBC">
      <w:pgSz w:w="12240" w:h="15840"/>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73CD3" w14:textId="77777777" w:rsidR="00186DBC" w:rsidRDefault="00186DBC" w:rsidP="00DF6E2D">
      <w:pPr>
        <w:spacing w:line="240" w:lineRule="auto"/>
      </w:pPr>
      <w:r>
        <w:separator/>
      </w:r>
    </w:p>
  </w:endnote>
  <w:endnote w:type="continuationSeparator" w:id="0">
    <w:p w14:paraId="3975E7F7" w14:textId="77777777" w:rsidR="00186DBC" w:rsidRDefault="00186DBC" w:rsidP="00DF6E2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0174094"/>
      <w:docPartObj>
        <w:docPartGallery w:val="Page Numbers (Bottom of Page)"/>
        <w:docPartUnique/>
      </w:docPartObj>
    </w:sdtPr>
    <w:sdtEndPr>
      <w:rPr>
        <w:noProof/>
      </w:rPr>
    </w:sdtEndPr>
    <w:sdtContent>
      <w:p w14:paraId="21C8B7B7" w14:textId="5AC1851B" w:rsidR="0028433D" w:rsidRDefault="0028433D">
        <w:pPr>
          <w:pStyle w:val="Footer"/>
          <w:jc w:val="center"/>
        </w:pPr>
        <w:r>
          <w:fldChar w:fldCharType="begin"/>
        </w:r>
        <w:r>
          <w:instrText xml:space="preserve"> PAGE   \* MERGEFORMAT </w:instrText>
        </w:r>
        <w:r>
          <w:fldChar w:fldCharType="separate"/>
        </w:r>
        <w:r w:rsidR="00BC79C3">
          <w:rPr>
            <w:noProof/>
          </w:rPr>
          <w:t>26</w:t>
        </w:r>
        <w:r>
          <w:rPr>
            <w:noProof/>
          </w:rPr>
          <w:fldChar w:fldCharType="end"/>
        </w:r>
      </w:p>
    </w:sdtContent>
  </w:sdt>
  <w:p w14:paraId="7FC07EE5" w14:textId="77777777" w:rsidR="0028433D" w:rsidRDefault="002843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36055" w14:textId="77777777" w:rsidR="00186DBC" w:rsidRDefault="00186DBC" w:rsidP="00DF6E2D">
      <w:pPr>
        <w:spacing w:line="240" w:lineRule="auto"/>
      </w:pPr>
      <w:r>
        <w:separator/>
      </w:r>
    </w:p>
  </w:footnote>
  <w:footnote w:type="continuationSeparator" w:id="0">
    <w:p w14:paraId="1BFF9E99" w14:textId="77777777" w:rsidR="00186DBC" w:rsidRDefault="00186DBC" w:rsidP="00DF6E2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70E176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8AE3B5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40C96B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5CE09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266D74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5F6A36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6A6DDA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04A5A4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37AAA3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6E4BB3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62636A"/>
    <w:multiLevelType w:val="hybridMultilevel"/>
    <w:tmpl w:val="51F81E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0A42623"/>
    <w:multiLevelType w:val="hybridMultilevel"/>
    <w:tmpl w:val="82183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19230A"/>
    <w:multiLevelType w:val="hybridMultilevel"/>
    <w:tmpl w:val="E1B2E8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A861D24"/>
    <w:multiLevelType w:val="hybridMultilevel"/>
    <w:tmpl w:val="A6D6F1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432559"/>
    <w:multiLevelType w:val="hybridMultilevel"/>
    <w:tmpl w:val="A484E23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634A15"/>
    <w:multiLevelType w:val="multilevel"/>
    <w:tmpl w:val="8D988E06"/>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476E15FE"/>
    <w:multiLevelType w:val="hybridMultilevel"/>
    <w:tmpl w:val="5FC217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932DF5"/>
    <w:multiLevelType w:val="hybridMultilevel"/>
    <w:tmpl w:val="8654C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9BE4618"/>
    <w:multiLevelType w:val="hybridMultilevel"/>
    <w:tmpl w:val="FB3CB4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710D99"/>
    <w:multiLevelType w:val="multilevel"/>
    <w:tmpl w:val="AB2E7D36"/>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999194283">
    <w:abstractNumId w:val="17"/>
  </w:num>
  <w:num w:numId="2" w16cid:durableId="37096555">
    <w:abstractNumId w:val="9"/>
  </w:num>
  <w:num w:numId="3" w16cid:durableId="968165194">
    <w:abstractNumId w:val="8"/>
  </w:num>
  <w:num w:numId="4" w16cid:durableId="1900313853">
    <w:abstractNumId w:val="7"/>
  </w:num>
  <w:num w:numId="5" w16cid:durableId="2130856333">
    <w:abstractNumId w:val="6"/>
  </w:num>
  <w:num w:numId="6" w16cid:durableId="641546637">
    <w:abstractNumId w:val="5"/>
  </w:num>
  <w:num w:numId="7" w16cid:durableId="137652418">
    <w:abstractNumId w:val="4"/>
  </w:num>
  <w:num w:numId="8" w16cid:durableId="704790685">
    <w:abstractNumId w:val="3"/>
  </w:num>
  <w:num w:numId="9" w16cid:durableId="518813898">
    <w:abstractNumId w:val="2"/>
  </w:num>
  <w:num w:numId="10" w16cid:durableId="642079505">
    <w:abstractNumId w:val="1"/>
  </w:num>
  <w:num w:numId="11" w16cid:durableId="1117795348">
    <w:abstractNumId w:val="0"/>
  </w:num>
  <w:num w:numId="12" w16cid:durableId="355692275">
    <w:abstractNumId w:val="16"/>
  </w:num>
  <w:num w:numId="13" w16cid:durableId="1289892828">
    <w:abstractNumId w:val="13"/>
  </w:num>
  <w:num w:numId="14" w16cid:durableId="1309044562">
    <w:abstractNumId w:val="10"/>
  </w:num>
  <w:num w:numId="15" w16cid:durableId="123424303">
    <w:abstractNumId w:val="12"/>
  </w:num>
  <w:num w:numId="16" w16cid:durableId="106782528">
    <w:abstractNumId w:val="11"/>
  </w:num>
  <w:num w:numId="17" w16cid:durableId="375814246">
    <w:abstractNumId w:val="18"/>
  </w:num>
  <w:num w:numId="18" w16cid:durableId="2046981822">
    <w:abstractNumId w:val="14"/>
  </w:num>
  <w:num w:numId="19" w16cid:durableId="280305199">
    <w:abstractNumId w:val="15"/>
  </w:num>
  <w:num w:numId="20" w16cid:durableId="64974911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EyMLGwsLQ0NjU2MzRR0lEKTi0uzszPAykwtKgFALRldxctAAAA"/>
  </w:docVars>
  <w:rsids>
    <w:rsidRoot w:val="00CC0265"/>
    <w:rsid w:val="000008BB"/>
    <w:rsid w:val="00002C00"/>
    <w:rsid w:val="00003566"/>
    <w:rsid w:val="00004790"/>
    <w:rsid w:val="00004D70"/>
    <w:rsid w:val="000059FC"/>
    <w:rsid w:val="00005E4C"/>
    <w:rsid w:val="00010223"/>
    <w:rsid w:val="00010710"/>
    <w:rsid w:val="00011083"/>
    <w:rsid w:val="00014497"/>
    <w:rsid w:val="0001615E"/>
    <w:rsid w:val="00016905"/>
    <w:rsid w:val="000169E1"/>
    <w:rsid w:val="00016A17"/>
    <w:rsid w:val="00016FC6"/>
    <w:rsid w:val="000170E7"/>
    <w:rsid w:val="00017A76"/>
    <w:rsid w:val="00017C32"/>
    <w:rsid w:val="00017F45"/>
    <w:rsid w:val="00020C1B"/>
    <w:rsid w:val="0002472C"/>
    <w:rsid w:val="000325E6"/>
    <w:rsid w:val="00032BEF"/>
    <w:rsid w:val="000354B6"/>
    <w:rsid w:val="00035CBE"/>
    <w:rsid w:val="00037412"/>
    <w:rsid w:val="00040932"/>
    <w:rsid w:val="00040DCF"/>
    <w:rsid w:val="000445B6"/>
    <w:rsid w:val="000454E6"/>
    <w:rsid w:val="000457D9"/>
    <w:rsid w:val="000479E0"/>
    <w:rsid w:val="0005094A"/>
    <w:rsid w:val="00052F3B"/>
    <w:rsid w:val="0005425A"/>
    <w:rsid w:val="00057D19"/>
    <w:rsid w:val="00060F25"/>
    <w:rsid w:val="00062EE9"/>
    <w:rsid w:val="00062EEE"/>
    <w:rsid w:val="000641F4"/>
    <w:rsid w:val="000643FC"/>
    <w:rsid w:val="000646F7"/>
    <w:rsid w:val="00064970"/>
    <w:rsid w:val="000661A6"/>
    <w:rsid w:val="00067A08"/>
    <w:rsid w:val="00067CB3"/>
    <w:rsid w:val="0007051F"/>
    <w:rsid w:val="0007096A"/>
    <w:rsid w:val="00070D2A"/>
    <w:rsid w:val="00073695"/>
    <w:rsid w:val="00073CBB"/>
    <w:rsid w:val="00073EAD"/>
    <w:rsid w:val="0007414B"/>
    <w:rsid w:val="00074C7A"/>
    <w:rsid w:val="000764A9"/>
    <w:rsid w:val="000822A2"/>
    <w:rsid w:val="00083E9C"/>
    <w:rsid w:val="000863A5"/>
    <w:rsid w:val="0009048B"/>
    <w:rsid w:val="00092604"/>
    <w:rsid w:val="000A0540"/>
    <w:rsid w:val="000A1782"/>
    <w:rsid w:val="000A2BB3"/>
    <w:rsid w:val="000A2D22"/>
    <w:rsid w:val="000A306C"/>
    <w:rsid w:val="000A4C64"/>
    <w:rsid w:val="000A5D72"/>
    <w:rsid w:val="000A6222"/>
    <w:rsid w:val="000A6E73"/>
    <w:rsid w:val="000A6F49"/>
    <w:rsid w:val="000A770D"/>
    <w:rsid w:val="000B245F"/>
    <w:rsid w:val="000B3876"/>
    <w:rsid w:val="000B4D30"/>
    <w:rsid w:val="000B5FE5"/>
    <w:rsid w:val="000C19E3"/>
    <w:rsid w:val="000C22E5"/>
    <w:rsid w:val="000C2531"/>
    <w:rsid w:val="000C354B"/>
    <w:rsid w:val="000C3B6B"/>
    <w:rsid w:val="000C3D32"/>
    <w:rsid w:val="000C3EFA"/>
    <w:rsid w:val="000C4279"/>
    <w:rsid w:val="000C42F8"/>
    <w:rsid w:val="000C6B56"/>
    <w:rsid w:val="000C7B25"/>
    <w:rsid w:val="000C7F3C"/>
    <w:rsid w:val="000D0097"/>
    <w:rsid w:val="000D1D52"/>
    <w:rsid w:val="000D45BB"/>
    <w:rsid w:val="000D486D"/>
    <w:rsid w:val="000D5412"/>
    <w:rsid w:val="000E796E"/>
    <w:rsid w:val="000F3E8D"/>
    <w:rsid w:val="000F4C30"/>
    <w:rsid w:val="000F5ECF"/>
    <w:rsid w:val="000F62AD"/>
    <w:rsid w:val="0010402D"/>
    <w:rsid w:val="0010462B"/>
    <w:rsid w:val="00107253"/>
    <w:rsid w:val="001163AA"/>
    <w:rsid w:val="00117844"/>
    <w:rsid w:val="00121B19"/>
    <w:rsid w:val="00122374"/>
    <w:rsid w:val="001229E6"/>
    <w:rsid w:val="00123BDB"/>
    <w:rsid w:val="00124C36"/>
    <w:rsid w:val="00126372"/>
    <w:rsid w:val="00127171"/>
    <w:rsid w:val="00130DD6"/>
    <w:rsid w:val="00133A0C"/>
    <w:rsid w:val="00133D69"/>
    <w:rsid w:val="00134327"/>
    <w:rsid w:val="00134BEA"/>
    <w:rsid w:val="00135EA2"/>
    <w:rsid w:val="00135EF8"/>
    <w:rsid w:val="001361E2"/>
    <w:rsid w:val="00136B90"/>
    <w:rsid w:val="0013769D"/>
    <w:rsid w:val="001417D6"/>
    <w:rsid w:val="001426C7"/>
    <w:rsid w:val="00143528"/>
    <w:rsid w:val="00143567"/>
    <w:rsid w:val="001442E7"/>
    <w:rsid w:val="001446B6"/>
    <w:rsid w:val="001475F4"/>
    <w:rsid w:val="00147613"/>
    <w:rsid w:val="001501E3"/>
    <w:rsid w:val="00150BEE"/>
    <w:rsid w:val="00151BE2"/>
    <w:rsid w:val="00153F5B"/>
    <w:rsid w:val="00154365"/>
    <w:rsid w:val="00154BC5"/>
    <w:rsid w:val="001555FF"/>
    <w:rsid w:val="00156289"/>
    <w:rsid w:val="00156D63"/>
    <w:rsid w:val="001604F9"/>
    <w:rsid w:val="00162261"/>
    <w:rsid w:val="00163546"/>
    <w:rsid w:val="00164D7E"/>
    <w:rsid w:val="001656B9"/>
    <w:rsid w:val="00166444"/>
    <w:rsid w:val="0017092A"/>
    <w:rsid w:val="001719E1"/>
    <w:rsid w:val="00172D5C"/>
    <w:rsid w:val="00174D77"/>
    <w:rsid w:val="00174E6B"/>
    <w:rsid w:val="00177836"/>
    <w:rsid w:val="00184391"/>
    <w:rsid w:val="00184B1B"/>
    <w:rsid w:val="00185BFB"/>
    <w:rsid w:val="00186750"/>
    <w:rsid w:val="00186DBC"/>
    <w:rsid w:val="0019081C"/>
    <w:rsid w:val="001909E1"/>
    <w:rsid w:val="00191C2D"/>
    <w:rsid w:val="001930FC"/>
    <w:rsid w:val="00193CA8"/>
    <w:rsid w:val="00193F32"/>
    <w:rsid w:val="00195B93"/>
    <w:rsid w:val="001968D3"/>
    <w:rsid w:val="001968E2"/>
    <w:rsid w:val="00197461"/>
    <w:rsid w:val="001A07AD"/>
    <w:rsid w:val="001A44BC"/>
    <w:rsid w:val="001A51C4"/>
    <w:rsid w:val="001B1120"/>
    <w:rsid w:val="001B1BA5"/>
    <w:rsid w:val="001B326F"/>
    <w:rsid w:val="001B4FCE"/>
    <w:rsid w:val="001B564E"/>
    <w:rsid w:val="001C0D67"/>
    <w:rsid w:val="001C1BCE"/>
    <w:rsid w:val="001C2022"/>
    <w:rsid w:val="001C2056"/>
    <w:rsid w:val="001C4A56"/>
    <w:rsid w:val="001C4AD7"/>
    <w:rsid w:val="001C58E8"/>
    <w:rsid w:val="001D0CBC"/>
    <w:rsid w:val="001D1E4B"/>
    <w:rsid w:val="001D26DA"/>
    <w:rsid w:val="001D305D"/>
    <w:rsid w:val="001D4003"/>
    <w:rsid w:val="001D441A"/>
    <w:rsid w:val="001D468C"/>
    <w:rsid w:val="001D7F60"/>
    <w:rsid w:val="001E0298"/>
    <w:rsid w:val="001E0430"/>
    <w:rsid w:val="001E0725"/>
    <w:rsid w:val="001E0A0B"/>
    <w:rsid w:val="001E12C1"/>
    <w:rsid w:val="001E2B83"/>
    <w:rsid w:val="001E3463"/>
    <w:rsid w:val="001E580C"/>
    <w:rsid w:val="001E71A1"/>
    <w:rsid w:val="001F61D1"/>
    <w:rsid w:val="00200A7F"/>
    <w:rsid w:val="00200B72"/>
    <w:rsid w:val="00200DEA"/>
    <w:rsid w:val="0020120E"/>
    <w:rsid w:val="00202560"/>
    <w:rsid w:val="002028B7"/>
    <w:rsid w:val="00203C74"/>
    <w:rsid w:val="00204D5C"/>
    <w:rsid w:val="00205D14"/>
    <w:rsid w:val="00205E33"/>
    <w:rsid w:val="00210F01"/>
    <w:rsid w:val="00211003"/>
    <w:rsid w:val="002147D9"/>
    <w:rsid w:val="00214B21"/>
    <w:rsid w:val="00215689"/>
    <w:rsid w:val="00215C1F"/>
    <w:rsid w:val="002164D2"/>
    <w:rsid w:val="0021703B"/>
    <w:rsid w:val="00217A22"/>
    <w:rsid w:val="00217F99"/>
    <w:rsid w:val="002211CB"/>
    <w:rsid w:val="002224C9"/>
    <w:rsid w:val="00224E07"/>
    <w:rsid w:val="0022717B"/>
    <w:rsid w:val="00227CF7"/>
    <w:rsid w:val="00232041"/>
    <w:rsid w:val="002332DF"/>
    <w:rsid w:val="00233CF0"/>
    <w:rsid w:val="00235C52"/>
    <w:rsid w:val="002365CF"/>
    <w:rsid w:val="00243F2B"/>
    <w:rsid w:val="00245005"/>
    <w:rsid w:val="0024517B"/>
    <w:rsid w:val="00254CAD"/>
    <w:rsid w:val="00256A1F"/>
    <w:rsid w:val="0025748F"/>
    <w:rsid w:val="0026203E"/>
    <w:rsid w:val="00262345"/>
    <w:rsid w:val="00266569"/>
    <w:rsid w:val="002721DA"/>
    <w:rsid w:val="002727D6"/>
    <w:rsid w:val="00273C90"/>
    <w:rsid w:val="00275995"/>
    <w:rsid w:val="0028033A"/>
    <w:rsid w:val="00280F60"/>
    <w:rsid w:val="0028119E"/>
    <w:rsid w:val="00283B0C"/>
    <w:rsid w:val="00283D45"/>
    <w:rsid w:val="00283DB7"/>
    <w:rsid w:val="0028433D"/>
    <w:rsid w:val="00285C77"/>
    <w:rsid w:val="00292A08"/>
    <w:rsid w:val="00293DCA"/>
    <w:rsid w:val="002946A3"/>
    <w:rsid w:val="00294A1C"/>
    <w:rsid w:val="002977B0"/>
    <w:rsid w:val="00297D1B"/>
    <w:rsid w:val="002A0E97"/>
    <w:rsid w:val="002A2742"/>
    <w:rsid w:val="002A2A66"/>
    <w:rsid w:val="002A36C3"/>
    <w:rsid w:val="002A3866"/>
    <w:rsid w:val="002A5136"/>
    <w:rsid w:val="002A5CA3"/>
    <w:rsid w:val="002A641E"/>
    <w:rsid w:val="002A670F"/>
    <w:rsid w:val="002A6ED6"/>
    <w:rsid w:val="002B1799"/>
    <w:rsid w:val="002B371D"/>
    <w:rsid w:val="002B3A22"/>
    <w:rsid w:val="002B4737"/>
    <w:rsid w:val="002B6821"/>
    <w:rsid w:val="002B6CE2"/>
    <w:rsid w:val="002B72DF"/>
    <w:rsid w:val="002C00E3"/>
    <w:rsid w:val="002C03C9"/>
    <w:rsid w:val="002C0EB2"/>
    <w:rsid w:val="002C1DBB"/>
    <w:rsid w:val="002C22FE"/>
    <w:rsid w:val="002C28BA"/>
    <w:rsid w:val="002C4FA2"/>
    <w:rsid w:val="002C5318"/>
    <w:rsid w:val="002C5343"/>
    <w:rsid w:val="002C5472"/>
    <w:rsid w:val="002C5DA0"/>
    <w:rsid w:val="002C6CD4"/>
    <w:rsid w:val="002D129A"/>
    <w:rsid w:val="002D2291"/>
    <w:rsid w:val="002D2CBF"/>
    <w:rsid w:val="002D34A3"/>
    <w:rsid w:val="002D3A79"/>
    <w:rsid w:val="002D43BA"/>
    <w:rsid w:val="002D4EB2"/>
    <w:rsid w:val="002D52DD"/>
    <w:rsid w:val="002D5AE1"/>
    <w:rsid w:val="002D6063"/>
    <w:rsid w:val="002D61E9"/>
    <w:rsid w:val="002D68BB"/>
    <w:rsid w:val="002D760B"/>
    <w:rsid w:val="002D7C89"/>
    <w:rsid w:val="002D7E31"/>
    <w:rsid w:val="002E1E1F"/>
    <w:rsid w:val="002E6952"/>
    <w:rsid w:val="002E7532"/>
    <w:rsid w:val="002E7A2D"/>
    <w:rsid w:val="002F0749"/>
    <w:rsid w:val="002F08CF"/>
    <w:rsid w:val="002F1003"/>
    <w:rsid w:val="002F309A"/>
    <w:rsid w:val="002F37F2"/>
    <w:rsid w:val="002F4C52"/>
    <w:rsid w:val="002F7987"/>
    <w:rsid w:val="00301A0A"/>
    <w:rsid w:val="003033B5"/>
    <w:rsid w:val="00304F85"/>
    <w:rsid w:val="003052A8"/>
    <w:rsid w:val="00310101"/>
    <w:rsid w:val="003101B6"/>
    <w:rsid w:val="00311A27"/>
    <w:rsid w:val="00311F03"/>
    <w:rsid w:val="0031294F"/>
    <w:rsid w:val="00312F83"/>
    <w:rsid w:val="00312F8C"/>
    <w:rsid w:val="00316EE7"/>
    <w:rsid w:val="00317C37"/>
    <w:rsid w:val="00320A96"/>
    <w:rsid w:val="003223BE"/>
    <w:rsid w:val="00323718"/>
    <w:rsid w:val="00325B5C"/>
    <w:rsid w:val="00326F04"/>
    <w:rsid w:val="00327498"/>
    <w:rsid w:val="003302AE"/>
    <w:rsid w:val="00330363"/>
    <w:rsid w:val="00331C24"/>
    <w:rsid w:val="003320EF"/>
    <w:rsid w:val="00334C80"/>
    <w:rsid w:val="00334FCD"/>
    <w:rsid w:val="00336205"/>
    <w:rsid w:val="0034092E"/>
    <w:rsid w:val="00340DDC"/>
    <w:rsid w:val="00341289"/>
    <w:rsid w:val="00341C31"/>
    <w:rsid w:val="00341F1C"/>
    <w:rsid w:val="00342EC5"/>
    <w:rsid w:val="00343092"/>
    <w:rsid w:val="0034350E"/>
    <w:rsid w:val="0034363B"/>
    <w:rsid w:val="00343DBD"/>
    <w:rsid w:val="003455C9"/>
    <w:rsid w:val="00345CE7"/>
    <w:rsid w:val="00346567"/>
    <w:rsid w:val="00346AB7"/>
    <w:rsid w:val="00346C07"/>
    <w:rsid w:val="0034721E"/>
    <w:rsid w:val="00350490"/>
    <w:rsid w:val="00351B66"/>
    <w:rsid w:val="00351C2F"/>
    <w:rsid w:val="00351C71"/>
    <w:rsid w:val="00354465"/>
    <w:rsid w:val="0035467E"/>
    <w:rsid w:val="00355541"/>
    <w:rsid w:val="00355941"/>
    <w:rsid w:val="00355B65"/>
    <w:rsid w:val="00355D5F"/>
    <w:rsid w:val="00356788"/>
    <w:rsid w:val="00356C52"/>
    <w:rsid w:val="00357ABC"/>
    <w:rsid w:val="003617A6"/>
    <w:rsid w:val="003619AA"/>
    <w:rsid w:val="00361ED6"/>
    <w:rsid w:val="003655A2"/>
    <w:rsid w:val="00365A94"/>
    <w:rsid w:val="00372338"/>
    <w:rsid w:val="00374585"/>
    <w:rsid w:val="00374E96"/>
    <w:rsid w:val="00376196"/>
    <w:rsid w:val="003805B4"/>
    <w:rsid w:val="00380B7E"/>
    <w:rsid w:val="00380EB8"/>
    <w:rsid w:val="00385BED"/>
    <w:rsid w:val="00387C7C"/>
    <w:rsid w:val="00391A70"/>
    <w:rsid w:val="00392003"/>
    <w:rsid w:val="00392CEB"/>
    <w:rsid w:val="00392D0F"/>
    <w:rsid w:val="0039311A"/>
    <w:rsid w:val="003942D8"/>
    <w:rsid w:val="00394A2B"/>
    <w:rsid w:val="00394F00"/>
    <w:rsid w:val="003968E2"/>
    <w:rsid w:val="003A2C8C"/>
    <w:rsid w:val="003A30F8"/>
    <w:rsid w:val="003A4948"/>
    <w:rsid w:val="003A56F7"/>
    <w:rsid w:val="003A6513"/>
    <w:rsid w:val="003B3058"/>
    <w:rsid w:val="003B34BC"/>
    <w:rsid w:val="003B391E"/>
    <w:rsid w:val="003B6BFF"/>
    <w:rsid w:val="003B6E85"/>
    <w:rsid w:val="003B7427"/>
    <w:rsid w:val="003C1FE1"/>
    <w:rsid w:val="003C24C8"/>
    <w:rsid w:val="003C2F7A"/>
    <w:rsid w:val="003C6BB4"/>
    <w:rsid w:val="003D10E9"/>
    <w:rsid w:val="003D19A9"/>
    <w:rsid w:val="003D3273"/>
    <w:rsid w:val="003D3387"/>
    <w:rsid w:val="003D67CC"/>
    <w:rsid w:val="003E15C1"/>
    <w:rsid w:val="003E658B"/>
    <w:rsid w:val="003F0312"/>
    <w:rsid w:val="003F1622"/>
    <w:rsid w:val="003F3B45"/>
    <w:rsid w:val="003F683E"/>
    <w:rsid w:val="00403848"/>
    <w:rsid w:val="00406287"/>
    <w:rsid w:val="0040781B"/>
    <w:rsid w:val="00407ECC"/>
    <w:rsid w:val="004114AC"/>
    <w:rsid w:val="00415070"/>
    <w:rsid w:val="00415A12"/>
    <w:rsid w:val="0041729C"/>
    <w:rsid w:val="00417591"/>
    <w:rsid w:val="00421693"/>
    <w:rsid w:val="0042685B"/>
    <w:rsid w:val="00426F9E"/>
    <w:rsid w:val="00427AC3"/>
    <w:rsid w:val="00430C6F"/>
    <w:rsid w:val="00431250"/>
    <w:rsid w:val="004318D9"/>
    <w:rsid w:val="0043213A"/>
    <w:rsid w:val="004327CC"/>
    <w:rsid w:val="00432AEB"/>
    <w:rsid w:val="00435386"/>
    <w:rsid w:val="0043631D"/>
    <w:rsid w:val="00436ABD"/>
    <w:rsid w:val="004401E5"/>
    <w:rsid w:val="00440EAE"/>
    <w:rsid w:val="00442D83"/>
    <w:rsid w:val="00443101"/>
    <w:rsid w:val="00443DA2"/>
    <w:rsid w:val="00445227"/>
    <w:rsid w:val="0044667B"/>
    <w:rsid w:val="00447E40"/>
    <w:rsid w:val="00450D27"/>
    <w:rsid w:val="00450E21"/>
    <w:rsid w:val="00452DC5"/>
    <w:rsid w:val="00457699"/>
    <w:rsid w:val="0045795C"/>
    <w:rsid w:val="00457E3C"/>
    <w:rsid w:val="004617D7"/>
    <w:rsid w:val="004639EB"/>
    <w:rsid w:val="00464326"/>
    <w:rsid w:val="0046451E"/>
    <w:rsid w:val="00464702"/>
    <w:rsid w:val="00466F4B"/>
    <w:rsid w:val="00467AE7"/>
    <w:rsid w:val="0047272C"/>
    <w:rsid w:val="00472F13"/>
    <w:rsid w:val="004744E5"/>
    <w:rsid w:val="0047737F"/>
    <w:rsid w:val="00480525"/>
    <w:rsid w:val="004810B0"/>
    <w:rsid w:val="00481446"/>
    <w:rsid w:val="00482242"/>
    <w:rsid w:val="00482D0D"/>
    <w:rsid w:val="00483292"/>
    <w:rsid w:val="004914F6"/>
    <w:rsid w:val="004925F2"/>
    <w:rsid w:val="00494532"/>
    <w:rsid w:val="004953BA"/>
    <w:rsid w:val="004959A0"/>
    <w:rsid w:val="00497513"/>
    <w:rsid w:val="004A017A"/>
    <w:rsid w:val="004A1376"/>
    <w:rsid w:val="004A1D37"/>
    <w:rsid w:val="004A1D69"/>
    <w:rsid w:val="004A5A2C"/>
    <w:rsid w:val="004B2CD3"/>
    <w:rsid w:val="004B2ED2"/>
    <w:rsid w:val="004B4682"/>
    <w:rsid w:val="004B4A28"/>
    <w:rsid w:val="004B54A5"/>
    <w:rsid w:val="004B54D9"/>
    <w:rsid w:val="004B58E2"/>
    <w:rsid w:val="004B66EB"/>
    <w:rsid w:val="004B773A"/>
    <w:rsid w:val="004B7854"/>
    <w:rsid w:val="004B78C5"/>
    <w:rsid w:val="004B7C97"/>
    <w:rsid w:val="004C1CE3"/>
    <w:rsid w:val="004C3553"/>
    <w:rsid w:val="004C4FDE"/>
    <w:rsid w:val="004C6C21"/>
    <w:rsid w:val="004D103F"/>
    <w:rsid w:val="004D152B"/>
    <w:rsid w:val="004D268D"/>
    <w:rsid w:val="004D32EE"/>
    <w:rsid w:val="004D4294"/>
    <w:rsid w:val="004D6A38"/>
    <w:rsid w:val="004D7069"/>
    <w:rsid w:val="004D72FF"/>
    <w:rsid w:val="004D7E38"/>
    <w:rsid w:val="004E24D7"/>
    <w:rsid w:val="004E25AA"/>
    <w:rsid w:val="004E31D4"/>
    <w:rsid w:val="004E348E"/>
    <w:rsid w:val="004E44DC"/>
    <w:rsid w:val="004E4C65"/>
    <w:rsid w:val="004E4C78"/>
    <w:rsid w:val="004E6048"/>
    <w:rsid w:val="004E708F"/>
    <w:rsid w:val="004E762B"/>
    <w:rsid w:val="004F4B33"/>
    <w:rsid w:val="004F5A51"/>
    <w:rsid w:val="004F6ECC"/>
    <w:rsid w:val="004F749E"/>
    <w:rsid w:val="005002C4"/>
    <w:rsid w:val="00500A42"/>
    <w:rsid w:val="00500E15"/>
    <w:rsid w:val="00501E64"/>
    <w:rsid w:val="00504C31"/>
    <w:rsid w:val="00504E1C"/>
    <w:rsid w:val="00505948"/>
    <w:rsid w:val="0050603D"/>
    <w:rsid w:val="0050632C"/>
    <w:rsid w:val="00506558"/>
    <w:rsid w:val="005101D0"/>
    <w:rsid w:val="00512C67"/>
    <w:rsid w:val="0051346E"/>
    <w:rsid w:val="005159DC"/>
    <w:rsid w:val="005167FF"/>
    <w:rsid w:val="00522318"/>
    <w:rsid w:val="00524773"/>
    <w:rsid w:val="00524977"/>
    <w:rsid w:val="00526B90"/>
    <w:rsid w:val="005270C9"/>
    <w:rsid w:val="00527582"/>
    <w:rsid w:val="00530F20"/>
    <w:rsid w:val="00532D33"/>
    <w:rsid w:val="005335A9"/>
    <w:rsid w:val="00535C0B"/>
    <w:rsid w:val="00535D4A"/>
    <w:rsid w:val="00536CDF"/>
    <w:rsid w:val="0053715A"/>
    <w:rsid w:val="00537790"/>
    <w:rsid w:val="00537BA1"/>
    <w:rsid w:val="00540E1C"/>
    <w:rsid w:val="005410E0"/>
    <w:rsid w:val="00541DFE"/>
    <w:rsid w:val="0054582C"/>
    <w:rsid w:val="00545A9F"/>
    <w:rsid w:val="00550645"/>
    <w:rsid w:val="005520B6"/>
    <w:rsid w:val="005533A0"/>
    <w:rsid w:val="0055422B"/>
    <w:rsid w:val="005557EF"/>
    <w:rsid w:val="00555A3E"/>
    <w:rsid w:val="00557849"/>
    <w:rsid w:val="00561083"/>
    <w:rsid w:val="00561A09"/>
    <w:rsid w:val="00561C14"/>
    <w:rsid w:val="005622D0"/>
    <w:rsid w:val="005622EE"/>
    <w:rsid w:val="00565C37"/>
    <w:rsid w:val="005660AC"/>
    <w:rsid w:val="00566373"/>
    <w:rsid w:val="0056667B"/>
    <w:rsid w:val="00567062"/>
    <w:rsid w:val="0057288D"/>
    <w:rsid w:val="0057335D"/>
    <w:rsid w:val="00573BC9"/>
    <w:rsid w:val="00574BEF"/>
    <w:rsid w:val="00574EF1"/>
    <w:rsid w:val="00575100"/>
    <w:rsid w:val="005760AD"/>
    <w:rsid w:val="00577A76"/>
    <w:rsid w:val="00582401"/>
    <w:rsid w:val="0058277F"/>
    <w:rsid w:val="00582A9B"/>
    <w:rsid w:val="00583A7E"/>
    <w:rsid w:val="00587483"/>
    <w:rsid w:val="00587AFC"/>
    <w:rsid w:val="00587CCB"/>
    <w:rsid w:val="00587E18"/>
    <w:rsid w:val="005916A5"/>
    <w:rsid w:val="0059347E"/>
    <w:rsid w:val="00594FED"/>
    <w:rsid w:val="0059592A"/>
    <w:rsid w:val="005971AF"/>
    <w:rsid w:val="005A259B"/>
    <w:rsid w:val="005A284B"/>
    <w:rsid w:val="005A3121"/>
    <w:rsid w:val="005A3144"/>
    <w:rsid w:val="005A36E2"/>
    <w:rsid w:val="005B1177"/>
    <w:rsid w:val="005B1C65"/>
    <w:rsid w:val="005B2C22"/>
    <w:rsid w:val="005B4F00"/>
    <w:rsid w:val="005B5D1C"/>
    <w:rsid w:val="005B62BA"/>
    <w:rsid w:val="005B66E0"/>
    <w:rsid w:val="005C185C"/>
    <w:rsid w:val="005C70BB"/>
    <w:rsid w:val="005D03D7"/>
    <w:rsid w:val="005D0C56"/>
    <w:rsid w:val="005D176A"/>
    <w:rsid w:val="005D271E"/>
    <w:rsid w:val="005D3BA1"/>
    <w:rsid w:val="005D4503"/>
    <w:rsid w:val="005D570D"/>
    <w:rsid w:val="005D7C81"/>
    <w:rsid w:val="005E071E"/>
    <w:rsid w:val="005E5B0D"/>
    <w:rsid w:val="005E5B72"/>
    <w:rsid w:val="005E6A8B"/>
    <w:rsid w:val="005F0B27"/>
    <w:rsid w:val="005F15AF"/>
    <w:rsid w:val="005F19CC"/>
    <w:rsid w:val="005F3853"/>
    <w:rsid w:val="005F4C2A"/>
    <w:rsid w:val="005F54CB"/>
    <w:rsid w:val="005F5F24"/>
    <w:rsid w:val="005F75D8"/>
    <w:rsid w:val="005F7E20"/>
    <w:rsid w:val="005F7FEB"/>
    <w:rsid w:val="00600B3E"/>
    <w:rsid w:val="00601EE8"/>
    <w:rsid w:val="0060226A"/>
    <w:rsid w:val="00603C2D"/>
    <w:rsid w:val="00604329"/>
    <w:rsid w:val="00605149"/>
    <w:rsid w:val="006062C0"/>
    <w:rsid w:val="00607A45"/>
    <w:rsid w:val="00610808"/>
    <w:rsid w:val="00611DD3"/>
    <w:rsid w:val="0061216B"/>
    <w:rsid w:val="00612C46"/>
    <w:rsid w:val="0061476B"/>
    <w:rsid w:val="00614B6A"/>
    <w:rsid w:val="0061599F"/>
    <w:rsid w:val="00621742"/>
    <w:rsid w:val="006223CC"/>
    <w:rsid w:val="00624D9E"/>
    <w:rsid w:val="00625DB8"/>
    <w:rsid w:val="00630B3E"/>
    <w:rsid w:val="00632AC5"/>
    <w:rsid w:val="00633908"/>
    <w:rsid w:val="006359A8"/>
    <w:rsid w:val="006375CC"/>
    <w:rsid w:val="00641E97"/>
    <w:rsid w:val="006426D8"/>
    <w:rsid w:val="00642D93"/>
    <w:rsid w:val="0064553D"/>
    <w:rsid w:val="006462D9"/>
    <w:rsid w:val="00646C8F"/>
    <w:rsid w:val="00650655"/>
    <w:rsid w:val="00651837"/>
    <w:rsid w:val="00651DCC"/>
    <w:rsid w:val="00652B8F"/>
    <w:rsid w:val="00653A1D"/>
    <w:rsid w:val="00654108"/>
    <w:rsid w:val="006556FB"/>
    <w:rsid w:val="006564E8"/>
    <w:rsid w:val="006615CC"/>
    <w:rsid w:val="00670A8A"/>
    <w:rsid w:val="00672BC7"/>
    <w:rsid w:val="00673070"/>
    <w:rsid w:val="00673BEA"/>
    <w:rsid w:val="0067549B"/>
    <w:rsid w:val="00676CAB"/>
    <w:rsid w:val="00681D2C"/>
    <w:rsid w:val="006835E2"/>
    <w:rsid w:val="00683652"/>
    <w:rsid w:val="00683CF8"/>
    <w:rsid w:val="0068465C"/>
    <w:rsid w:val="00685F3E"/>
    <w:rsid w:val="006861E0"/>
    <w:rsid w:val="00687697"/>
    <w:rsid w:val="006911C0"/>
    <w:rsid w:val="00691617"/>
    <w:rsid w:val="00691F56"/>
    <w:rsid w:val="00692419"/>
    <w:rsid w:val="0069348F"/>
    <w:rsid w:val="00693C53"/>
    <w:rsid w:val="006941BD"/>
    <w:rsid w:val="006944B4"/>
    <w:rsid w:val="00695B40"/>
    <w:rsid w:val="00696025"/>
    <w:rsid w:val="006A00BC"/>
    <w:rsid w:val="006A2C45"/>
    <w:rsid w:val="006A4564"/>
    <w:rsid w:val="006A5441"/>
    <w:rsid w:val="006A555E"/>
    <w:rsid w:val="006A5C7C"/>
    <w:rsid w:val="006A5E38"/>
    <w:rsid w:val="006B0BC7"/>
    <w:rsid w:val="006B5548"/>
    <w:rsid w:val="006B564F"/>
    <w:rsid w:val="006B6C7B"/>
    <w:rsid w:val="006B6CF2"/>
    <w:rsid w:val="006B7929"/>
    <w:rsid w:val="006C190A"/>
    <w:rsid w:val="006C622A"/>
    <w:rsid w:val="006C7062"/>
    <w:rsid w:val="006C70E1"/>
    <w:rsid w:val="006C723A"/>
    <w:rsid w:val="006D07ED"/>
    <w:rsid w:val="006D099B"/>
    <w:rsid w:val="006D0A5F"/>
    <w:rsid w:val="006D145A"/>
    <w:rsid w:val="006D227F"/>
    <w:rsid w:val="006D5FA0"/>
    <w:rsid w:val="006D6753"/>
    <w:rsid w:val="006D69C2"/>
    <w:rsid w:val="006D702E"/>
    <w:rsid w:val="006E1175"/>
    <w:rsid w:val="006E1273"/>
    <w:rsid w:val="006E1352"/>
    <w:rsid w:val="006E1FF5"/>
    <w:rsid w:val="006E2022"/>
    <w:rsid w:val="006E2716"/>
    <w:rsid w:val="006E2742"/>
    <w:rsid w:val="006E313D"/>
    <w:rsid w:val="006E3841"/>
    <w:rsid w:val="006E3E52"/>
    <w:rsid w:val="006E46C3"/>
    <w:rsid w:val="006E4755"/>
    <w:rsid w:val="006E530E"/>
    <w:rsid w:val="006E6F37"/>
    <w:rsid w:val="006F206B"/>
    <w:rsid w:val="006F2612"/>
    <w:rsid w:val="006F37A1"/>
    <w:rsid w:val="006F6EBF"/>
    <w:rsid w:val="00701F8C"/>
    <w:rsid w:val="00704CF3"/>
    <w:rsid w:val="00706433"/>
    <w:rsid w:val="00707749"/>
    <w:rsid w:val="00707EEC"/>
    <w:rsid w:val="00711B93"/>
    <w:rsid w:val="00711CF8"/>
    <w:rsid w:val="0071244B"/>
    <w:rsid w:val="007151FD"/>
    <w:rsid w:val="007155F8"/>
    <w:rsid w:val="00717CBC"/>
    <w:rsid w:val="00720480"/>
    <w:rsid w:val="007207F9"/>
    <w:rsid w:val="007229FC"/>
    <w:rsid w:val="00722C99"/>
    <w:rsid w:val="007237A8"/>
    <w:rsid w:val="00723BD0"/>
    <w:rsid w:val="0072655F"/>
    <w:rsid w:val="00727B7B"/>
    <w:rsid w:val="00727C07"/>
    <w:rsid w:val="00731C4F"/>
    <w:rsid w:val="00734AEE"/>
    <w:rsid w:val="00736F4B"/>
    <w:rsid w:val="00740193"/>
    <w:rsid w:val="00741902"/>
    <w:rsid w:val="007426D8"/>
    <w:rsid w:val="00743663"/>
    <w:rsid w:val="00745F11"/>
    <w:rsid w:val="007500E3"/>
    <w:rsid w:val="00751D2B"/>
    <w:rsid w:val="00753691"/>
    <w:rsid w:val="00754100"/>
    <w:rsid w:val="007549D3"/>
    <w:rsid w:val="00754E96"/>
    <w:rsid w:val="0075529C"/>
    <w:rsid w:val="00760C46"/>
    <w:rsid w:val="00761325"/>
    <w:rsid w:val="00761AC2"/>
    <w:rsid w:val="007640A6"/>
    <w:rsid w:val="0076669C"/>
    <w:rsid w:val="00766DCF"/>
    <w:rsid w:val="00767A7F"/>
    <w:rsid w:val="0077097B"/>
    <w:rsid w:val="00771CF1"/>
    <w:rsid w:val="00771E77"/>
    <w:rsid w:val="007762A3"/>
    <w:rsid w:val="00776493"/>
    <w:rsid w:val="00776868"/>
    <w:rsid w:val="007806DF"/>
    <w:rsid w:val="00780BDB"/>
    <w:rsid w:val="00780C46"/>
    <w:rsid w:val="00783A8E"/>
    <w:rsid w:val="00791334"/>
    <w:rsid w:val="00791DAD"/>
    <w:rsid w:val="007925CE"/>
    <w:rsid w:val="007931CC"/>
    <w:rsid w:val="0079398D"/>
    <w:rsid w:val="00793BFA"/>
    <w:rsid w:val="00794865"/>
    <w:rsid w:val="007972E1"/>
    <w:rsid w:val="00797955"/>
    <w:rsid w:val="007A01B2"/>
    <w:rsid w:val="007A1692"/>
    <w:rsid w:val="007A3753"/>
    <w:rsid w:val="007A66BD"/>
    <w:rsid w:val="007A7708"/>
    <w:rsid w:val="007A7A33"/>
    <w:rsid w:val="007A7F41"/>
    <w:rsid w:val="007B2764"/>
    <w:rsid w:val="007B29AF"/>
    <w:rsid w:val="007B3DE1"/>
    <w:rsid w:val="007B4CDB"/>
    <w:rsid w:val="007B53A6"/>
    <w:rsid w:val="007B5B78"/>
    <w:rsid w:val="007B5C93"/>
    <w:rsid w:val="007B5FF6"/>
    <w:rsid w:val="007B65C3"/>
    <w:rsid w:val="007B7C89"/>
    <w:rsid w:val="007C15F9"/>
    <w:rsid w:val="007C32C5"/>
    <w:rsid w:val="007C425B"/>
    <w:rsid w:val="007C4867"/>
    <w:rsid w:val="007C6171"/>
    <w:rsid w:val="007C65A6"/>
    <w:rsid w:val="007D3052"/>
    <w:rsid w:val="007D3497"/>
    <w:rsid w:val="007D54D7"/>
    <w:rsid w:val="007D5565"/>
    <w:rsid w:val="007D7BB5"/>
    <w:rsid w:val="007D7F56"/>
    <w:rsid w:val="007E02DA"/>
    <w:rsid w:val="007E1D5C"/>
    <w:rsid w:val="007E2463"/>
    <w:rsid w:val="007E2995"/>
    <w:rsid w:val="007E3ADC"/>
    <w:rsid w:val="007E6716"/>
    <w:rsid w:val="007E7469"/>
    <w:rsid w:val="007F0FC9"/>
    <w:rsid w:val="007F1FB4"/>
    <w:rsid w:val="007F4F9F"/>
    <w:rsid w:val="007F58CA"/>
    <w:rsid w:val="007F7543"/>
    <w:rsid w:val="008021EF"/>
    <w:rsid w:val="008044EE"/>
    <w:rsid w:val="00804F45"/>
    <w:rsid w:val="0080742E"/>
    <w:rsid w:val="00807999"/>
    <w:rsid w:val="00813122"/>
    <w:rsid w:val="008143F4"/>
    <w:rsid w:val="008155F6"/>
    <w:rsid w:val="00820D74"/>
    <w:rsid w:val="00820EA9"/>
    <w:rsid w:val="008213EE"/>
    <w:rsid w:val="00821E9D"/>
    <w:rsid w:val="0082261F"/>
    <w:rsid w:val="008226DC"/>
    <w:rsid w:val="00822846"/>
    <w:rsid w:val="00825F30"/>
    <w:rsid w:val="0082622C"/>
    <w:rsid w:val="008266CC"/>
    <w:rsid w:val="00826ACE"/>
    <w:rsid w:val="00831691"/>
    <w:rsid w:val="00831A92"/>
    <w:rsid w:val="00831B24"/>
    <w:rsid w:val="00832048"/>
    <w:rsid w:val="00832C5E"/>
    <w:rsid w:val="00832EDC"/>
    <w:rsid w:val="00833B56"/>
    <w:rsid w:val="00833EFA"/>
    <w:rsid w:val="00834E79"/>
    <w:rsid w:val="00835556"/>
    <w:rsid w:val="00837BDA"/>
    <w:rsid w:val="0084015C"/>
    <w:rsid w:val="00842CF7"/>
    <w:rsid w:val="00844068"/>
    <w:rsid w:val="00845BFB"/>
    <w:rsid w:val="00845EC9"/>
    <w:rsid w:val="00846EF0"/>
    <w:rsid w:val="008509F1"/>
    <w:rsid w:val="008515B0"/>
    <w:rsid w:val="008522DE"/>
    <w:rsid w:val="00857259"/>
    <w:rsid w:val="00857E20"/>
    <w:rsid w:val="00861CC4"/>
    <w:rsid w:val="00861DEE"/>
    <w:rsid w:val="00864C04"/>
    <w:rsid w:val="00865A3E"/>
    <w:rsid w:val="008673D5"/>
    <w:rsid w:val="0087067A"/>
    <w:rsid w:val="00870864"/>
    <w:rsid w:val="00870AD5"/>
    <w:rsid w:val="00871090"/>
    <w:rsid w:val="008752CE"/>
    <w:rsid w:val="0087586A"/>
    <w:rsid w:val="00876A4E"/>
    <w:rsid w:val="008770FE"/>
    <w:rsid w:val="00880F3F"/>
    <w:rsid w:val="008820C9"/>
    <w:rsid w:val="0088230E"/>
    <w:rsid w:val="00882787"/>
    <w:rsid w:val="00883B0A"/>
    <w:rsid w:val="00886569"/>
    <w:rsid w:val="00890993"/>
    <w:rsid w:val="00890F85"/>
    <w:rsid w:val="0089233C"/>
    <w:rsid w:val="00894E6D"/>
    <w:rsid w:val="0089533F"/>
    <w:rsid w:val="00895F87"/>
    <w:rsid w:val="008976EF"/>
    <w:rsid w:val="008A0224"/>
    <w:rsid w:val="008A0D37"/>
    <w:rsid w:val="008A17B3"/>
    <w:rsid w:val="008A1E5A"/>
    <w:rsid w:val="008A209C"/>
    <w:rsid w:val="008A35BE"/>
    <w:rsid w:val="008A6501"/>
    <w:rsid w:val="008A7432"/>
    <w:rsid w:val="008B030B"/>
    <w:rsid w:val="008B3991"/>
    <w:rsid w:val="008B47A1"/>
    <w:rsid w:val="008B4C83"/>
    <w:rsid w:val="008B4FDF"/>
    <w:rsid w:val="008B51D9"/>
    <w:rsid w:val="008B5C23"/>
    <w:rsid w:val="008B5DCA"/>
    <w:rsid w:val="008C6B1D"/>
    <w:rsid w:val="008C6D19"/>
    <w:rsid w:val="008C790B"/>
    <w:rsid w:val="008C7EBB"/>
    <w:rsid w:val="008D010B"/>
    <w:rsid w:val="008D243A"/>
    <w:rsid w:val="008D2547"/>
    <w:rsid w:val="008D3533"/>
    <w:rsid w:val="008D41D3"/>
    <w:rsid w:val="008D5562"/>
    <w:rsid w:val="008D6286"/>
    <w:rsid w:val="008E0F3C"/>
    <w:rsid w:val="008E11FD"/>
    <w:rsid w:val="008E1234"/>
    <w:rsid w:val="008E2A59"/>
    <w:rsid w:val="008E2D7D"/>
    <w:rsid w:val="008E2DC2"/>
    <w:rsid w:val="008E41B2"/>
    <w:rsid w:val="008E47FE"/>
    <w:rsid w:val="008E4CB9"/>
    <w:rsid w:val="008E6A96"/>
    <w:rsid w:val="008E742B"/>
    <w:rsid w:val="008E761D"/>
    <w:rsid w:val="008F0709"/>
    <w:rsid w:val="008F3A7A"/>
    <w:rsid w:val="008F5081"/>
    <w:rsid w:val="008F7419"/>
    <w:rsid w:val="00900B22"/>
    <w:rsid w:val="0090169F"/>
    <w:rsid w:val="00902388"/>
    <w:rsid w:val="00905D59"/>
    <w:rsid w:val="009063D2"/>
    <w:rsid w:val="00907AA0"/>
    <w:rsid w:val="00913DF5"/>
    <w:rsid w:val="009160B7"/>
    <w:rsid w:val="00916560"/>
    <w:rsid w:val="00916FF3"/>
    <w:rsid w:val="00922948"/>
    <w:rsid w:val="00922EA3"/>
    <w:rsid w:val="00932590"/>
    <w:rsid w:val="00933550"/>
    <w:rsid w:val="00933637"/>
    <w:rsid w:val="00933800"/>
    <w:rsid w:val="00936735"/>
    <w:rsid w:val="00936D9A"/>
    <w:rsid w:val="009412FE"/>
    <w:rsid w:val="009416FB"/>
    <w:rsid w:val="00941722"/>
    <w:rsid w:val="00942904"/>
    <w:rsid w:val="00944943"/>
    <w:rsid w:val="0094596B"/>
    <w:rsid w:val="00946405"/>
    <w:rsid w:val="0094719F"/>
    <w:rsid w:val="009471DA"/>
    <w:rsid w:val="0094736E"/>
    <w:rsid w:val="00947873"/>
    <w:rsid w:val="009501C5"/>
    <w:rsid w:val="00952067"/>
    <w:rsid w:val="009523ED"/>
    <w:rsid w:val="009562A2"/>
    <w:rsid w:val="00957781"/>
    <w:rsid w:val="009602A7"/>
    <w:rsid w:val="00962DAC"/>
    <w:rsid w:val="009637C2"/>
    <w:rsid w:val="00964606"/>
    <w:rsid w:val="00965C7D"/>
    <w:rsid w:val="00967850"/>
    <w:rsid w:val="0097203B"/>
    <w:rsid w:val="00973881"/>
    <w:rsid w:val="00975195"/>
    <w:rsid w:val="00976665"/>
    <w:rsid w:val="00977989"/>
    <w:rsid w:val="009822C8"/>
    <w:rsid w:val="009824CC"/>
    <w:rsid w:val="00983F79"/>
    <w:rsid w:val="00986AB2"/>
    <w:rsid w:val="00986D3F"/>
    <w:rsid w:val="00987139"/>
    <w:rsid w:val="009879F8"/>
    <w:rsid w:val="00987AED"/>
    <w:rsid w:val="00987C79"/>
    <w:rsid w:val="0099020F"/>
    <w:rsid w:val="00990338"/>
    <w:rsid w:val="00992135"/>
    <w:rsid w:val="009924C0"/>
    <w:rsid w:val="00992730"/>
    <w:rsid w:val="009930C1"/>
    <w:rsid w:val="00993BCE"/>
    <w:rsid w:val="009957C9"/>
    <w:rsid w:val="009A02D5"/>
    <w:rsid w:val="009A1C7A"/>
    <w:rsid w:val="009A1F55"/>
    <w:rsid w:val="009A248D"/>
    <w:rsid w:val="009A43D3"/>
    <w:rsid w:val="009A52A3"/>
    <w:rsid w:val="009A5589"/>
    <w:rsid w:val="009A624C"/>
    <w:rsid w:val="009A6FBE"/>
    <w:rsid w:val="009B5D27"/>
    <w:rsid w:val="009B63FA"/>
    <w:rsid w:val="009B733E"/>
    <w:rsid w:val="009C2FD6"/>
    <w:rsid w:val="009C30BE"/>
    <w:rsid w:val="009C65A1"/>
    <w:rsid w:val="009D099C"/>
    <w:rsid w:val="009D105E"/>
    <w:rsid w:val="009D1DE4"/>
    <w:rsid w:val="009D3CAE"/>
    <w:rsid w:val="009D5485"/>
    <w:rsid w:val="009D5B6E"/>
    <w:rsid w:val="009D6497"/>
    <w:rsid w:val="009D66D8"/>
    <w:rsid w:val="009E0721"/>
    <w:rsid w:val="009E1710"/>
    <w:rsid w:val="009E2D82"/>
    <w:rsid w:val="009E6C75"/>
    <w:rsid w:val="009F1101"/>
    <w:rsid w:val="009F3786"/>
    <w:rsid w:val="009F6334"/>
    <w:rsid w:val="009F665C"/>
    <w:rsid w:val="00A01526"/>
    <w:rsid w:val="00A05A9B"/>
    <w:rsid w:val="00A064FC"/>
    <w:rsid w:val="00A0740C"/>
    <w:rsid w:val="00A07BC9"/>
    <w:rsid w:val="00A145D4"/>
    <w:rsid w:val="00A14C5A"/>
    <w:rsid w:val="00A16C81"/>
    <w:rsid w:val="00A17A40"/>
    <w:rsid w:val="00A17FF2"/>
    <w:rsid w:val="00A2484E"/>
    <w:rsid w:val="00A258BC"/>
    <w:rsid w:val="00A2620F"/>
    <w:rsid w:val="00A30231"/>
    <w:rsid w:val="00A311E5"/>
    <w:rsid w:val="00A32FA6"/>
    <w:rsid w:val="00A3694A"/>
    <w:rsid w:val="00A404BA"/>
    <w:rsid w:val="00A4251F"/>
    <w:rsid w:val="00A43DBC"/>
    <w:rsid w:val="00A4640E"/>
    <w:rsid w:val="00A47860"/>
    <w:rsid w:val="00A50936"/>
    <w:rsid w:val="00A51DAA"/>
    <w:rsid w:val="00A52662"/>
    <w:rsid w:val="00A538CF"/>
    <w:rsid w:val="00A53C7D"/>
    <w:rsid w:val="00A552CA"/>
    <w:rsid w:val="00A56EA1"/>
    <w:rsid w:val="00A60AE6"/>
    <w:rsid w:val="00A64A18"/>
    <w:rsid w:val="00A65D51"/>
    <w:rsid w:val="00A667A0"/>
    <w:rsid w:val="00A67212"/>
    <w:rsid w:val="00A7071C"/>
    <w:rsid w:val="00A71980"/>
    <w:rsid w:val="00A71A64"/>
    <w:rsid w:val="00A72F7A"/>
    <w:rsid w:val="00A7408F"/>
    <w:rsid w:val="00A743C5"/>
    <w:rsid w:val="00A747F8"/>
    <w:rsid w:val="00A750D4"/>
    <w:rsid w:val="00A76AD9"/>
    <w:rsid w:val="00A772C3"/>
    <w:rsid w:val="00A773B2"/>
    <w:rsid w:val="00A80931"/>
    <w:rsid w:val="00A82169"/>
    <w:rsid w:val="00A82AD7"/>
    <w:rsid w:val="00A82B2E"/>
    <w:rsid w:val="00A834B4"/>
    <w:rsid w:val="00A83E16"/>
    <w:rsid w:val="00A84FB1"/>
    <w:rsid w:val="00A8500B"/>
    <w:rsid w:val="00A85E73"/>
    <w:rsid w:val="00A87847"/>
    <w:rsid w:val="00A87BFD"/>
    <w:rsid w:val="00A87DA9"/>
    <w:rsid w:val="00A90222"/>
    <w:rsid w:val="00A90533"/>
    <w:rsid w:val="00A90815"/>
    <w:rsid w:val="00A90A70"/>
    <w:rsid w:val="00A923F1"/>
    <w:rsid w:val="00A93753"/>
    <w:rsid w:val="00A95F7D"/>
    <w:rsid w:val="00A9702F"/>
    <w:rsid w:val="00A9708C"/>
    <w:rsid w:val="00AA06CC"/>
    <w:rsid w:val="00AA0BF6"/>
    <w:rsid w:val="00AA1499"/>
    <w:rsid w:val="00AA1B5F"/>
    <w:rsid w:val="00AA31A7"/>
    <w:rsid w:val="00AA3355"/>
    <w:rsid w:val="00AA33ED"/>
    <w:rsid w:val="00AA3CB0"/>
    <w:rsid w:val="00AA418B"/>
    <w:rsid w:val="00AA4E57"/>
    <w:rsid w:val="00AA5161"/>
    <w:rsid w:val="00AA56EB"/>
    <w:rsid w:val="00AA73DC"/>
    <w:rsid w:val="00AB113F"/>
    <w:rsid w:val="00AB1CE2"/>
    <w:rsid w:val="00AB3626"/>
    <w:rsid w:val="00AB4FC7"/>
    <w:rsid w:val="00AB5EA6"/>
    <w:rsid w:val="00AB61FD"/>
    <w:rsid w:val="00AB7687"/>
    <w:rsid w:val="00AC0567"/>
    <w:rsid w:val="00AC0F5C"/>
    <w:rsid w:val="00AC1F93"/>
    <w:rsid w:val="00AC2041"/>
    <w:rsid w:val="00AC6535"/>
    <w:rsid w:val="00AC7994"/>
    <w:rsid w:val="00AD2CED"/>
    <w:rsid w:val="00AD3567"/>
    <w:rsid w:val="00AD5FFE"/>
    <w:rsid w:val="00AD7554"/>
    <w:rsid w:val="00AE0047"/>
    <w:rsid w:val="00AE2629"/>
    <w:rsid w:val="00AE616E"/>
    <w:rsid w:val="00AF3294"/>
    <w:rsid w:val="00AF364B"/>
    <w:rsid w:val="00AF5AE9"/>
    <w:rsid w:val="00B00446"/>
    <w:rsid w:val="00B013AD"/>
    <w:rsid w:val="00B03AF1"/>
    <w:rsid w:val="00B03CBA"/>
    <w:rsid w:val="00B0504E"/>
    <w:rsid w:val="00B055F0"/>
    <w:rsid w:val="00B06DFE"/>
    <w:rsid w:val="00B1113A"/>
    <w:rsid w:val="00B12275"/>
    <w:rsid w:val="00B136C6"/>
    <w:rsid w:val="00B151C4"/>
    <w:rsid w:val="00B15B48"/>
    <w:rsid w:val="00B20CBB"/>
    <w:rsid w:val="00B22483"/>
    <w:rsid w:val="00B23D01"/>
    <w:rsid w:val="00B246FD"/>
    <w:rsid w:val="00B25E9C"/>
    <w:rsid w:val="00B27894"/>
    <w:rsid w:val="00B30B8F"/>
    <w:rsid w:val="00B31129"/>
    <w:rsid w:val="00B315CE"/>
    <w:rsid w:val="00B32F8A"/>
    <w:rsid w:val="00B332B4"/>
    <w:rsid w:val="00B33976"/>
    <w:rsid w:val="00B3427F"/>
    <w:rsid w:val="00B34318"/>
    <w:rsid w:val="00B3584F"/>
    <w:rsid w:val="00B36F24"/>
    <w:rsid w:val="00B370DC"/>
    <w:rsid w:val="00B3735D"/>
    <w:rsid w:val="00B37553"/>
    <w:rsid w:val="00B40A62"/>
    <w:rsid w:val="00B41305"/>
    <w:rsid w:val="00B41C0E"/>
    <w:rsid w:val="00B41EC2"/>
    <w:rsid w:val="00B461A5"/>
    <w:rsid w:val="00B46882"/>
    <w:rsid w:val="00B50AAB"/>
    <w:rsid w:val="00B5196D"/>
    <w:rsid w:val="00B51B54"/>
    <w:rsid w:val="00B528DA"/>
    <w:rsid w:val="00B53B83"/>
    <w:rsid w:val="00B53C7A"/>
    <w:rsid w:val="00B57D4F"/>
    <w:rsid w:val="00B600E0"/>
    <w:rsid w:val="00B6462A"/>
    <w:rsid w:val="00B66B0B"/>
    <w:rsid w:val="00B720EF"/>
    <w:rsid w:val="00B743FD"/>
    <w:rsid w:val="00B74A0F"/>
    <w:rsid w:val="00B7535C"/>
    <w:rsid w:val="00B75755"/>
    <w:rsid w:val="00B758A3"/>
    <w:rsid w:val="00B75F35"/>
    <w:rsid w:val="00B769A6"/>
    <w:rsid w:val="00B8151A"/>
    <w:rsid w:val="00B81763"/>
    <w:rsid w:val="00B8290C"/>
    <w:rsid w:val="00B83546"/>
    <w:rsid w:val="00B85BA5"/>
    <w:rsid w:val="00B87B1A"/>
    <w:rsid w:val="00B9057F"/>
    <w:rsid w:val="00B90B1B"/>
    <w:rsid w:val="00B91271"/>
    <w:rsid w:val="00B918B4"/>
    <w:rsid w:val="00B91FC6"/>
    <w:rsid w:val="00B937D5"/>
    <w:rsid w:val="00B93A1F"/>
    <w:rsid w:val="00B93D88"/>
    <w:rsid w:val="00B946ED"/>
    <w:rsid w:val="00B94E91"/>
    <w:rsid w:val="00B9590D"/>
    <w:rsid w:val="00B9793F"/>
    <w:rsid w:val="00BA0499"/>
    <w:rsid w:val="00BA3A1F"/>
    <w:rsid w:val="00BA3A87"/>
    <w:rsid w:val="00BA5B66"/>
    <w:rsid w:val="00BB0448"/>
    <w:rsid w:val="00BB1583"/>
    <w:rsid w:val="00BB1C5F"/>
    <w:rsid w:val="00BB2AF4"/>
    <w:rsid w:val="00BB4D92"/>
    <w:rsid w:val="00BB5D14"/>
    <w:rsid w:val="00BB699A"/>
    <w:rsid w:val="00BB77AA"/>
    <w:rsid w:val="00BB7A29"/>
    <w:rsid w:val="00BC2278"/>
    <w:rsid w:val="00BC2FBF"/>
    <w:rsid w:val="00BC61DD"/>
    <w:rsid w:val="00BC6BB2"/>
    <w:rsid w:val="00BC79C3"/>
    <w:rsid w:val="00BD03FE"/>
    <w:rsid w:val="00BD0AC6"/>
    <w:rsid w:val="00BD279E"/>
    <w:rsid w:val="00BD2B2C"/>
    <w:rsid w:val="00BD3EB3"/>
    <w:rsid w:val="00BD4458"/>
    <w:rsid w:val="00BD4FBC"/>
    <w:rsid w:val="00BD5CB3"/>
    <w:rsid w:val="00BD7262"/>
    <w:rsid w:val="00BE200F"/>
    <w:rsid w:val="00BE2462"/>
    <w:rsid w:val="00BE2ACF"/>
    <w:rsid w:val="00BE306B"/>
    <w:rsid w:val="00BE5880"/>
    <w:rsid w:val="00BE6F90"/>
    <w:rsid w:val="00BE747C"/>
    <w:rsid w:val="00BF11E6"/>
    <w:rsid w:val="00BF1F61"/>
    <w:rsid w:val="00BF3762"/>
    <w:rsid w:val="00BF486F"/>
    <w:rsid w:val="00BF5F0D"/>
    <w:rsid w:val="00C00EFB"/>
    <w:rsid w:val="00C0249A"/>
    <w:rsid w:val="00C02AAA"/>
    <w:rsid w:val="00C05472"/>
    <w:rsid w:val="00C060FE"/>
    <w:rsid w:val="00C06C7A"/>
    <w:rsid w:val="00C1477C"/>
    <w:rsid w:val="00C15060"/>
    <w:rsid w:val="00C15476"/>
    <w:rsid w:val="00C20024"/>
    <w:rsid w:val="00C236CC"/>
    <w:rsid w:val="00C24145"/>
    <w:rsid w:val="00C263D2"/>
    <w:rsid w:val="00C272BE"/>
    <w:rsid w:val="00C27331"/>
    <w:rsid w:val="00C3300D"/>
    <w:rsid w:val="00C36A0C"/>
    <w:rsid w:val="00C3770E"/>
    <w:rsid w:val="00C37C51"/>
    <w:rsid w:val="00C401DC"/>
    <w:rsid w:val="00C40EF4"/>
    <w:rsid w:val="00C4150B"/>
    <w:rsid w:val="00C41935"/>
    <w:rsid w:val="00C4442B"/>
    <w:rsid w:val="00C44F9B"/>
    <w:rsid w:val="00C45720"/>
    <w:rsid w:val="00C46459"/>
    <w:rsid w:val="00C46C0A"/>
    <w:rsid w:val="00C476E9"/>
    <w:rsid w:val="00C501AF"/>
    <w:rsid w:val="00C509BB"/>
    <w:rsid w:val="00C50E5E"/>
    <w:rsid w:val="00C525D4"/>
    <w:rsid w:val="00C56C55"/>
    <w:rsid w:val="00C5738A"/>
    <w:rsid w:val="00C574D0"/>
    <w:rsid w:val="00C60C0E"/>
    <w:rsid w:val="00C64A1D"/>
    <w:rsid w:val="00C653B7"/>
    <w:rsid w:val="00C65D5F"/>
    <w:rsid w:val="00C74EAF"/>
    <w:rsid w:val="00C76F5C"/>
    <w:rsid w:val="00C80CB3"/>
    <w:rsid w:val="00C80D17"/>
    <w:rsid w:val="00C827B8"/>
    <w:rsid w:val="00C86C6A"/>
    <w:rsid w:val="00C86D67"/>
    <w:rsid w:val="00C87253"/>
    <w:rsid w:val="00C93B5E"/>
    <w:rsid w:val="00C97BA2"/>
    <w:rsid w:val="00CA0803"/>
    <w:rsid w:val="00CA374D"/>
    <w:rsid w:val="00CA59AE"/>
    <w:rsid w:val="00CA63F1"/>
    <w:rsid w:val="00CA79C3"/>
    <w:rsid w:val="00CB0E5F"/>
    <w:rsid w:val="00CB2072"/>
    <w:rsid w:val="00CB3E47"/>
    <w:rsid w:val="00CB48C4"/>
    <w:rsid w:val="00CB65FA"/>
    <w:rsid w:val="00CC0265"/>
    <w:rsid w:val="00CC21A5"/>
    <w:rsid w:val="00CC235B"/>
    <w:rsid w:val="00CC25F6"/>
    <w:rsid w:val="00CC27DD"/>
    <w:rsid w:val="00CC3A87"/>
    <w:rsid w:val="00CC5710"/>
    <w:rsid w:val="00CC5954"/>
    <w:rsid w:val="00CC677C"/>
    <w:rsid w:val="00CD1038"/>
    <w:rsid w:val="00CD11EE"/>
    <w:rsid w:val="00CD130A"/>
    <w:rsid w:val="00CD2B30"/>
    <w:rsid w:val="00CD6DD8"/>
    <w:rsid w:val="00CE01C3"/>
    <w:rsid w:val="00CE0B62"/>
    <w:rsid w:val="00CE0D91"/>
    <w:rsid w:val="00CE2A99"/>
    <w:rsid w:val="00CE319C"/>
    <w:rsid w:val="00CE6DB6"/>
    <w:rsid w:val="00CE785C"/>
    <w:rsid w:val="00CE7868"/>
    <w:rsid w:val="00CE79AE"/>
    <w:rsid w:val="00CF0F3E"/>
    <w:rsid w:val="00CF19F6"/>
    <w:rsid w:val="00CF345F"/>
    <w:rsid w:val="00CF3E31"/>
    <w:rsid w:val="00CF7B23"/>
    <w:rsid w:val="00D05A71"/>
    <w:rsid w:val="00D05C80"/>
    <w:rsid w:val="00D10746"/>
    <w:rsid w:val="00D10F3E"/>
    <w:rsid w:val="00D13D7B"/>
    <w:rsid w:val="00D13DC5"/>
    <w:rsid w:val="00D17CA1"/>
    <w:rsid w:val="00D17FA8"/>
    <w:rsid w:val="00D20398"/>
    <w:rsid w:val="00D21017"/>
    <w:rsid w:val="00D22947"/>
    <w:rsid w:val="00D22CFD"/>
    <w:rsid w:val="00D23B80"/>
    <w:rsid w:val="00D24240"/>
    <w:rsid w:val="00D26440"/>
    <w:rsid w:val="00D30803"/>
    <w:rsid w:val="00D327B9"/>
    <w:rsid w:val="00D33301"/>
    <w:rsid w:val="00D342D8"/>
    <w:rsid w:val="00D36940"/>
    <w:rsid w:val="00D36A1A"/>
    <w:rsid w:val="00D37F42"/>
    <w:rsid w:val="00D40A28"/>
    <w:rsid w:val="00D41D2E"/>
    <w:rsid w:val="00D4389E"/>
    <w:rsid w:val="00D447B2"/>
    <w:rsid w:val="00D4586B"/>
    <w:rsid w:val="00D50ADA"/>
    <w:rsid w:val="00D55125"/>
    <w:rsid w:val="00D56644"/>
    <w:rsid w:val="00D57738"/>
    <w:rsid w:val="00D57F84"/>
    <w:rsid w:val="00D600F1"/>
    <w:rsid w:val="00D605A3"/>
    <w:rsid w:val="00D6308A"/>
    <w:rsid w:val="00D64A86"/>
    <w:rsid w:val="00D65529"/>
    <w:rsid w:val="00D65CAD"/>
    <w:rsid w:val="00D663FB"/>
    <w:rsid w:val="00D667CE"/>
    <w:rsid w:val="00D66CE8"/>
    <w:rsid w:val="00D674A2"/>
    <w:rsid w:val="00D71575"/>
    <w:rsid w:val="00D7217A"/>
    <w:rsid w:val="00D721E3"/>
    <w:rsid w:val="00D738AC"/>
    <w:rsid w:val="00D75B35"/>
    <w:rsid w:val="00D76B47"/>
    <w:rsid w:val="00D8012B"/>
    <w:rsid w:val="00D8174F"/>
    <w:rsid w:val="00D830D8"/>
    <w:rsid w:val="00D83325"/>
    <w:rsid w:val="00D837B4"/>
    <w:rsid w:val="00D84358"/>
    <w:rsid w:val="00D847AA"/>
    <w:rsid w:val="00D87926"/>
    <w:rsid w:val="00D90B54"/>
    <w:rsid w:val="00DA1B86"/>
    <w:rsid w:val="00DA5E78"/>
    <w:rsid w:val="00DA6038"/>
    <w:rsid w:val="00DA6C83"/>
    <w:rsid w:val="00DA7A43"/>
    <w:rsid w:val="00DB123D"/>
    <w:rsid w:val="00DB233C"/>
    <w:rsid w:val="00DB2340"/>
    <w:rsid w:val="00DB3A10"/>
    <w:rsid w:val="00DB4A6E"/>
    <w:rsid w:val="00DB5198"/>
    <w:rsid w:val="00DB5803"/>
    <w:rsid w:val="00DB6636"/>
    <w:rsid w:val="00DB79DD"/>
    <w:rsid w:val="00DC0B5D"/>
    <w:rsid w:val="00DC15FB"/>
    <w:rsid w:val="00DC41AB"/>
    <w:rsid w:val="00DC4EF0"/>
    <w:rsid w:val="00DC6FDF"/>
    <w:rsid w:val="00DC7C76"/>
    <w:rsid w:val="00DD0AA4"/>
    <w:rsid w:val="00DD1EBA"/>
    <w:rsid w:val="00DD4231"/>
    <w:rsid w:val="00DD4C1F"/>
    <w:rsid w:val="00DD5550"/>
    <w:rsid w:val="00DE45FB"/>
    <w:rsid w:val="00DE590C"/>
    <w:rsid w:val="00DE642C"/>
    <w:rsid w:val="00DE7108"/>
    <w:rsid w:val="00DE7464"/>
    <w:rsid w:val="00DF0482"/>
    <w:rsid w:val="00DF05DF"/>
    <w:rsid w:val="00DF152F"/>
    <w:rsid w:val="00DF1BA4"/>
    <w:rsid w:val="00DF2D74"/>
    <w:rsid w:val="00DF305F"/>
    <w:rsid w:val="00DF5294"/>
    <w:rsid w:val="00DF5746"/>
    <w:rsid w:val="00DF6E2D"/>
    <w:rsid w:val="00DF721F"/>
    <w:rsid w:val="00E0124A"/>
    <w:rsid w:val="00E023FB"/>
    <w:rsid w:val="00E0254C"/>
    <w:rsid w:val="00E030B9"/>
    <w:rsid w:val="00E05A83"/>
    <w:rsid w:val="00E125BA"/>
    <w:rsid w:val="00E129B6"/>
    <w:rsid w:val="00E12EDA"/>
    <w:rsid w:val="00E13CBC"/>
    <w:rsid w:val="00E14666"/>
    <w:rsid w:val="00E14E85"/>
    <w:rsid w:val="00E16236"/>
    <w:rsid w:val="00E1654B"/>
    <w:rsid w:val="00E17676"/>
    <w:rsid w:val="00E17B72"/>
    <w:rsid w:val="00E221FF"/>
    <w:rsid w:val="00E23440"/>
    <w:rsid w:val="00E24199"/>
    <w:rsid w:val="00E258E8"/>
    <w:rsid w:val="00E25FFB"/>
    <w:rsid w:val="00E261E1"/>
    <w:rsid w:val="00E26744"/>
    <w:rsid w:val="00E3067C"/>
    <w:rsid w:val="00E326EE"/>
    <w:rsid w:val="00E32B2F"/>
    <w:rsid w:val="00E34B2D"/>
    <w:rsid w:val="00E34ECE"/>
    <w:rsid w:val="00E37E05"/>
    <w:rsid w:val="00E409DB"/>
    <w:rsid w:val="00E41EDC"/>
    <w:rsid w:val="00E41F30"/>
    <w:rsid w:val="00E44423"/>
    <w:rsid w:val="00E45A56"/>
    <w:rsid w:val="00E45EB6"/>
    <w:rsid w:val="00E46488"/>
    <w:rsid w:val="00E47328"/>
    <w:rsid w:val="00E50ABE"/>
    <w:rsid w:val="00E5147B"/>
    <w:rsid w:val="00E518D1"/>
    <w:rsid w:val="00E5238E"/>
    <w:rsid w:val="00E52612"/>
    <w:rsid w:val="00E54992"/>
    <w:rsid w:val="00E55D53"/>
    <w:rsid w:val="00E577CD"/>
    <w:rsid w:val="00E579A6"/>
    <w:rsid w:val="00E57FCB"/>
    <w:rsid w:val="00E60334"/>
    <w:rsid w:val="00E613E6"/>
    <w:rsid w:val="00E660D5"/>
    <w:rsid w:val="00E6617F"/>
    <w:rsid w:val="00E666A7"/>
    <w:rsid w:val="00E66D49"/>
    <w:rsid w:val="00E6759F"/>
    <w:rsid w:val="00E67EF5"/>
    <w:rsid w:val="00E70CF9"/>
    <w:rsid w:val="00E710CE"/>
    <w:rsid w:val="00E72598"/>
    <w:rsid w:val="00E72AD8"/>
    <w:rsid w:val="00E736CD"/>
    <w:rsid w:val="00E73D1C"/>
    <w:rsid w:val="00E73DCF"/>
    <w:rsid w:val="00E74EE5"/>
    <w:rsid w:val="00E75079"/>
    <w:rsid w:val="00E75095"/>
    <w:rsid w:val="00E761A1"/>
    <w:rsid w:val="00E76F13"/>
    <w:rsid w:val="00E819B8"/>
    <w:rsid w:val="00E830AF"/>
    <w:rsid w:val="00E84160"/>
    <w:rsid w:val="00E8460C"/>
    <w:rsid w:val="00E84E02"/>
    <w:rsid w:val="00E8769B"/>
    <w:rsid w:val="00E91A1A"/>
    <w:rsid w:val="00E91E3D"/>
    <w:rsid w:val="00E92B8A"/>
    <w:rsid w:val="00E950FF"/>
    <w:rsid w:val="00EA1026"/>
    <w:rsid w:val="00EA1599"/>
    <w:rsid w:val="00EA19C9"/>
    <w:rsid w:val="00EA246D"/>
    <w:rsid w:val="00EA57C2"/>
    <w:rsid w:val="00EA59B5"/>
    <w:rsid w:val="00EA762B"/>
    <w:rsid w:val="00EB2AC9"/>
    <w:rsid w:val="00EB37D0"/>
    <w:rsid w:val="00EB38F5"/>
    <w:rsid w:val="00EB65A5"/>
    <w:rsid w:val="00EB6720"/>
    <w:rsid w:val="00EC259D"/>
    <w:rsid w:val="00EC3930"/>
    <w:rsid w:val="00EC4B0F"/>
    <w:rsid w:val="00EC551C"/>
    <w:rsid w:val="00EC6439"/>
    <w:rsid w:val="00EC7869"/>
    <w:rsid w:val="00EC79FA"/>
    <w:rsid w:val="00EC7D83"/>
    <w:rsid w:val="00ED0B4F"/>
    <w:rsid w:val="00ED0D21"/>
    <w:rsid w:val="00ED1BAE"/>
    <w:rsid w:val="00ED27D4"/>
    <w:rsid w:val="00ED380A"/>
    <w:rsid w:val="00ED38B0"/>
    <w:rsid w:val="00ED6437"/>
    <w:rsid w:val="00ED73B4"/>
    <w:rsid w:val="00EE1518"/>
    <w:rsid w:val="00EE1852"/>
    <w:rsid w:val="00EE402A"/>
    <w:rsid w:val="00EE5312"/>
    <w:rsid w:val="00EE5825"/>
    <w:rsid w:val="00EF108C"/>
    <w:rsid w:val="00EF1A0C"/>
    <w:rsid w:val="00EF1ECD"/>
    <w:rsid w:val="00EF23A1"/>
    <w:rsid w:val="00EF38F7"/>
    <w:rsid w:val="00EF4BBB"/>
    <w:rsid w:val="00EF5BCF"/>
    <w:rsid w:val="00F0068F"/>
    <w:rsid w:val="00F0192D"/>
    <w:rsid w:val="00F02E83"/>
    <w:rsid w:val="00F0397C"/>
    <w:rsid w:val="00F1034D"/>
    <w:rsid w:val="00F1215A"/>
    <w:rsid w:val="00F12EE6"/>
    <w:rsid w:val="00F13060"/>
    <w:rsid w:val="00F21063"/>
    <w:rsid w:val="00F21E6C"/>
    <w:rsid w:val="00F22E0D"/>
    <w:rsid w:val="00F241D0"/>
    <w:rsid w:val="00F269F5"/>
    <w:rsid w:val="00F3356F"/>
    <w:rsid w:val="00F3732A"/>
    <w:rsid w:val="00F409FC"/>
    <w:rsid w:val="00F40BB8"/>
    <w:rsid w:val="00F434A4"/>
    <w:rsid w:val="00F43A3C"/>
    <w:rsid w:val="00F471AC"/>
    <w:rsid w:val="00F4767F"/>
    <w:rsid w:val="00F47EAC"/>
    <w:rsid w:val="00F50580"/>
    <w:rsid w:val="00F52E62"/>
    <w:rsid w:val="00F53D7B"/>
    <w:rsid w:val="00F53ED8"/>
    <w:rsid w:val="00F54964"/>
    <w:rsid w:val="00F55327"/>
    <w:rsid w:val="00F553F8"/>
    <w:rsid w:val="00F56508"/>
    <w:rsid w:val="00F566EA"/>
    <w:rsid w:val="00F56E2C"/>
    <w:rsid w:val="00F57752"/>
    <w:rsid w:val="00F60E61"/>
    <w:rsid w:val="00F617CF"/>
    <w:rsid w:val="00F64E26"/>
    <w:rsid w:val="00F67185"/>
    <w:rsid w:val="00F71356"/>
    <w:rsid w:val="00F71E66"/>
    <w:rsid w:val="00F729DC"/>
    <w:rsid w:val="00F735E6"/>
    <w:rsid w:val="00F73A67"/>
    <w:rsid w:val="00F7568E"/>
    <w:rsid w:val="00F8189E"/>
    <w:rsid w:val="00F81D4E"/>
    <w:rsid w:val="00F83490"/>
    <w:rsid w:val="00F844D9"/>
    <w:rsid w:val="00F84BF6"/>
    <w:rsid w:val="00F85C14"/>
    <w:rsid w:val="00F85E22"/>
    <w:rsid w:val="00F86471"/>
    <w:rsid w:val="00F87D9D"/>
    <w:rsid w:val="00F87E48"/>
    <w:rsid w:val="00F9076B"/>
    <w:rsid w:val="00F9254E"/>
    <w:rsid w:val="00F9329A"/>
    <w:rsid w:val="00F93503"/>
    <w:rsid w:val="00F93ECE"/>
    <w:rsid w:val="00F96E1D"/>
    <w:rsid w:val="00F96EC1"/>
    <w:rsid w:val="00FA02DD"/>
    <w:rsid w:val="00FA13D9"/>
    <w:rsid w:val="00FA1B46"/>
    <w:rsid w:val="00FA351F"/>
    <w:rsid w:val="00FA3AA5"/>
    <w:rsid w:val="00FA4C6E"/>
    <w:rsid w:val="00FA7A42"/>
    <w:rsid w:val="00FB1C5C"/>
    <w:rsid w:val="00FB2332"/>
    <w:rsid w:val="00FB2413"/>
    <w:rsid w:val="00FB3121"/>
    <w:rsid w:val="00FB3A32"/>
    <w:rsid w:val="00FC18F2"/>
    <w:rsid w:val="00FC6BEC"/>
    <w:rsid w:val="00FD091F"/>
    <w:rsid w:val="00FD0EC8"/>
    <w:rsid w:val="00FD2037"/>
    <w:rsid w:val="00FD449E"/>
    <w:rsid w:val="00FD7F16"/>
    <w:rsid w:val="00FE1447"/>
    <w:rsid w:val="00FE2AD4"/>
    <w:rsid w:val="00FE2B39"/>
    <w:rsid w:val="00FE36E7"/>
    <w:rsid w:val="00FE4828"/>
    <w:rsid w:val="00FF1633"/>
    <w:rsid w:val="00FF49D2"/>
    <w:rsid w:val="00FF5BE1"/>
    <w:rsid w:val="00FF7887"/>
    <w:rsid w:val="00FF7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7F9FD6"/>
  <w15:docId w15:val="{F651C3CD-59D4-4917-A2AC-8548BBB5D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7F42"/>
    <w:pPr>
      <w:spacing w:after="0"/>
      <w:jc w:val="both"/>
    </w:pPr>
    <w:rPr>
      <w:rFonts w:ascii="Times New Roman" w:hAnsi="Times New Roman"/>
      <w:sz w:val="24"/>
    </w:rPr>
  </w:style>
  <w:style w:type="paragraph" w:styleId="Heading1">
    <w:name w:val="heading 1"/>
    <w:basedOn w:val="Normal"/>
    <w:next w:val="Normal"/>
    <w:link w:val="Heading1Char"/>
    <w:uiPriority w:val="9"/>
    <w:qFormat/>
    <w:rsid w:val="00832EDC"/>
    <w:pPr>
      <w:keepNext/>
      <w:keepLines/>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832EDC"/>
    <w:pPr>
      <w:keepNext/>
      <w:keepLines/>
      <w:ind w:left="720"/>
      <w:outlineLvl w:val="1"/>
    </w:pPr>
    <w:rPr>
      <w:rFonts w:eastAsiaTheme="majorEastAsia" w:cstheme="majorBidi"/>
      <w:i/>
      <w:szCs w:val="26"/>
    </w:rPr>
  </w:style>
  <w:style w:type="paragraph" w:styleId="Heading3">
    <w:name w:val="heading 3"/>
    <w:basedOn w:val="Normal"/>
    <w:next w:val="Normal"/>
    <w:link w:val="Heading3Char"/>
    <w:uiPriority w:val="9"/>
    <w:unhideWhenUsed/>
    <w:qFormat/>
    <w:rsid w:val="00200DEA"/>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6E2D"/>
    <w:rPr>
      <w:color w:val="0563C1" w:themeColor="hyperlink"/>
      <w:u w:val="single"/>
    </w:rPr>
  </w:style>
  <w:style w:type="character" w:customStyle="1" w:styleId="UnresolvedMention1">
    <w:name w:val="Unresolved Mention1"/>
    <w:basedOn w:val="DefaultParagraphFont"/>
    <w:uiPriority w:val="99"/>
    <w:semiHidden/>
    <w:unhideWhenUsed/>
    <w:rsid w:val="00DF6E2D"/>
    <w:rPr>
      <w:color w:val="605E5C"/>
      <w:shd w:val="clear" w:color="auto" w:fill="E1DFDD"/>
    </w:rPr>
  </w:style>
  <w:style w:type="paragraph" w:styleId="Header">
    <w:name w:val="header"/>
    <w:basedOn w:val="Normal"/>
    <w:link w:val="HeaderChar"/>
    <w:uiPriority w:val="99"/>
    <w:unhideWhenUsed/>
    <w:rsid w:val="00DF6E2D"/>
    <w:pPr>
      <w:tabs>
        <w:tab w:val="center" w:pos="4680"/>
        <w:tab w:val="right" w:pos="9360"/>
      </w:tabs>
      <w:spacing w:line="240" w:lineRule="auto"/>
    </w:pPr>
  </w:style>
  <w:style w:type="character" w:customStyle="1" w:styleId="HeaderChar">
    <w:name w:val="Header Char"/>
    <w:basedOn w:val="DefaultParagraphFont"/>
    <w:link w:val="Header"/>
    <w:uiPriority w:val="99"/>
    <w:rsid w:val="00DF6E2D"/>
  </w:style>
  <w:style w:type="paragraph" w:styleId="Footer">
    <w:name w:val="footer"/>
    <w:basedOn w:val="Normal"/>
    <w:link w:val="FooterChar"/>
    <w:uiPriority w:val="99"/>
    <w:unhideWhenUsed/>
    <w:rsid w:val="00DF6E2D"/>
    <w:pPr>
      <w:tabs>
        <w:tab w:val="center" w:pos="4680"/>
        <w:tab w:val="right" w:pos="9360"/>
      </w:tabs>
      <w:spacing w:line="240" w:lineRule="auto"/>
    </w:pPr>
  </w:style>
  <w:style w:type="character" w:customStyle="1" w:styleId="FooterChar">
    <w:name w:val="Footer Char"/>
    <w:basedOn w:val="DefaultParagraphFont"/>
    <w:link w:val="Footer"/>
    <w:uiPriority w:val="99"/>
    <w:rsid w:val="00DF6E2D"/>
  </w:style>
  <w:style w:type="paragraph" w:styleId="ListParagraph">
    <w:name w:val="List Paragraph"/>
    <w:basedOn w:val="Normal"/>
    <w:uiPriority w:val="34"/>
    <w:qFormat/>
    <w:rsid w:val="00DF6E2D"/>
    <w:pPr>
      <w:ind w:left="720"/>
      <w:contextualSpacing/>
    </w:pPr>
  </w:style>
  <w:style w:type="character" w:styleId="LineNumber">
    <w:name w:val="line number"/>
    <w:basedOn w:val="DefaultParagraphFont"/>
    <w:uiPriority w:val="99"/>
    <w:semiHidden/>
    <w:unhideWhenUsed/>
    <w:qFormat/>
    <w:rsid w:val="0001615E"/>
    <w:rPr>
      <w:rFonts w:ascii="Times New Roman" w:hAnsi="Times New Roman"/>
    </w:rPr>
  </w:style>
  <w:style w:type="character" w:customStyle="1" w:styleId="Heading1Char">
    <w:name w:val="Heading 1 Char"/>
    <w:basedOn w:val="DefaultParagraphFont"/>
    <w:link w:val="Heading1"/>
    <w:uiPriority w:val="9"/>
    <w:rsid w:val="00832EDC"/>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832EDC"/>
    <w:rPr>
      <w:rFonts w:ascii="Times New Roman" w:eastAsiaTheme="majorEastAsia" w:hAnsi="Times New Roman" w:cstheme="majorBidi"/>
      <w:i/>
      <w:sz w:val="24"/>
      <w:szCs w:val="26"/>
    </w:rPr>
  </w:style>
  <w:style w:type="character" w:styleId="CommentReference">
    <w:name w:val="annotation reference"/>
    <w:basedOn w:val="DefaultParagraphFont"/>
    <w:uiPriority w:val="99"/>
    <w:semiHidden/>
    <w:unhideWhenUsed/>
    <w:qFormat/>
    <w:rsid w:val="00AA31A7"/>
    <w:rPr>
      <w:sz w:val="16"/>
      <w:szCs w:val="16"/>
    </w:rPr>
  </w:style>
  <w:style w:type="paragraph" w:styleId="CommentText">
    <w:name w:val="annotation text"/>
    <w:basedOn w:val="Normal"/>
    <w:link w:val="CommentTextChar"/>
    <w:uiPriority w:val="99"/>
    <w:unhideWhenUsed/>
    <w:qFormat/>
    <w:rsid w:val="00AA31A7"/>
    <w:pPr>
      <w:spacing w:line="240" w:lineRule="auto"/>
    </w:pPr>
    <w:rPr>
      <w:sz w:val="20"/>
      <w:szCs w:val="20"/>
    </w:rPr>
  </w:style>
  <w:style w:type="character" w:customStyle="1" w:styleId="CommentTextChar">
    <w:name w:val="Comment Text Char"/>
    <w:basedOn w:val="DefaultParagraphFont"/>
    <w:link w:val="CommentText"/>
    <w:uiPriority w:val="99"/>
    <w:qFormat/>
    <w:rsid w:val="00AA31A7"/>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A31A7"/>
    <w:rPr>
      <w:b/>
      <w:bCs/>
    </w:rPr>
  </w:style>
  <w:style w:type="character" w:customStyle="1" w:styleId="CommentSubjectChar">
    <w:name w:val="Comment Subject Char"/>
    <w:basedOn w:val="CommentTextChar"/>
    <w:link w:val="CommentSubject"/>
    <w:uiPriority w:val="99"/>
    <w:semiHidden/>
    <w:rsid w:val="00AA31A7"/>
    <w:rPr>
      <w:rFonts w:ascii="Times New Roman" w:hAnsi="Times New Roman"/>
      <w:b/>
      <w:bCs/>
      <w:sz w:val="20"/>
      <w:szCs w:val="20"/>
    </w:rPr>
  </w:style>
  <w:style w:type="paragraph" w:styleId="Caption">
    <w:name w:val="caption"/>
    <w:basedOn w:val="Normal"/>
    <w:next w:val="Normal"/>
    <w:uiPriority w:val="35"/>
    <w:unhideWhenUsed/>
    <w:qFormat/>
    <w:rsid w:val="006E3E52"/>
    <w:pPr>
      <w:suppressAutoHyphens/>
      <w:spacing w:after="200" w:line="240" w:lineRule="auto"/>
      <w:jc w:val="left"/>
    </w:pPr>
    <w:rPr>
      <w:rFonts w:eastAsia="Times New Roman" w:cs="Times New Roman"/>
      <w:i/>
      <w:iCs/>
      <w:color w:val="44546A"/>
      <w:sz w:val="18"/>
      <w:szCs w:val="18"/>
      <w:lang w:val="it-IT" w:eastAsia="it-IT"/>
    </w:rPr>
  </w:style>
  <w:style w:type="character" w:styleId="PlaceholderText">
    <w:name w:val="Placeholder Text"/>
    <w:basedOn w:val="DefaultParagraphFont"/>
    <w:uiPriority w:val="99"/>
    <w:semiHidden/>
    <w:rsid w:val="00CB65FA"/>
    <w:rPr>
      <w:color w:val="808080"/>
    </w:rPr>
  </w:style>
  <w:style w:type="character" w:customStyle="1" w:styleId="Heading3Char">
    <w:name w:val="Heading 3 Char"/>
    <w:basedOn w:val="DefaultParagraphFont"/>
    <w:link w:val="Heading3"/>
    <w:uiPriority w:val="9"/>
    <w:rsid w:val="00200DEA"/>
    <w:rPr>
      <w:rFonts w:asciiTheme="majorHAnsi" w:eastAsiaTheme="majorEastAsia" w:hAnsiTheme="majorHAnsi" w:cstheme="majorBidi"/>
      <w:color w:val="1F3763" w:themeColor="accent1" w:themeShade="7F"/>
      <w:sz w:val="24"/>
      <w:szCs w:val="24"/>
    </w:rPr>
  </w:style>
  <w:style w:type="paragraph" w:styleId="Revision">
    <w:name w:val="Revision"/>
    <w:hidden/>
    <w:uiPriority w:val="99"/>
    <w:semiHidden/>
    <w:rsid w:val="00F85E22"/>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8213E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13EE"/>
    <w:rPr>
      <w:rFonts w:ascii="Segoe UI" w:hAnsi="Segoe UI" w:cs="Segoe UI"/>
      <w:sz w:val="18"/>
      <w:szCs w:val="18"/>
    </w:rPr>
  </w:style>
  <w:style w:type="paragraph" w:styleId="FootnoteText">
    <w:name w:val="footnote text"/>
    <w:basedOn w:val="Normal"/>
    <w:link w:val="FootnoteTextChar"/>
    <w:uiPriority w:val="99"/>
    <w:semiHidden/>
    <w:unhideWhenUsed/>
    <w:rsid w:val="006615CC"/>
    <w:pPr>
      <w:spacing w:line="240" w:lineRule="auto"/>
    </w:pPr>
    <w:rPr>
      <w:sz w:val="20"/>
      <w:szCs w:val="20"/>
    </w:rPr>
  </w:style>
  <w:style w:type="character" w:customStyle="1" w:styleId="FootnoteTextChar">
    <w:name w:val="Footnote Text Char"/>
    <w:basedOn w:val="DefaultParagraphFont"/>
    <w:link w:val="FootnoteText"/>
    <w:uiPriority w:val="99"/>
    <w:semiHidden/>
    <w:rsid w:val="006615CC"/>
    <w:rPr>
      <w:rFonts w:ascii="Times New Roman" w:hAnsi="Times New Roman"/>
      <w:sz w:val="20"/>
      <w:szCs w:val="20"/>
    </w:rPr>
  </w:style>
  <w:style w:type="character" w:styleId="FootnoteReference">
    <w:name w:val="footnote reference"/>
    <w:basedOn w:val="DefaultParagraphFont"/>
    <w:uiPriority w:val="99"/>
    <w:semiHidden/>
    <w:unhideWhenUsed/>
    <w:rsid w:val="006615CC"/>
    <w:rPr>
      <w:vertAlign w:val="superscript"/>
    </w:rPr>
  </w:style>
  <w:style w:type="character" w:customStyle="1" w:styleId="UnresolvedMention2">
    <w:name w:val="Unresolved Mention2"/>
    <w:basedOn w:val="DefaultParagraphFont"/>
    <w:uiPriority w:val="99"/>
    <w:semiHidden/>
    <w:unhideWhenUsed/>
    <w:rsid w:val="00C00EFB"/>
    <w:rPr>
      <w:color w:val="605E5C"/>
      <w:shd w:val="clear" w:color="auto" w:fill="E1DFDD"/>
    </w:rPr>
  </w:style>
  <w:style w:type="character" w:customStyle="1" w:styleId="UnresolvedMention3">
    <w:name w:val="Unresolved Mention3"/>
    <w:basedOn w:val="DefaultParagraphFont"/>
    <w:uiPriority w:val="99"/>
    <w:semiHidden/>
    <w:unhideWhenUsed/>
    <w:rsid w:val="0077097B"/>
    <w:rPr>
      <w:color w:val="605E5C"/>
      <w:shd w:val="clear" w:color="auto" w:fill="E1DFDD"/>
    </w:rPr>
  </w:style>
  <w:style w:type="character" w:customStyle="1" w:styleId="UnresolvedMention4">
    <w:name w:val="Unresolved Mention4"/>
    <w:basedOn w:val="DefaultParagraphFont"/>
    <w:uiPriority w:val="99"/>
    <w:semiHidden/>
    <w:unhideWhenUsed/>
    <w:rsid w:val="000A6F49"/>
    <w:rPr>
      <w:color w:val="605E5C"/>
      <w:shd w:val="clear" w:color="auto" w:fill="E1DFDD"/>
    </w:rPr>
  </w:style>
  <w:style w:type="character" w:customStyle="1" w:styleId="cf01">
    <w:name w:val="cf01"/>
    <w:basedOn w:val="DefaultParagraphFont"/>
    <w:rsid w:val="00C97BA2"/>
    <w:rPr>
      <w:rFonts w:ascii="Segoe UI" w:hAnsi="Segoe UI" w:cs="Segoe UI" w:hint="default"/>
      <w:sz w:val="18"/>
      <w:szCs w:val="18"/>
    </w:rPr>
  </w:style>
  <w:style w:type="paragraph" w:styleId="NormalWeb">
    <w:name w:val="Normal (Web)"/>
    <w:basedOn w:val="Normal"/>
    <w:uiPriority w:val="99"/>
    <w:semiHidden/>
    <w:unhideWhenUsed/>
    <w:rsid w:val="00AB7687"/>
    <w:pPr>
      <w:spacing w:before="100" w:beforeAutospacing="1" w:after="100" w:afterAutospacing="1" w:line="240" w:lineRule="auto"/>
      <w:jc w:val="left"/>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53234">
      <w:bodyDiv w:val="1"/>
      <w:marLeft w:val="0"/>
      <w:marRight w:val="0"/>
      <w:marTop w:val="0"/>
      <w:marBottom w:val="0"/>
      <w:divBdr>
        <w:top w:val="none" w:sz="0" w:space="0" w:color="auto"/>
        <w:left w:val="none" w:sz="0" w:space="0" w:color="auto"/>
        <w:bottom w:val="none" w:sz="0" w:space="0" w:color="auto"/>
        <w:right w:val="none" w:sz="0" w:space="0" w:color="auto"/>
      </w:divBdr>
    </w:div>
    <w:div w:id="54085234">
      <w:bodyDiv w:val="1"/>
      <w:marLeft w:val="0"/>
      <w:marRight w:val="0"/>
      <w:marTop w:val="0"/>
      <w:marBottom w:val="0"/>
      <w:divBdr>
        <w:top w:val="none" w:sz="0" w:space="0" w:color="auto"/>
        <w:left w:val="none" w:sz="0" w:space="0" w:color="auto"/>
        <w:bottom w:val="none" w:sz="0" w:space="0" w:color="auto"/>
        <w:right w:val="none" w:sz="0" w:space="0" w:color="auto"/>
      </w:divBdr>
      <w:divsChild>
        <w:div w:id="1710102146">
          <w:marLeft w:val="0"/>
          <w:marRight w:val="0"/>
          <w:marTop w:val="0"/>
          <w:marBottom w:val="0"/>
          <w:divBdr>
            <w:top w:val="none" w:sz="0" w:space="0" w:color="auto"/>
            <w:left w:val="none" w:sz="0" w:space="0" w:color="auto"/>
            <w:bottom w:val="none" w:sz="0" w:space="0" w:color="auto"/>
            <w:right w:val="none" w:sz="0" w:space="0" w:color="auto"/>
          </w:divBdr>
          <w:divsChild>
            <w:div w:id="993609862">
              <w:marLeft w:val="0"/>
              <w:marRight w:val="0"/>
              <w:marTop w:val="0"/>
              <w:marBottom w:val="180"/>
              <w:divBdr>
                <w:top w:val="none" w:sz="0" w:space="0" w:color="auto"/>
                <w:left w:val="none" w:sz="0" w:space="0" w:color="auto"/>
                <w:bottom w:val="none" w:sz="0" w:space="0" w:color="auto"/>
                <w:right w:val="none" w:sz="0" w:space="0" w:color="auto"/>
              </w:divBdr>
              <w:divsChild>
                <w:div w:id="142087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27272">
      <w:bodyDiv w:val="1"/>
      <w:marLeft w:val="0"/>
      <w:marRight w:val="0"/>
      <w:marTop w:val="0"/>
      <w:marBottom w:val="0"/>
      <w:divBdr>
        <w:top w:val="none" w:sz="0" w:space="0" w:color="auto"/>
        <w:left w:val="none" w:sz="0" w:space="0" w:color="auto"/>
        <w:bottom w:val="none" w:sz="0" w:space="0" w:color="auto"/>
        <w:right w:val="none" w:sz="0" w:space="0" w:color="auto"/>
      </w:divBdr>
    </w:div>
    <w:div w:id="210119623">
      <w:bodyDiv w:val="1"/>
      <w:marLeft w:val="0"/>
      <w:marRight w:val="0"/>
      <w:marTop w:val="0"/>
      <w:marBottom w:val="0"/>
      <w:divBdr>
        <w:top w:val="none" w:sz="0" w:space="0" w:color="auto"/>
        <w:left w:val="none" w:sz="0" w:space="0" w:color="auto"/>
        <w:bottom w:val="none" w:sz="0" w:space="0" w:color="auto"/>
        <w:right w:val="none" w:sz="0" w:space="0" w:color="auto"/>
      </w:divBdr>
    </w:div>
    <w:div w:id="212348927">
      <w:bodyDiv w:val="1"/>
      <w:marLeft w:val="0"/>
      <w:marRight w:val="0"/>
      <w:marTop w:val="0"/>
      <w:marBottom w:val="0"/>
      <w:divBdr>
        <w:top w:val="none" w:sz="0" w:space="0" w:color="auto"/>
        <w:left w:val="none" w:sz="0" w:space="0" w:color="auto"/>
        <w:bottom w:val="none" w:sz="0" w:space="0" w:color="auto"/>
        <w:right w:val="none" w:sz="0" w:space="0" w:color="auto"/>
      </w:divBdr>
    </w:div>
    <w:div w:id="219362654">
      <w:bodyDiv w:val="1"/>
      <w:marLeft w:val="0"/>
      <w:marRight w:val="0"/>
      <w:marTop w:val="0"/>
      <w:marBottom w:val="0"/>
      <w:divBdr>
        <w:top w:val="none" w:sz="0" w:space="0" w:color="auto"/>
        <w:left w:val="none" w:sz="0" w:space="0" w:color="auto"/>
        <w:bottom w:val="none" w:sz="0" w:space="0" w:color="auto"/>
        <w:right w:val="none" w:sz="0" w:space="0" w:color="auto"/>
      </w:divBdr>
    </w:div>
    <w:div w:id="243497531">
      <w:bodyDiv w:val="1"/>
      <w:marLeft w:val="0"/>
      <w:marRight w:val="0"/>
      <w:marTop w:val="0"/>
      <w:marBottom w:val="0"/>
      <w:divBdr>
        <w:top w:val="none" w:sz="0" w:space="0" w:color="auto"/>
        <w:left w:val="none" w:sz="0" w:space="0" w:color="auto"/>
        <w:bottom w:val="none" w:sz="0" w:space="0" w:color="auto"/>
        <w:right w:val="none" w:sz="0" w:space="0" w:color="auto"/>
      </w:divBdr>
    </w:div>
    <w:div w:id="266889985">
      <w:bodyDiv w:val="1"/>
      <w:marLeft w:val="0"/>
      <w:marRight w:val="0"/>
      <w:marTop w:val="0"/>
      <w:marBottom w:val="0"/>
      <w:divBdr>
        <w:top w:val="none" w:sz="0" w:space="0" w:color="auto"/>
        <w:left w:val="none" w:sz="0" w:space="0" w:color="auto"/>
        <w:bottom w:val="none" w:sz="0" w:space="0" w:color="auto"/>
        <w:right w:val="none" w:sz="0" w:space="0" w:color="auto"/>
      </w:divBdr>
    </w:div>
    <w:div w:id="295919806">
      <w:bodyDiv w:val="1"/>
      <w:marLeft w:val="0"/>
      <w:marRight w:val="0"/>
      <w:marTop w:val="0"/>
      <w:marBottom w:val="0"/>
      <w:divBdr>
        <w:top w:val="none" w:sz="0" w:space="0" w:color="auto"/>
        <w:left w:val="none" w:sz="0" w:space="0" w:color="auto"/>
        <w:bottom w:val="none" w:sz="0" w:space="0" w:color="auto"/>
        <w:right w:val="none" w:sz="0" w:space="0" w:color="auto"/>
      </w:divBdr>
    </w:div>
    <w:div w:id="311108541">
      <w:bodyDiv w:val="1"/>
      <w:marLeft w:val="0"/>
      <w:marRight w:val="0"/>
      <w:marTop w:val="0"/>
      <w:marBottom w:val="0"/>
      <w:divBdr>
        <w:top w:val="none" w:sz="0" w:space="0" w:color="auto"/>
        <w:left w:val="none" w:sz="0" w:space="0" w:color="auto"/>
        <w:bottom w:val="none" w:sz="0" w:space="0" w:color="auto"/>
        <w:right w:val="none" w:sz="0" w:space="0" w:color="auto"/>
      </w:divBdr>
    </w:div>
    <w:div w:id="363987685">
      <w:bodyDiv w:val="1"/>
      <w:marLeft w:val="0"/>
      <w:marRight w:val="0"/>
      <w:marTop w:val="0"/>
      <w:marBottom w:val="0"/>
      <w:divBdr>
        <w:top w:val="none" w:sz="0" w:space="0" w:color="auto"/>
        <w:left w:val="none" w:sz="0" w:space="0" w:color="auto"/>
        <w:bottom w:val="none" w:sz="0" w:space="0" w:color="auto"/>
        <w:right w:val="none" w:sz="0" w:space="0" w:color="auto"/>
      </w:divBdr>
    </w:div>
    <w:div w:id="377432150">
      <w:bodyDiv w:val="1"/>
      <w:marLeft w:val="0"/>
      <w:marRight w:val="0"/>
      <w:marTop w:val="0"/>
      <w:marBottom w:val="0"/>
      <w:divBdr>
        <w:top w:val="none" w:sz="0" w:space="0" w:color="auto"/>
        <w:left w:val="none" w:sz="0" w:space="0" w:color="auto"/>
        <w:bottom w:val="none" w:sz="0" w:space="0" w:color="auto"/>
        <w:right w:val="none" w:sz="0" w:space="0" w:color="auto"/>
      </w:divBdr>
    </w:div>
    <w:div w:id="447241009">
      <w:bodyDiv w:val="1"/>
      <w:marLeft w:val="0"/>
      <w:marRight w:val="0"/>
      <w:marTop w:val="0"/>
      <w:marBottom w:val="0"/>
      <w:divBdr>
        <w:top w:val="none" w:sz="0" w:space="0" w:color="auto"/>
        <w:left w:val="none" w:sz="0" w:space="0" w:color="auto"/>
        <w:bottom w:val="none" w:sz="0" w:space="0" w:color="auto"/>
        <w:right w:val="none" w:sz="0" w:space="0" w:color="auto"/>
      </w:divBdr>
    </w:div>
    <w:div w:id="471951298">
      <w:bodyDiv w:val="1"/>
      <w:marLeft w:val="0"/>
      <w:marRight w:val="0"/>
      <w:marTop w:val="0"/>
      <w:marBottom w:val="0"/>
      <w:divBdr>
        <w:top w:val="none" w:sz="0" w:space="0" w:color="auto"/>
        <w:left w:val="none" w:sz="0" w:space="0" w:color="auto"/>
        <w:bottom w:val="none" w:sz="0" w:space="0" w:color="auto"/>
        <w:right w:val="none" w:sz="0" w:space="0" w:color="auto"/>
      </w:divBdr>
    </w:div>
    <w:div w:id="501049346">
      <w:bodyDiv w:val="1"/>
      <w:marLeft w:val="0"/>
      <w:marRight w:val="0"/>
      <w:marTop w:val="0"/>
      <w:marBottom w:val="0"/>
      <w:divBdr>
        <w:top w:val="none" w:sz="0" w:space="0" w:color="auto"/>
        <w:left w:val="none" w:sz="0" w:space="0" w:color="auto"/>
        <w:bottom w:val="none" w:sz="0" w:space="0" w:color="auto"/>
        <w:right w:val="none" w:sz="0" w:space="0" w:color="auto"/>
      </w:divBdr>
    </w:div>
    <w:div w:id="518349617">
      <w:bodyDiv w:val="1"/>
      <w:marLeft w:val="0"/>
      <w:marRight w:val="0"/>
      <w:marTop w:val="0"/>
      <w:marBottom w:val="0"/>
      <w:divBdr>
        <w:top w:val="none" w:sz="0" w:space="0" w:color="auto"/>
        <w:left w:val="none" w:sz="0" w:space="0" w:color="auto"/>
        <w:bottom w:val="none" w:sz="0" w:space="0" w:color="auto"/>
        <w:right w:val="none" w:sz="0" w:space="0" w:color="auto"/>
      </w:divBdr>
    </w:div>
    <w:div w:id="526715501">
      <w:bodyDiv w:val="1"/>
      <w:marLeft w:val="0"/>
      <w:marRight w:val="0"/>
      <w:marTop w:val="0"/>
      <w:marBottom w:val="0"/>
      <w:divBdr>
        <w:top w:val="none" w:sz="0" w:space="0" w:color="auto"/>
        <w:left w:val="none" w:sz="0" w:space="0" w:color="auto"/>
        <w:bottom w:val="none" w:sz="0" w:space="0" w:color="auto"/>
        <w:right w:val="none" w:sz="0" w:space="0" w:color="auto"/>
      </w:divBdr>
    </w:div>
    <w:div w:id="547884251">
      <w:bodyDiv w:val="1"/>
      <w:marLeft w:val="0"/>
      <w:marRight w:val="0"/>
      <w:marTop w:val="0"/>
      <w:marBottom w:val="0"/>
      <w:divBdr>
        <w:top w:val="none" w:sz="0" w:space="0" w:color="auto"/>
        <w:left w:val="none" w:sz="0" w:space="0" w:color="auto"/>
        <w:bottom w:val="none" w:sz="0" w:space="0" w:color="auto"/>
        <w:right w:val="none" w:sz="0" w:space="0" w:color="auto"/>
      </w:divBdr>
    </w:div>
    <w:div w:id="551428973">
      <w:bodyDiv w:val="1"/>
      <w:marLeft w:val="0"/>
      <w:marRight w:val="0"/>
      <w:marTop w:val="0"/>
      <w:marBottom w:val="0"/>
      <w:divBdr>
        <w:top w:val="none" w:sz="0" w:space="0" w:color="auto"/>
        <w:left w:val="none" w:sz="0" w:space="0" w:color="auto"/>
        <w:bottom w:val="none" w:sz="0" w:space="0" w:color="auto"/>
        <w:right w:val="none" w:sz="0" w:space="0" w:color="auto"/>
      </w:divBdr>
    </w:div>
    <w:div w:id="567613997">
      <w:bodyDiv w:val="1"/>
      <w:marLeft w:val="0"/>
      <w:marRight w:val="0"/>
      <w:marTop w:val="0"/>
      <w:marBottom w:val="0"/>
      <w:divBdr>
        <w:top w:val="none" w:sz="0" w:space="0" w:color="auto"/>
        <w:left w:val="none" w:sz="0" w:space="0" w:color="auto"/>
        <w:bottom w:val="none" w:sz="0" w:space="0" w:color="auto"/>
        <w:right w:val="none" w:sz="0" w:space="0" w:color="auto"/>
      </w:divBdr>
    </w:div>
    <w:div w:id="592667667">
      <w:bodyDiv w:val="1"/>
      <w:marLeft w:val="0"/>
      <w:marRight w:val="0"/>
      <w:marTop w:val="0"/>
      <w:marBottom w:val="0"/>
      <w:divBdr>
        <w:top w:val="none" w:sz="0" w:space="0" w:color="auto"/>
        <w:left w:val="none" w:sz="0" w:space="0" w:color="auto"/>
        <w:bottom w:val="none" w:sz="0" w:space="0" w:color="auto"/>
        <w:right w:val="none" w:sz="0" w:space="0" w:color="auto"/>
      </w:divBdr>
    </w:div>
    <w:div w:id="697242843">
      <w:bodyDiv w:val="1"/>
      <w:marLeft w:val="0"/>
      <w:marRight w:val="0"/>
      <w:marTop w:val="0"/>
      <w:marBottom w:val="0"/>
      <w:divBdr>
        <w:top w:val="none" w:sz="0" w:space="0" w:color="auto"/>
        <w:left w:val="none" w:sz="0" w:space="0" w:color="auto"/>
        <w:bottom w:val="none" w:sz="0" w:space="0" w:color="auto"/>
        <w:right w:val="none" w:sz="0" w:space="0" w:color="auto"/>
      </w:divBdr>
    </w:div>
    <w:div w:id="707485241">
      <w:bodyDiv w:val="1"/>
      <w:marLeft w:val="0"/>
      <w:marRight w:val="0"/>
      <w:marTop w:val="0"/>
      <w:marBottom w:val="0"/>
      <w:divBdr>
        <w:top w:val="none" w:sz="0" w:space="0" w:color="auto"/>
        <w:left w:val="none" w:sz="0" w:space="0" w:color="auto"/>
        <w:bottom w:val="none" w:sz="0" w:space="0" w:color="auto"/>
        <w:right w:val="none" w:sz="0" w:space="0" w:color="auto"/>
      </w:divBdr>
    </w:div>
    <w:div w:id="767233348">
      <w:bodyDiv w:val="1"/>
      <w:marLeft w:val="0"/>
      <w:marRight w:val="0"/>
      <w:marTop w:val="0"/>
      <w:marBottom w:val="0"/>
      <w:divBdr>
        <w:top w:val="none" w:sz="0" w:space="0" w:color="auto"/>
        <w:left w:val="none" w:sz="0" w:space="0" w:color="auto"/>
        <w:bottom w:val="none" w:sz="0" w:space="0" w:color="auto"/>
        <w:right w:val="none" w:sz="0" w:space="0" w:color="auto"/>
      </w:divBdr>
    </w:div>
    <w:div w:id="811751089">
      <w:bodyDiv w:val="1"/>
      <w:marLeft w:val="0"/>
      <w:marRight w:val="0"/>
      <w:marTop w:val="0"/>
      <w:marBottom w:val="0"/>
      <w:divBdr>
        <w:top w:val="none" w:sz="0" w:space="0" w:color="auto"/>
        <w:left w:val="none" w:sz="0" w:space="0" w:color="auto"/>
        <w:bottom w:val="none" w:sz="0" w:space="0" w:color="auto"/>
        <w:right w:val="none" w:sz="0" w:space="0" w:color="auto"/>
      </w:divBdr>
    </w:div>
    <w:div w:id="822114323">
      <w:bodyDiv w:val="1"/>
      <w:marLeft w:val="0"/>
      <w:marRight w:val="0"/>
      <w:marTop w:val="0"/>
      <w:marBottom w:val="0"/>
      <w:divBdr>
        <w:top w:val="none" w:sz="0" w:space="0" w:color="auto"/>
        <w:left w:val="none" w:sz="0" w:space="0" w:color="auto"/>
        <w:bottom w:val="none" w:sz="0" w:space="0" w:color="auto"/>
        <w:right w:val="none" w:sz="0" w:space="0" w:color="auto"/>
      </w:divBdr>
      <w:divsChild>
        <w:div w:id="314529486">
          <w:marLeft w:val="0"/>
          <w:marRight w:val="0"/>
          <w:marTop w:val="0"/>
          <w:marBottom w:val="0"/>
          <w:divBdr>
            <w:top w:val="none" w:sz="0" w:space="0" w:color="auto"/>
            <w:left w:val="none" w:sz="0" w:space="0" w:color="auto"/>
            <w:bottom w:val="none" w:sz="0" w:space="0" w:color="auto"/>
            <w:right w:val="none" w:sz="0" w:space="0" w:color="auto"/>
          </w:divBdr>
          <w:divsChild>
            <w:div w:id="1530875216">
              <w:marLeft w:val="0"/>
              <w:marRight w:val="0"/>
              <w:marTop w:val="0"/>
              <w:marBottom w:val="180"/>
              <w:divBdr>
                <w:top w:val="none" w:sz="0" w:space="0" w:color="auto"/>
                <w:left w:val="none" w:sz="0" w:space="0" w:color="auto"/>
                <w:bottom w:val="none" w:sz="0" w:space="0" w:color="auto"/>
                <w:right w:val="none" w:sz="0" w:space="0" w:color="auto"/>
              </w:divBdr>
              <w:divsChild>
                <w:div w:id="169144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260640">
      <w:bodyDiv w:val="1"/>
      <w:marLeft w:val="0"/>
      <w:marRight w:val="0"/>
      <w:marTop w:val="0"/>
      <w:marBottom w:val="0"/>
      <w:divBdr>
        <w:top w:val="none" w:sz="0" w:space="0" w:color="auto"/>
        <w:left w:val="none" w:sz="0" w:space="0" w:color="auto"/>
        <w:bottom w:val="none" w:sz="0" w:space="0" w:color="auto"/>
        <w:right w:val="none" w:sz="0" w:space="0" w:color="auto"/>
      </w:divBdr>
    </w:div>
    <w:div w:id="906109304">
      <w:bodyDiv w:val="1"/>
      <w:marLeft w:val="0"/>
      <w:marRight w:val="0"/>
      <w:marTop w:val="0"/>
      <w:marBottom w:val="0"/>
      <w:divBdr>
        <w:top w:val="none" w:sz="0" w:space="0" w:color="auto"/>
        <w:left w:val="none" w:sz="0" w:space="0" w:color="auto"/>
        <w:bottom w:val="none" w:sz="0" w:space="0" w:color="auto"/>
        <w:right w:val="none" w:sz="0" w:space="0" w:color="auto"/>
      </w:divBdr>
    </w:div>
    <w:div w:id="951287119">
      <w:bodyDiv w:val="1"/>
      <w:marLeft w:val="0"/>
      <w:marRight w:val="0"/>
      <w:marTop w:val="0"/>
      <w:marBottom w:val="0"/>
      <w:divBdr>
        <w:top w:val="none" w:sz="0" w:space="0" w:color="auto"/>
        <w:left w:val="none" w:sz="0" w:space="0" w:color="auto"/>
        <w:bottom w:val="none" w:sz="0" w:space="0" w:color="auto"/>
        <w:right w:val="none" w:sz="0" w:space="0" w:color="auto"/>
      </w:divBdr>
    </w:div>
    <w:div w:id="981009996">
      <w:bodyDiv w:val="1"/>
      <w:marLeft w:val="0"/>
      <w:marRight w:val="0"/>
      <w:marTop w:val="0"/>
      <w:marBottom w:val="0"/>
      <w:divBdr>
        <w:top w:val="none" w:sz="0" w:space="0" w:color="auto"/>
        <w:left w:val="none" w:sz="0" w:space="0" w:color="auto"/>
        <w:bottom w:val="none" w:sz="0" w:space="0" w:color="auto"/>
        <w:right w:val="none" w:sz="0" w:space="0" w:color="auto"/>
      </w:divBdr>
    </w:div>
    <w:div w:id="989987165">
      <w:bodyDiv w:val="1"/>
      <w:marLeft w:val="0"/>
      <w:marRight w:val="0"/>
      <w:marTop w:val="0"/>
      <w:marBottom w:val="0"/>
      <w:divBdr>
        <w:top w:val="none" w:sz="0" w:space="0" w:color="auto"/>
        <w:left w:val="none" w:sz="0" w:space="0" w:color="auto"/>
        <w:bottom w:val="none" w:sz="0" w:space="0" w:color="auto"/>
        <w:right w:val="none" w:sz="0" w:space="0" w:color="auto"/>
      </w:divBdr>
    </w:div>
    <w:div w:id="1007053070">
      <w:bodyDiv w:val="1"/>
      <w:marLeft w:val="0"/>
      <w:marRight w:val="0"/>
      <w:marTop w:val="0"/>
      <w:marBottom w:val="0"/>
      <w:divBdr>
        <w:top w:val="none" w:sz="0" w:space="0" w:color="auto"/>
        <w:left w:val="none" w:sz="0" w:space="0" w:color="auto"/>
        <w:bottom w:val="none" w:sz="0" w:space="0" w:color="auto"/>
        <w:right w:val="none" w:sz="0" w:space="0" w:color="auto"/>
      </w:divBdr>
    </w:div>
    <w:div w:id="1055736682">
      <w:bodyDiv w:val="1"/>
      <w:marLeft w:val="0"/>
      <w:marRight w:val="0"/>
      <w:marTop w:val="0"/>
      <w:marBottom w:val="0"/>
      <w:divBdr>
        <w:top w:val="none" w:sz="0" w:space="0" w:color="auto"/>
        <w:left w:val="none" w:sz="0" w:space="0" w:color="auto"/>
        <w:bottom w:val="none" w:sz="0" w:space="0" w:color="auto"/>
        <w:right w:val="none" w:sz="0" w:space="0" w:color="auto"/>
      </w:divBdr>
    </w:div>
    <w:div w:id="1059286882">
      <w:bodyDiv w:val="1"/>
      <w:marLeft w:val="0"/>
      <w:marRight w:val="0"/>
      <w:marTop w:val="0"/>
      <w:marBottom w:val="0"/>
      <w:divBdr>
        <w:top w:val="none" w:sz="0" w:space="0" w:color="auto"/>
        <w:left w:val="none" w:sz="0" w:space="0" w:color="auto"/>
        <w:bottom w:val="none" w:sz="0" w:space="0" w:color="auto"/>
        <w:right w:val="none" w:sz="0" w:space="0" w:color="auto"/>
      </w:divBdr>
    </w:div>
    <w:div w:id="1078021487">
      <w:bodyDiv w:val="1"/>
      <w:marLeft w:val="0"/>
      <w:marRight w:val="0"/>
      <w:marTop w:val="0"/>
      <w:marBottom w:val="0"/>
      <w:divBdr>
        <w:top w:val="none" w:sz="0" w:space="0" w:color="auto"/>
        <w:left w:val="none" w:sz="0" w:space="0" w:color="auto"/>
        <w:bottom w:val="none" w:sz="0" w:space="0" w:color="auto"/>
        <w:right w:val="none" w:sz="0" w:space="0" w:color="auto"/>
      </w:divBdr>
    </w:div>
    <w:div w:id="1282297747">
      <w:bodyDiv w:val="1"/>
      <w:marLeft w:val="0"/>
      <w:marRight w:val="0"/>
      <w:marTop w:val="0"/>
      <w:marBottom w:val="0"/>
      <w:divBdr>
        <w:top w:val="none" w:sz="0" w:space="0" w:color="auto"/>
        <w:left w:val="none" w:sz="0" w:space="0" w:color="auto"/>
        <w:bottom w:val="none" w:sz="0" w:space="0" w:color="auto"/>
        <w:right w:val="none" w:sz="0" w:space="0" w:color="auto"/>
      </w:divBdr>
    </w:div>
    <w:div w:id="1317108623">
      <w:bodyDiv w:val="1"/>
      <w:marLeft w:val="0"/>
      <w:marRight w:val="0"/>
      <w:marTop w:val="0"/>
      <w:marBottom w:val="0"/>
      <w:divBdr>
        <w:top w:val="none" w:sz="0" w:space="0" w:color="auto"/>
        <w:left w:val="none" w:sz="0" w:space="0" w:color="auto"/>
        <w:bottom w:val="none" w:sz="0" w:space="0" w:color="auto"/>
        <w:right w:val="none" w:sz="0" w:space="0" w:color="auto"/>
      </w:divBdr>
    </w:div>
    <w:div w:id="1341352839">
      <w:bodyDiv w:val="1"/>
      <w:marLeft w:val="0"/>
      <w:marRight w:val="0"/>
      <w:marTop w:val="0"/>
      <w:marBottom w:val="0"/>
      <w:divBdr>
        <w:top w:val="none" w:sz="0" w:space="0" w:color="auto"/>
        <w:left w:val="none" w:sz="0" w:space="0" w:color="auto"/>
        <w:bottom w:val="none" w:sz="0" w:space="0" w:color="auto"/>
        <w:right w:val="none" w:sz="0" w:space="0" w:color="auto"/>
      </w:divBdr>
    </w:div>
    <w:div w:id="1410931897">
      <w:bodyDiv w:val="1"/>
      <w:marLeft w:val="0"/>
      <w:marRight w:val="0"/>
      <w:marTop w:val="0"/>
      <w:marBottom w:val="0"/>
      <w:divBdr>
        <w:top w:val="none" w:sz="0" w:space="0" w:color="auto"/>
        <w:left w:val="none" w:sz="0" w:space="0" w:color="auto"/>
        <w:bottom w:val="none" w:sz="0" w:space="0" w:color="auto"/>
        <w:right w:val="none" w:sz="0" w:space="0" w:color="auto"/>
      </w:divBdr>
    </w:div>
    <w:div w:id="1437141362">
      <w:bodyDiv w:val="1"/>
      <w:marLeft w:val="0"/>
      <w:marRight w:val="0"/>
      <w:marTop w:val="0"/>
      <w:marBottom w:val="0"/>
      <w:divBdr>
        <w:top w:val="none" w:sz="0" w:space="0" w:color="auto"/>
        <w:left w:val="none" w:sz="0" w:space="0" w:color="auto"/>
        <w:bottom w:val="none" w:sz="0" w:space="0" w:color="auto"/>
        <w:right w:val="none" w:sz="0" w:space="0" w:color="auto"/>
      </w:divBdr>
    </w:div>
    <w:div w:id="1498689273">
      <w:bodyDiv w:val="1"/>
      <w:marLeft w:val="0"/>
      <w:marRight w:val="0"/>
      <w:marTop w:val="0"/>
      <w:marBottom w:val="0"/>
      <w:divBdr>
        <w:top w:val="none" w:sz="0" w:space="0" w:color="auto"/>
        <w:left w:val="none" w:sz="0" w:space="0" w:color="auto"/>
        <w:bottom w:val="none" w:sz="0" w:space="0" w:color="auto"/>
        <w:right w:val="none" w:sz="0" w:space="0" w:color="auto"/>
      </w:divBdr>
    </w:div>
    <w:div w:id="1528449836">
      <w:bodyDiv w:val="1"/>
      <w:marLeft w:val="0"/>
      <w:marRight w:val="0"/>
      <w:marTop w:val="0"/>
      <w:marBottom w:val="0"/>
      <w:divBdr>
        <w:top w:val="none" w:sz="0" w:space="0" w:color="auto"/>
        <w:left w:val="none" w:sz="0" w:space="0" w:color="auto"/>
        <w:bottom w:val="none" w:sz="0" w:space="0" w:color="auto"/>
        <w:right w:val="none" w:sz="0" w:space="0" w:color="auto"/>
      </w:divBdr>
    </w:div>
    <w:div w:id="1538547520">
      <w:bodyDiv w:val="1"/>
      <w:marLeft w:val="0"/>
      <w:marRight w:val="0"/>
      <w:marTop w:val="0"/>
      <w:marBottom w:val="0"/>
      <w:divBdr>
        <w:top w:val="none" w:sz="0" w:space="0" w:color="auto"/>
        <w:left w:val="none" w:sz="0" w:space="0" w:color="auto"/>
        <w:bottom w:val="none" w:sz="0" w:space="0" w:color="auto"/>
        <w:right w:val="none" w:sz="0" w:space="0" w:color="auto"/>
      </w:divBdr>
    </w:div>
    <w:div w:id="1603032774">
      <w:bodyDiv w:val="1"/>
      <w:marLeft w:val="0"/>
      <w:marRight w:val="0"/>
      <w:marTop w:val="0"/>
      <w:marBottom w:val="0"/>
      <w:divBdr>
        <w:top w:val="none" w:sz="0" w:space="0" w:color="auto"/>
        <w:left w:val="none" w:sz="0" w:space="0" w:color="auto"/>
        <w:bottom w:val="none" w:sz="0" w:space="0" w:color="auto"/>
        <w:right w:val="none" w:sz="0" w:space="0" w:color="auto"/>
      </w:divBdr>
    </w:div>
    <w:div w:id="1643150293">
      <w:bodyDiv w:val="1"/>
      <w:marLeft w:val="0"/>
      <w:marRight w:val="0"/>
      <w:marTop w:val="0"/>
      <w:marBottom w:val="0"/>
      <w:divBdr>
        <w:top w:val="none" w:sz="0" w:space="0" w:color="auto"/>
        <w:left w:val="none" w:sz="0" w:space="0" w:color="auto"/>
        <w:bottom w:val="none" w:sz="0" w:space="0" w:color="auto"/>
        <w:right w:val="none" w:sz="0" w:space="0" w:color="auto"/>
      </w:divBdr>
    </w:div>
    <w:div w:id="1657294804">
      <w:bodyDiv w:val="1"/>
      <w:marLeft w:val="0"/>
      <w:marRight w:val="0"/>
      <w:marTop w:val="0"/>
      <w:marBottom w:val="0"/>
      <w:divBdr>
        <w:top w:val="none" w:sz="0" w:space="0" w:color="auto"/>
        <w:left w:val="none" w:sz="0" w:space="0" w:color="auto"/>
        <w:bottom w:val="none" w:sz="0" w:space="0" w:color="auto"/>
        <w:right w:val="none" w:sz="0" w:space="0" w:color="auto"/>
      </w:divBdr>
    </w:div>
    <w:div w:id="1743600793">
      <w:bodyDiv w:val="1"/>
      <w:marLeft w:val="0"/>
      <w:marRight w:val="0"/>
      <w:marTop w:val="0"/>
      <w:marBottom w:val="0"/>
      <w:divBdr>
        <w:top w:val="none" w:sz="0" w:space="0" w:color="auto"/>
        <w:left w:val="none" w:sz="0" w:space="0" w:color="auto"/>
        <w:bottom w:val="none" w:sz="0" w:space="0" w:color="auto"/>
        <w:right w:val="none" w:sz="0" w:space="0" w:color="auto"/>
      </w:divBdr>
    </w:div>
    <w:div w:id="1768765845">
      <w:bodyDiv w:val="1"/>
      <w:marLeft w:val="0"/>
      <w:marRight w:val="0"/>
      <w:marTop w:val="0"/>
      <w:marBottom w:val="0"/>
      <w:divBdr>
        <w:top w:val="none" w:sz="0" w:space="0" w:color="auto"/>
        <w:left w:val="none" w:sz="0" w:space="0" w:color="auto"/>
        <w:bottom w:val="none" w:sz="0" w:space="0" w:color="auto"/>
        <w:right w:val="none" w:sz="0" w:space="0" w:color="auto"/>
      </w:divBdr>
    </w:div>
    <w:div w:id="1776631391">
      <w:bodyDiv w:val="1"/>
      <w:marLeft w:val="0"/>
      <w:marRight w:val="0"/>
      <w:marTop w:val="0"/>
      <w:marBottom w:val="0"/>
      <w:divBdr>
        <w:top w:val="none" w:sz="0" w:space="0" w:color="auto"/>
        <w:left w:val="none" w:sz="0" w:space="0" w:color="auto"/>
        <w:bottom w:val="none" w:sz="0" w:space="0" w:color="auto"/>
        <w:right w:val="none" w:sz="0" w:space="0" w:color="auto"/>
      </w:divBdr>
    </w:div>
    <w:div w:id="1801462342">
      <w:bodyDiv w:val="1"/>
      <w:marLeft w:val="0"/>
      <w:marRight w:val="0"/>
      <w:marTop w:val="0"/>
      <w:marBottom w:val="0"/>
      <w:divBdr>
        <w:top w:val="none" w:sz="0" w:space="0" w:color="auto"/>
        <w:left w:val="none" w:sz="0" w:space="0" w:color="auto"/>
        <w:bottom w:val="none" w:sz="0" w:space="0" w:color="auto"/>
        <w:right w:val="none" w:sz="0" w:space="0" w:color="auto"/>
      </w:divBdr>
    </w:div>
    <w:div w:id="1812019963">
      <w:bodyDiv w:val="1"/>
      <w:marLeft w:val="0"/>
      <w:marRight w:val="0"/>
      <w:marTop w:val="0"/>
      <w:marBottom w:val="0"/>
      <w:divBdr>
        <w:top w:val="none" w:sz="0" w:space="0" w:color="auto"/>
        <w:left w:val="none" w:sz="0" w:space="0" w:color="auto"/>
        <w:bottom w:val="none" w:sz="0" w:space="0" w:color="auto"/>
        <w:right w:val="none" w:sz="0" w:space="0" w:color="auto"/>
      </w:divBdr>
    </w:div>
    <w:div w:id="1829517077">
      <w:bodyDiv w:val="1"/>
      <w:marLeft w:val="0"/>
      <w:marRight w:val="0"/>
      <w:marTop w:val="0"/>
      <w:marBottom w:val="0"/>
      <w:divBdr>
        <w:top w:val="none" w:sz="0" w:space="0" w:color="auto"/>
        <w:left w:val="none" w:sz="0" w:space="0" w:color="auto"/>
        <w:bottom w:val="none" w:sz="0" w:space="0" w:color="auto"/>
        <w:right w:val="none" w:sz="0" w:space="0" w:color="auto"/>
      </w:divBdr>
    </w:div>
    <w:div w:id="1882740926">
      <w:bodyDiv w:val="1"/>
      <w:marLeft w:val="0"/>
      <w:marRight w:val="0"/>
      <w:marTop w:val="0"/>
      <w:marBottom w:val="0"/>
      <w:divBdr>
        <w:top w:val="none" w:sz="0" w:space="0" w:color="auto"/>
        <w:left w:val="none" w:sz="0" w:space="0" w:color="auto"/>
        <w:bottom w:val="none" w:sz="0" w:space="0" w:color="auto"/>
        <w:right w:val="none" w:sz="0" w:space="0" w:color="auto"/>
      </w:divBdr>
    </w:div>
    <w:div w:id="1890458475">
      <w:bodyDiv w:val="1"/>
      <w:marLeft w:val="0"/>
      <w:marRight w:val="0"/>
      <w:marTop w:val="0"/>
      <w:marBottom w:val="0"/>
      <w:divBdr>
        <w:top w:val="none" w:sz="0" w:space="0" w:color="auto"/>
        <w:left w:val="none" w:sz="0" w:space="0" w:color="auto"/>
        <w:bottom w:val="none" w:sz="0" w:space="0" w:color="auto"/>
        <w:right w:val="none" w:sz="0" w:space="0" w:color="auto"/>
      </w:divBdr>
    </w:div>
    <w:div w:id="1904483324">
      <w:bodyDiv w:val="1"/>
      <w:marLeft w:val="0"/>
      <w:marRight w:val="0"/>
      <w:marTop w:val="0"/>
      <w:marBottom w:val="0"/>
      <w:divBdr>
        <w:top w:val="none" w:sz="0" w:space="0" w:color="auto"/>
        <w:left w:val="none" w:sz="0" w:space="0" w:color="auto"/>
        <w:bottom w:val="none" w:sz="0" w:space="0" w:color="auto"/>
        <w:right w:val="none" w:sz="0" w:space="0" w:color="auto"/>
      </w:divBdr>
    </w:div>
    <w:div w:id="1910115406">
      <w:bodyDiv w:val="1"/>
      <w:marLeft w:val="0"/>
      <w:marRight w:val="0"/>
      <w:marTop w:val="0"/>
      <w:marBottom w:val="0"/>
      <w:divBdr>
        <w:top w:val="none" w:sz="0" w:space="0" w:color="auto"/>
        <w:left w:val="none" w:sz="0" w:space="0" w:color="auto"/>
        <w:bottom w:val="none" w:sz="0" w:space="0" w:color="auto"/>
        <w:right w:val="none" w:sz="0" w:space="0" w:color="auto"/>
      </w:divBdr>
      <w:divsChild>
        <w:div w:id="867370461">
          <w:marLeft w:val="0"/>
          <w:marRight w:val="0"/>
          <w:marTop w:val="0"/>
          <w:marBottom w:val="0"/>
          <w:divBdr>
            <w:top w:val="single" w:sz="2" w:space="0" w:color="auto"/>
            <w:left w:val="single" w:sz="2" w:space="0" w:color="auto"/>
            <w:bottom w:val="single" w:sz="6" w:space="0" w:color="auto"/>
            <w:right w:val="single" w:sz="2" w:space="0" w:color="auto"/>
          </w:divBdr>
          <w:divsChild>
            <w:div w:id="2006470953">
              <w:marLeft w:val="0"/>
              <w:marRight w:val="0"/>
              <w:marTop w:val="100"/>
              <w:marBottom w:val="100"/>
              <w:divBdr>
                <w:top w:val="single" w:sz="2" w:space="0" w:color="D9D9E3"/>
                <w:left w:val="single" w:sz="2" w:space="0" w:color="D9D9E3"/>
                <w:bottom w:val="single" w:sz="2" w:space="0" w:color="D9D9E3"/>
                <w:right w:val="single" w:sz="2" w:space="0" w:color="D9D9E3"/>
              </w:divBdr>
              <w:divsChild>
                <w:div w:id="1474518289">
                  <w:marLeft w:val="0"/>
                  <w:marRight w:val="0"/>
                  <w:marTop w:val="0"/>
                  <w:marBottom w:val="0"/>
                  <w:divBdr>
                    <w:top w:val="single" w:sz="2" w:space="0" w:color="D9D9E3"/>
                    <w:left w:val="single" w:sz="2" w:space="0" w:color="D9D9E3"/>
                    <w:bottom w:val="single" w:sz="2" w:space="0" w:color="D9D9E3"/>
                    <w:right w:val="single" w:sz="2" w:space="0" w:color="D9D9E3"/>
                  </w:divBdr>
                  <w:divsChild>
                    <w:div w:id="1130906174">
                      <w:marLeft w:val="0"/>
                      <w:marRight w:val="0"/>
                      <w:marTop w:val="0"/>
                      <w:marBottom w:val="0"/>
                      <w:divBdr>
                        <w:top w:val="single" w:sz="2" w:space="0" w:color="D9D9E3"/>
                        <w:left w:val="single" w:sz="2" w:space="0" w:color="D9D9E3"/>
                        <w:bottom w:val="single" w:sz="2" w:space="0" w:color="D9D9E3"/>
                        <w:right w:val="single" w:sz="2" w:space="0" w:color="D9D9E3"/>
                      </w:divBdr>
                      <w:divsChild>
                        <w:div w:id="845368340">
                          <w:marLeft w:val="0"/>
                          <w:marRight w:val="0"/>
                          <w:marTop w:val="0"/>
                          <w:marBottom w:val="0"/>
                          <w:divBdr>
                            <w:top w:val="single" w:sz="2" w:space="0" w:color="D9D9E3"/>
                            <w:left w:val="single" w:sz="2" w:space="0" w:color="D9D9E3"/>
                            <w:bottom w:val="single" w:sz="2" w:space="0" w:color="D9D9E3"/>
                            <w:right w:val="single" w:sz="2" w:space="0" w:color="D9D9E3"/>
                          </w:divBdr>
                          <w:divsChild>
                            <w:div w:id="11292076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18859120">
      <w:bodyDiv w:val="1"/>
      <w:marLeft w:val="0"/>
      <w:marRight w:val="0"/>
      <w:marTop w:val="0"/>
      <w:marBottom w:val="0"/>
      <w:divBdr>
        <w:top w:val="none" w:sz="0" w:space="0" w:color="auto"/>
        <w:left w:val="none" w:sz="0" w:space="0" w:color="auto"/>
        <w:bottom w:val="none" w:sz="0" w:space="0" w:color="auto"/>
        <w:right w:val="none" w:sz="0" w:space="0" w:color="auto"/>
      </w:divBdr>
    </w:div>
    <w:div w:id="20384338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image" Target="media/image10.jpeg"/><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tif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jpeg"/><Relationship Id="rId10" Type="http://schemas.openxmlformats.org/officeDocument/2006/relationships/endnotes" Target="endnotes.xml"/><Relationship Id="rId19" Type="http://schemas.openxmlformats.org/officeDocument/2006/relationships/image" Target="media/image8.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c0fe1eb-3823-4a1f-80d7-fe75de65eb98"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D6EF9035696A8F449C177B5DFF8821B7" ma:contentTypeVersion="13" ma:contentTypeDescription="Creare un nuovo documento." ma:contentTypeScope="" ma:versionID="b4e4db31b49a283d44709c395661eb7c">
  <xsd:schema xmlns:xsd="http://www.w3.org/2001/XMLSchema" xmlns:xs="http://www.w3.org/2001/XMLSchema" xmlns:p="http://schemas.microsoft.com/office/2006/metadata/properties" xmlns:ns3="fc0fe1eb-3823-4a1f-80d7-fe75de65eb98" xmlns:ns4="4b2a1c25-68d5-4a72-b938-d46eb58ac665" targetNamespace="http://schemas.microsoft.com/office/2006/metadata/properties" ma:root="true" ma:fieldsID="a9ed8a33563a1ba0c4d5e97d0b53a712" ns3:_="" ns4:_="">
    <xsd:import namespace="fc0fe1eb-3823-4a1f-80d7-fe75de65eb98"/>
    <xsd:import namespace="4b2a1c25-68d5-4a72-b938-d46eb58ac665"/>
    <xsd:element name="properties">
      <xsd:complexType>
        <xsd:sequence>
          <xsd:element name="documentManagement">
            <xsd:complexType>
              <xsd:all>
                <xsd:element ref="ns3:MediaServiceMetadata" minOccurs="0"/>
                <xsd:element ref="ns3:MediaServiceFastMetadata" minOccurs="0"/>
                <xsd:element ref="ns3:_activity"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0fe1eb-3823-4a1f-80d7-fe75de65eb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2a1c25-68d5-4a72-b938-d46eb58ac665" elementFormDefault="qualified">
    <xsd:import namespace="http://schemas.microsoft.com/office/2006/documentManagement/types"/>
    <xsd:import namespace="http://schemas.microsoft.com/office/infopath/2007/PartnerControls"/>
    <xsd:element name="SharedWithUsers" ma:index="1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Condiviso con dettagli" ma:internalName="SharedWithDetails" ma:readOnly="true">
      <xsd:simpleType>
        <xsd:restriction base="dms:Note">
          <xsd:maxLength value="255"/>
        </xsd:restriction>
      </xsd:simpleType>
    </xsd:element>
    <xsd:element name="SharingHintHash" ma:index="13"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6E0662-0F97-4485-8503-825F4C0BD9F2}">
  <ds:schemaRefs>
    <ds:schemaRef ds:uri="http://schemas.microsoft.com/office/2006/metadata/properties"/>
    <ds:schemaRef ds:uri="http://schemas.microsoft.com/office/infopath/2007/PartnerControls"/>
    <ds:schemaRef ds:uri="fc0fe1eb-3823-4a1f-80d7-fe75de65eb98"/>
  </ds:schemaRefs>
</ds:datastoreItem>
</file>

<file path=customXml/itemProps2.xml><?xml version="1.0" encoding="utf-8"?>
<ds:datastoreItem xmlns:ds="http://schemas.openxmlformats.org/officeDocument/2006/customXml" ds:itemID="{42E9C1EB-53A4-49E1-880B-147299432896}">
  <ds:schemaRefs>
    <ds:schemaRef ds:uri="http://schemas.openxmlformats.org/officeDocument/2006/bibliography"/>
  </ds:schemaRefs>
</ds:datastoreItem>
</file>

<file path=customXml/itemProps3.xml><?xml version="1.0" encoding="utf-8"?>
<ds:datastoreItem xmlns:ds="http://schemas.openxmlformats.org/officeDocument/2006/customXml" ds:itemID="{53DE48BE-225D-4589-8B65-254371365C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0fe1eb-3823-4a1f-80d7-fe75de65eb98"/>
    <ds:schemaRef ds:uri="4b2a1c25-68d5-4a72-b938-d46eb58ac6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00F60A4-1886-4C19-A8F4-06C2B5DBAD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27</Pages>
  <Words>24430</Words>
  <Characters>139252</Characters>
  <Application>Microsoft Office Word</Application>
  <DocSecurity>0</DocSecurity>
  <Lines>1160</Lines>
  <Paragraphs>326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163356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Valdivia Munoz, Pedro Antonio</dc:creator>
  <cp:keywords/>
  <dc:description/>
  <cp:lastModifiedBy>Valdivia Munoz, Pedro Antonio</cp:lastModifiedBy>
  <cp:revision>10</cp:revision>
  <dcterms:created xsi:type="dcterms:W3CDTF">2024-01-22T10:15:00Z</dcterms:created>
  <dcterms:modified xsi:type="dcterms:W3CDTF">2024-01-23T13:09:00Z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http://www.zotero.org/styles/chemical-geology</vt:lpwstr>
  </property>
  <property fmtid="{D5CDD505-2E9C-101B-9397-08002B2CF9AE}" pid="7" name="Mendeley Recent Style Name 2_1">
    <vt:lpwstr>Chemical Geology</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http://www.zotero.org/styles/contributions-to-mineralogy-and-petrology</vt:lpwstr>
  </property>
  <property fmtid="{D5CDD505-2E9C-101B-9397-08002B2CF9AE}" pid="13" name="Mendeley Recent Style Name 5_1">
    <vt:lpwstr>Contributions to Mineralogy and Petrology</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8e540f1d-3679-3ade-bc9c-2f0573b0063d</vt:lpwstr>
  </property>
  <property fmtid="{D5CDD505-2E9C-101B-9397-08002B2CF9AE}" pid="24" name="Mendeley Citation Style_1">
    <vt:lpwstr>http://www.zotero.org/styles/nature</vt:lpwstr>
  </property>
  <property fmtid="{D5CDD505-2E9C-101B-9397-08002B2CF9AE}" pid="25" name="ContentTypeId">
    <vt:lpwstr>0x010100D6EF9035696A8F449C177B5DFF8821B7</vt:lpwstr>
  </property>
  <property fmtid="{D5CDD505-2E9C-101B-9397-08002B2CF9AE}" pid="26" name="GrammarlyDocumentId">
    <vt:lpwstr>6e82477c39ebf43b4d24849cbfc02171190e3fcdecce82485033587bc12c8c60</vt:lpwstr>
  </property>
</Properties>
</file>