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ECA8E" w14:textId="138512B0" w:rsidR="000E0C36" w:rsidRDefault="52B9FECD" w:rsidP="194BDD01">
      <w:pPr>
        <w:spacing w:beforeAutospacing="1" w:after="0" w:line="48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</w:pPr>
      <w:r w:rsidRPr="194BDD0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 xml:space="preserve">Free fatty acid receptors beyond fatty acids: a computational journey to explore </w:t>
      </w:r>
      <w:r w:rsidR="00FF06C7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 xml:space="preserve">food-related </w:t>
      </w:r>
      <w:r w:rsidRPr="194BDD0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 xml:space="preserve">peptides as possible binders of </w:t>
      </w:r>
      <w:proofErr w:type="gramStart"/>
      <w:r w:rsidRPr="194BDD0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>GPR120</w:t>
      </w:r>
      <w:proofErr w:type="gramEnd"/>
    </w:p>
    <w:p w14:paraId="2D9DCF08" w14:textId="77777777" w:rsidR="00295962" w:rsidRPr="001F39EB" w:rsidRDefault="00295962" w:rsidP="194BDD01">
      <w:pPr>
        <w:spacing w:beforeAutospacing="1" w:after="0" w:line="48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</w:p>
    <w:p w14:paraId="325CB862" w14:textId="77777777" w:rsidR="00295962" w:rsidRPr="00295962" w:rsidRDefault="00295962" w:rsidP="00295962">
      <w:pPr>
        <w:spacing w:after="0" w:line="480" w:lineRule="auto"/>
        <w:jc w:val="center"/>
        <w:rPr>
          <w:sz w:val="24"/>
          <w:szCs w:val="24"/>
        </w:rPr>
      </w:pPr>
      <w:r w:rsidRPr="00295962">
        <w:rPr>
          <w:sz w:val="24"/>
          <w:szCs w:val="24"/>
        </w:rPr>
        <w:t xml:space="preserve">Lorenzo Pedroni </w:t>
      </w:r>
      <w:r w:rsidRPr="00295962">
        <w:rPr>
          <w:sz w:val="24"/>
          <w:szCs w:val="24"/>
          <w:vertAlign w:val="superscript"/>
        </w:rPr>
        <w:t>1,#</w:t>
      </w:r>
      <w:r w:rsidRPr="00295962">
        <w:rPr>
          <w:sz w:val="24"/>
          <w:szCs w:val="24"/>
        </w:rPr>
        <w:t xml:space="preserve">, Florinda Perugino </w:t>
      </w:r>
      <w:r w:rsidRPr="00295962">
        <w:rPr>
          <w:sz w:val="24"/>
          <w:szCs w:val="24"/>
          <w:vertAlign w:val="superscript"/>
        </w:rPr>
        <w:t>1,2,#</w:t>
      </w:r>
      <w:r w:rsidRPr="00295962">
        <w:rPr>
          <w:sz w:val="24"/>
          <w:szCs w:val="24"/>
        </w:rPr>
        <w:t xml:space="preserve">, Fabio Magnaghi </w:t>
      </w:r>
      <w:r w:rsidRPr="00295962">
        <w:rPr>
          <w:sz w:val="24"/>
          <w:szCs w:val="24"/>
          <w:vertAlign w:val="superscript"/>
        </w:rPr>
        <w:t>1</w:t>
      </w:r>
      <w:r w:rsidRPr="00295962">
        <w:rPr>
          <w:sz w:val="24"/>
          <w:szCs w:val="24"/>
        </w:rPr>
        <w:t xml:space="preserve">, Chiara Dall’Asta </w:t>
      </w:r>
      <w:r w:rsidRPr="00295962">
        <w:rPr>
          <w:sz w:val="24"/>
          <w:szCs w:val="24"/>
          <w:vertAlign w:val="superscript"/>
        </w:rPr>
        <w:t>1</w:t>
      </w:r>
      <w:r w:rsidRPr="00295962">
        <w:rPr>
          <w:sz w:val="24"/>
          <w:szCs w:val="24"/>
        </w:rPr>
        <w:t>, Gianni Galaverna</w:t>
      </w:r>
      <w:r w:rsidRPr="00295962">
        <w:rPr>
          <w:sz w:val="24"/>
          <w:szCs w:val="24"/>
          <w:vertAlign w:val="superscript"/>
        </w:rPr>
        <w:t xml:space="preserve"> 1</w:t>
      </w:r>
      <w:r w:rsidRPr="00295962">
        <w:rPr>
          <w:sz w:val="24"/>
          <w:szCs w:val="24"/>
        </w:rPr>
        <w:t xml:space="preserve">, Luca Dellafiora </w:t>
      </w:r>
      <w:r w:rsidRPr="00295962">
        <w:rPr>
          <w:sz w:val="24"/>
          <w:szCs w:val="24"/>
          <w:vertAlign w:val="superscript"/>
        </w:rPr>
        <w:t>1,</w:t>
      </w:r>
      <w:r w:rsidRPr="00295962">
        <w:rPr>
          <w:sz w:val="24"/>
          <w:szCs w:val="24"/>
        </w:rPr>
        <w:t>*</w:t>
      </w:r>
    </w:p>
    <w:p w14:paraId="2A1A46B1" w14:textId="77777777" w:rsidR="00295962" w:rsidRPr="00295962" w:rsidRDefault="00295962" w:rsidP="00295962">
      <w:pPr>
        <w:spacing w:line="48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00295962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GB"/>
        </w:rPr>
        <w:t>1</w:t>
      </w:r>
      <w:r w:rsidRPr="0029596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Department of Food and Drug, University of Parma, Parma, Italy</w:t>
      </w:r>
    </w:p>
    <w:p w14:paraId="4D16CBE4" w14:textId="77777777" w:rsidR="00295962" w:rsidRPr="00295962" w:rsidRDefault="00295962" w:rsidP="00295962">
      <w:pPr>
        <w:spacing w:line="48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00295962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GB"/>
        </w:rPr>
        <w:t xml:space="preserve">2 </w:t>
      </w:r>
      <w:r w:rsidRPr="0029596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Department of Biology, University of Naples Federico II, Naples, Italy</w:t>
      </w:r>
    </w:p>
    <w:p w14:paraId="7E98D0A0" w14:textId="77777777" w:rsidR="00295962" w:rsidRPr="00295962" w:rsidRDefault="00295962" w:rsidP="00295962">
      <w:pPr>
        <w:spacing w:after="0" w:line="480" w:lineRule="auto"/>
        <w:jc w:val="center"/>
        <w:rPr>
          <w:sz w:val="24"/>
          <w:szCs w:val="24"/>
          <w:lang w:val="en-GB"/>
        </w:rPr>
      </w:pPr>
    </w:p>
    <w:p w14:paraId="4788926B" w14:textId="77777777" w:rsidR="00295962" w:rsidRPr="00295962" w:rsidRDefault="00295962" w:rsidP="00295962">
      <w:pPr>
        <w:spacing w:after="0" w:line="480" w:lineRule="auto"/>
        <w:jc w:val="both"/>
        <w:rPr>
          <w:sz w:val="24"/>
          <w:szCs w:val="24"/>
          <w:lang w:val="en-GB"/>
        </w:rPr>
      </w:pPr>
      <w:r w:rsidRPr="00295962">
        <w:rPr>
          <w:sz w:val="24"/>
          <w:szCs w:val="24"/>
          <w:vertAlign w:val="superscript"/>
          <w:lang w:val="en-GB"/>
        </w:rPr>
        <w:t xml:space="preserve"># </w:t>
      </w:r>
      <w:r w:rsidRPr="00295962">
        <w:rPr>
          <w:sz w:val="24"/>
          <w:szCs w:val="24"/>
          <w:lang w:val="en-GB"/>
        </w:rPr>
        <w:t>These authors contributed equally to the work</w:t>
      </w:r>
    </w:p>
    <w:p w14:paraId="5D65FC4B" w14:textId="77777777" w:rsidR="00295962" w:rsidRPr="00295962" w:rsidRDefault="00295962" w:rsidP="00295962">
      <w:pPr>
        <w:spacing w:line="480" w:lineRule="auto"/>
        <w:jc w:val="both"/>
        <w:rPr>
          <w:sz w:val="24"/>
          <w:szCs w:val="24"/>
        </w:rPr>
      </w:pPr>
      <w:r w:rsidRPr="00295962">
        <w:rPr>
          <w:sz w:val="24"/>
          <w:szCs w:val="24"/>
          <w:lang w:val="en-GB"/>
        </w:rPr>
        <w:t xml:space="preserve">* Correspondence to: Luca </w:t>
      </w:r>
      <w:proofErr w:type="spellStart"/>
      <w:r w:rsidRPr="00295962">
        <w:rPr>
          <w:sz w:val="24"/>
          <w:szCs w:val="24"/>
          <w:lang w:val="en-GB"/>
        </w:rPr>
        <w:t>Dellafiora</w:t>
      </w:r>
      <w:proofErr w:type="spellEnd"/>
      <w:r w:rsidRPr="00295962">
        <w:rPr>
          <w:sz w:val="24"/>
          <w:szCs w:val="24"/>
          <w:lang w:val="en-GB"/>
        </w:rPr>
        <w:t xml:space="preserve">, </w:t>
      </w:r>
      <w:r w:rsidRPr="0029596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Department of Food and Drug, University of Parma, Parco Area </w:t>
      </w:r>
      <w:proofErr w:type="spellStart"/>
      <w:r w:rsidRPr="0029596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delle</w:t>
      </w:r>
      <w:proofErr w:type="spellEnd"/>
      <w:r w:rsidRPr="0029596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9596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Scienze</w:t>
      </w:r>
      <w:proofErr w:type="spellEnd"/>
      <w:r w:rsidRPr="00295962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27/A, 43124 Parma, Italy. Phone: +39 0521 902073. </w:t>
      </w:r>
      <w:r w:rsidRPr="002959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Email: </w:t>
      </w:r>
      <w:r w:rsidRPr="00295962">
        <w:rPr>
          <w:sz w:val="24"/>
          <w:szCs w:val="24"/>
        </w:rPr>
        <w:fldChar w:fldCharType="begin"/>
      </w:r>
      <w:r w:rsidRPr="00295962">
        <w:rPr>
          <w:sz w:val="24"/>
          <w:szCs w:val="24"/>
        </w:rPr>
        <w:instrText>HYPERLINK "mailto:luca.dellafiora@unipr.it" \h</w:instrText>
      </w:r>
      <w:r w:rsidRPr="00295962">
        <w:rPr>
          <w:sz w:val="24"/>
          <w:szCs w:val="24"/>
        </w:rPr>
      </w:r>
      <w:r w:rsidRPr="00295962">
        <w:rPr>
          <w:sz w:val="24"/>
          <w:szCs w:val="24"/>
        </w:rPr>
        <w:fldChar w:fldCharType="separate"/>
      </w:r>
      <w:r w:rsidRPr="00295962">
        <w:rPr>
          <w:rStyle w:val="Hyperlink"/>
          <w:rFonts w:ascii="Calibri" w:eastAsia="Calibri" w:hAnsi="Calibri" w:cs="Calibri"/>
          <w:sz w:val="24"/>
          <w:szCs w:val="24"/>
        </w:rPr>
        <w:t>luca.dellafiora@unipr.it</w:t>
      </w:r>
      <w:r w:rsidRPr="00295962">
        <w:rPr>
          <w:rStyle w:val="Hyperlink"/>
          <w:rFonts w:ascii="Calibri" w:eastAsia="Calibri" w:hAnsi="Calibri" w:cs="Calibri"/>
          <w:sz w:val="24"/>
          <w:szCs w:val="24"/>
          <w:lang w:val="en-GB"/>
        </w:rPr>
        <w:fldChar w:fldCharType="end"/>
      </w:r>
    </w:p>
    <w:p w14:paraId="2DC08235" w14:textId="41C56BFA" w:rsidR="000E0C36" w:rsidRPr="001760A8" w:rsidRDefault="00C23A48" w:rsidP="194BDD01">
      <w:r>
        <w:br w:type="page"/>
      </w:r>
    </w:p>
    <w:p w14:paraId="2BF72775" w14:textId="35809801" w:rsidR="001760A8" w:rsidRDefault="001760A8" w:rsidP="194BDD0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89B2AD7" wp14:editId="6BCF0EB3">
            <wp:extent cx="4691417" cy="7688580"/>
            <wp:effectExtent l="0" t="0" r="0" b="0"/>
            <wp:docPr id="9167186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473" cy="7718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0BD8A" w14:textId="0CA8D667" w:rsidR="00E74D0A" w:rsidRDefault="01DEE936" w:rsidP="00E74D0A">
      <w:pPr>
        <w:rPr>
          <w:rStyle w:val="normaltextrun"/>
          <w:color w:val="000000"/>
          <w:bdr w:val="none" w:sz="0" w:space="0" w:color="auto" w:frame="1"/>
          <w:lang w:val="en-US"/>
        </w:rPr>
      </w:pPr>
      <w:r w:rsidRPr="008551A8">
        <w:rPr>
          <w:b/>
          <w:bCs/>
          <w:lang w:val="en-US"/>
        </w:rPr>
        <w:t>Figure S1</w:t>
      </w:r>
      <w:r w:rsidRPr="008551A8">
        <w:rPr>
          <w:lang w:val="en-US"/>
        </w:rPr>
        <w:t xml:space="preserve">. </w:t>
      </w:r>
      <w:r w:rsidR="008551A8">
        <w:rPr>
          <w:rStyle w:val="normaltextrun"/>
          <w:color w:val="000000"/>
          <w:bdr w:val="none" w:sz="0" w:space="0" w:color="auto" w:frame="1"/>
          <w:lang w:val="en-US"/>
        </w:rPr>
        <w:t xml:space="preserve">Trajectory of oleic acid (A), TUG-891 (B), </w:t>
      </w:r>
      <w:proofErr w:type="spellStart"/>
      <w:r w:rsidR="008551A8">
        <w:rPr>
          <w:rStyle w:val="normaltextrun"/>
          <w:color w:val="000000"/>
          <w:bdr w:val="none" w:sz="0" w:space="0" w:color="auto" w:frame="1"/>
          <w:lang w:val="en-US"/>
        </w:rPr>
        <w:t>isobutyric</w:t>
      </w:r>
      <w:proofErr w:type="spellEnd"/>
      <w:r w:rsidR="008551A8">
        <w:rPr>
          <w:rStyle w:val="normaltextrun"/>
          <w:color w:val="000000"/>
          <w:bdr w:val="none" w:sz="0" w:space="0" w:color="auto" w:frame="1"/>
          <w:lang w:val="en-US"/>
        </w:rPr>
        <w:t xml:space="preserve"> acid (C) and propionic acid (D) within GPR120 binding site. The protein is represented by cyan cartoon while each </w:t>
      </w:r>
      <w:proofErr w:type="gramStart"/>
      <w:r w:rsidR="008551A8">
        <w:rPr>
          <w:rStyle w:val="normaltextrun"/>
          <w:color w:val="000000"/>
          <w:bdr w:val="none" w:sz="0" w:space="0" w:color="auto" w:frame="1"/>
          <w:lang w:val="en-US"/>
        </w:rPr>
        <w:t>ligands</w:t>
      </w:r>
      <w:proofErr w:type="gramEnd"/>
      <w:r w:rsidR="008551A8">
        <w:rPr>
          <w:rStyle w:val="normaltextrun"/>
          <w:color w:val="000000"/>
          <w:bdr w:val="none" w:sz="0" w:space="0" w:color="auto" w:frame="1"/>
          <w:lang w:val="en-US"/>
        </w:rPr>
        <w:t xml:space="preserve"> by sticks. The red-to-blue transition reports the stepwise changes of coordinates </w:t>
      </w:r>
      <w:r w:rsidR="00741741">
        <w:rPr>
          <w:rStyle w:val="normaltextrun"/>
          <w:color w:val="000000"/>
          <w:bdr w:val="none" w:sz="0" w:space="0" w:color="auto" w:frame="1"/>
          <w:lang w:val="en-US"/>
        </w:rPr>
        <w:t>for each ligand</w:t>
      </w:r>
      <w:r w:rsidR="00C23A48">
        <w:rPr>
          <w:rStyle w:val="normaltextrun"/>
          <w:color w:val="000000"/>
          <w:bdr w:val="none" w:sz="0" w:space="0" w:color="auto" w:frame="1"/>
          <w:lang w:val="en-US"/>
        </w:rPr>
        <w:t>, represented as sticks,</w:t>
      </w:r>
      <w:r w:rsidR="00741741">
        <w:rPr>
          <w:rStyle w:val="normaltextrun"/>
          <w:color w:val="000000"/>
          <w:bdr w:val="none" w:sz="0" w:space="0" w:color="auto" w:frame="1"/>
          <w:lang w:val="en-US"/>
        </w:rPr>
        <w:t xml:space="preserve"> </w:t>
      </w:r>
      <w:r w:rsidR="008551A8">
        <w:rPr>
          <w:rStyle w:val="normaltextrun"/>
          <w:color w:val="000000"/>
          <w:bdr w:val="none" w:sz="0" w:space="0" w:color="auto" w:frame="1"/>
          <w:lang w:val="en-US"/>
        </w:rPr>
        <w:t xml:space="preserve">over the </w:t>
      </w:r>
      <w:r w:rsidR="00E74D0A">
        <w:rPr>
          <w:rStyle w:val="normaltextrun"/>
          <w:color w:val="000000"/>
          <w:bdr w:val="none" w:sz="0" w:space="0" w:color="auto" w:frame="1"/>
          <w:lang w:val="en-US"/>
        </w:rPr>
        <w:t>40</w:t>
      </w:r>
      <w:r w:rsidR="008551A8">
        <w:rPr>
          <w:rStyle w:val="normaltextrun"/>
          <w:color w:val="000000"/>
          <w:bdr w:val="none" w:sz="0" w:space="0" w:color="auto" w:frame="1"/>
          <w:lang w:val="en-US"/>
        </w:rPr>
        <w:t xml:space="preserve"> ns </w:t>
      </w:r>
      <w:r w:rsidR="00E74D0A">
        <w:rPr>
          <w:rStyle w:val="normaltextrun"/>
          <w:color w:val="000000"/>
          <w:bdr w:val="none" w:sz="0" w:space="0" w:color="auto" w:frame="1"/>
          <w:lang w:val="en-US"/>
        </w:rPr>
        <w:t>C</w:t>
      </w:r>
      <w:r w:rsidR="008551A8">
        <w:rPr>
          <w:rStyle w:val="normaltextrun"/>
          <w:color w:val="000000"/>
          <w:bdr w:val="none" w:sz="0" w:space="0" w:color="auto" w:frame="1"/>
          <w:lang w:val="en-US"/>
        </w:rPr>
        <w:t>MD simulation</w:t>
      </w:r>
      <w:r w:rsidR="001C6515">
        <w:rPr>
          <w:rStyle w:val="normaltextrun"/>
          <w:color w:val="000000"/>
          <w:bdr w:val="none" w:sz="0" w:space="0" w:color="auto" w:frame="1"/>
          <w:lang w:val="en-US"/>
        </w:rPr>
        <w:t>. Of note, b</w:t>
      </w:r>
      <w:r w:rsidR="00E74D0A">
        <w:rPr>
          <w:rStyle w:val="normaltextrun"/>
          <w:color w:val="000000"/>
          <w:bdr w:val="none" w:sz="0" w:space="0" w:color="auto" w:frame="1"/>
          <w:lang w:val="en-US"/>
        </w:rPr>
        <w:t xml:space="preserve">oth </w:t>
      </w:r>
      <w:proofErr w:type="spellStart"/>
      <w:r w:rsidR="00E74D0A">
        <w:rPr>
          <w:rStyle w:val="normaltextrun"/>
          <w:color w:val="000000"/>
          <w:bdr w:val="none" w:sz="0" w:space="0" w:color="auto" w:frame="1"/>
          <w:lang w:val="en-US"/>
        </w:rPr>
        <w:t>isobutyric</w:t>
      </w:r>
      <w:proofErr w:type="spellEnd"/>
      <w:r w:rsidR="00E74D0A">
        <w:rPr>
          <w:rStyle w:val="normaltextrun"/>
          <w:color w:val="000000"/>
          <w:bdr w:val="none" w:sz="0" w:space="0" w:color="auto" w:frame="1"/>
          <w:lang w:val="en-US"/>
        </w:rPr>
        <w:t xml:space="preserve"> acid (C) and propionic acid (D) detached from the protein. </w:t>
      </w:r>
    </w:p>
    <w:p w14:paraId="2FFB4B8E" w14:textId="3F1250D3" w:rsidR="00E74D0A" w:rsidRDefault="00741741" w:rsidP="00E74D0A">
      <w:pPr>
        <w:rPr>
          <w:rStyle w:val="normaltextrun"/>
          <w:color w:val="000000"/>
          <w:bdr w:val="none" w:sz="0" w:space="0" w:color="auto" w:frame="1"/>
          <w:lang w:val="en-US"/>
        </w:rPr>
      </w:pPr>
      <w:r w:rsidRPr="00741741"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3CB38964" wp14:editId="591B87FE">
            <wp:extent cx="5731510" cy="3242310"/>
            <wp:effectExtent l="0" t="0" r="0" b="0"/>
            <wp:docPr id="15" name="Picture 14" descr="A collage of images of a model of a pers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85F0F78-1A80-3FDF-F1D3-47EDE5CB27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collage of images of a model of a person&#10;&#10;Description automatically generated">
                      <a:extLst>
                        <a:ext uri="{FF2B5EF4-FFF2-40B4-BE49-F238E27FC236}">
                          <a16:creationId xmlns:a16="http://schemas.microsoft.com/office/drawing/2014/main" id="{C85F0F78-1A80-3FDF-F1D3-47EDE5CB27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56DBF" w14:textId="3D89A373" w:rsidR="00E74D0A" w:rsidRPr="00E74D0A" w:rsidRDefault="00E74D0A" w:rsidP="00E74D0A">
      <w:pPr>
        <w:rPr>
          <w:color w:val="000000"/>
          <w:bdr w:val="none" w:sz="0" w:space="0" w:color="auto" w:frame="1"/>
          <w:lang w:val="en-US"/>
        </w:rPr>
      </w:pPr>
      <w:r w:rsidRPr="008551A8">
        <w:rPr>
          <w:b/>
          <w:bCs/>
          <w:lang w:val="en-US"/>
        </w:rPr>
        <w:t>Figure S2</w:t>
      </w:r>
      <w:r w:rsidRPr="008551A8">
        <w:rPr>
          <w:lang w:val="en-US"/>
        </w:rPr>
        <w:t xml:space="preserve">. </w:t>
      </w:r>
      <w:r w:rsidR="00741741">
        <w:rPr>
          <w:rStyle w:val="normaltextrun"/>
          <w:color w:val="000000"/>
          <w:bdr w:val="none" w:sz="0" w:space="0" w:color="auto" w:frame="1"/>
          <w:lang w:val="en-US"/>
        </w:rPr>
        <w:t xml:space="preserve">Trajectory of GIFGGG (A), GLFGGG (B) and </w:t>
      </w:r>
      <w:proofErr w:type="spellStart"/>
      <w:r w:rsidR="00741741">
        <w:rPr>
          <w:rStyle w:val="normaltextrun"/>
          <w:color w:val="000000"/>
          <w:bdr w:val="none" w:sz="0" w:space="0" w:color="auto" w:frame="1"/>
          <w:lang w:val="en-US"/>
        </w:rPr>
        <w:t>GdIFGGG</w:t>
      </w:r>
      <w:proofErr w:type="spellEnd"/>
      <w:r w:rsidR="00741741">
        <w:rPr>
          <w:rStyle w:val="normaltextrun"/>
          <w:color w:val="000000"/>
          <w:bdr w:val="none" w:sz="0" w:space="0" w:color="auto" w:frame="1"/>
          <w:lang w:val="en-US"/>
        </w:rPr>
        <w:t xml:space="preserve"> (C) within GPR120 binding site. The protein is represented by cyan cartoon</w:t>
      </w:r>
      <w:r w:rsidR="001C6515">
        <w:rPr>
          <w:rStyle w:val="normaltextrun"/>
          <w:color w:val="000000"/>
          <w:bdr w:val="none" w:sz="0" w:space="0" w:color="auto" w:frame="1"/>
          <w:lang w:val="en-US"/>
        </w:rPr>
        <w:t>. The red-to-blue transition reports the stepwise changes of coordinates for each peptide</w:t>
      </w:r>
      <w:r w:rsidR="00C23A48">
        <w:rPr>
          <w:rStyle w:val="normaltextrun"/>
          <w:color w:val="000000"/>
          <w:bdr w:val="none" w:sz="0" w:space="0" w:color="auto" w:frame="1"/>
          <w:lang w:val="en-US"/>
        </w:rPr>
        <w:t>, represented as cartoon,</w:t>
      </w:r>
      <w:r w:rsidR="001C6515">
        <w:rPr>
          <w:rStyle w:val="normaltextrun"/>
          <w:color w:val="000000"/>
          <w:bdr w:val="none" w:sz="0" w:space="0" w:color="auto" w:frame="1"/>
          <w:lang w:val="en-US"/>
        </w:rPr>
        <w:t xml:space="preserve"> over the 40 ns CMD simulation.</w:t>
      </w:r>
      <w:r w:rsidR="00741741">
        <w:rPr>
          <w:rStyle w:val="normaltextrun"/>
          <w:color w:val="000000"/>
          <w:bdr w:val="none" w:sz="0" w:space="0" w:color="auto" w:frame="1"/>
          <w:lang w:val="en-US"/>
        </w:rPr>
        <w:t xml:space="preserve"> </w:t>
      </w:r>
    </w:p>
    <w:p w14:paraId="00F402A0" w14:textId="4D201183" w:rsidR="00E74D0A" w:rsidRDefault="00E74D0A">
      <w:pPr>
        <w:rPr>
          <w:rStyle w:val="normaltextrun"/>
          <w:color w:val="000000"/>
          <w:bdr w:val="none" w:sz="0" w:space="0" w:color="auto" w:frame="1"/>
          <w:lang w:val="en-US"/>
        </w:rPr>
      </w:pPr>
    </w:p>
    <w:p w14:paraId="64FAB1BC" w14:textId="77777777" w:rsidR="01DEE936" w:rsidRPr="008551A8" w:rsidRDefault="01DEE936" w:rsidP="194BDD01">
      <w:pPr>
        <w:rPr>
          <w:b/>
          <w:bCs/>
          <w:lang w:val="en-US"/>
        </w:rPr>
      </w:pPr>
    </w:p>
    <w:p w14:paraId="30451C61" w14:textId="6A0ACF5A" w:rsidR="194BDD01" w:rsidRPr="008551A8" w:rsidRDefault="194BDD01" w:rsidP="194BDD01">
      <w:pPr>
        <w:rPr>
          <w:lang w:val="en-US"/>
        </w:rPr>
      </w:pPr>
    </w:p>
    <w:sectPr w:rsidR="194BDD01" w:rsidRPr="008551A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C250C0"/>
    <w:rsid w:val="000E0C36"/>
    <w:rsid w:val="001760A8"/>
    <w:rsid w:val="001C6515"/>
    <w:rsid w:val="001F39EB"/>
    <w:rsid w:val="00295962"/>
    <w:rsid w:val="00741741"/>
    <w:rsid w:val="008551A8"/>
    <w:rsid w:val="00C23A48"/>
    <w:rsid w:val="00D46DE0"/>
    <w:rsid w:val="00DE57D3"/>
    <w:rsid w:val="00E74D0A"/>
    <w:rsid w:val="00FF06C7"/>
    <w:rsid w:val="01DEE936"/>
    <w:rsid w:val="11C250C0"/>
    <w:rsid w:val="194BDD01"/>
    <w:rsid w:val="52B9F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CE4C"/>
  <w15:chartTrackingRefBased/>
  <w15:docId w15:val="{4698F5AD-034E-4846-A9E1-5734DAF4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8551A8"/>
  </w:style>
  <w:style w:type="character" w:styleId="UnresolvedMention">
    <w:name w:val="Unresolved Mention"/>
    <w:basedOn w:val="DefaultParagraphFont"/>
    <w:uiPriority w:val="99"/>
    <w:semiHidden/>
    <w:unhideWhenUsed/>
    <w:rsid w:val="00295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PEDRONI</dc:creator>
  <cp:keywords/>
  <dc:description/>
  <cp:lastModifiedBy>Lorenzo PEDRONI</cp:lastModifiedBy>
  <cp:revision>12</cp:revision>
  <dcterms:created xsi:type="dcterms:W3CDTF">2023-12-14T14:10:00Z</dcterms:created>
  <dcterms:modified xsi:type="dcterms:W3CDTF">2024-01-08T14:10:00Z</dcterms:modified>
</cp:coreProperties>
</file>