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line="35" w:lineRule="atLeast"/>
        <w:jc w:val="left"/>
        <w:rPr>
          <w:rFonts w:hint="default" w:ascii="Times New Roman" w:hAnsi="Times New Roman" w:eastAsia="宋体" w:cs="Times New Roman"/>
          <w:b/>
          <w:kern w:val="0"/>
          <w:sz w:val="24"/>
          <w:szCs w:val="24"/>
          <w:lang w:val="en-US" w:eastAsia="zh-CN" w:bidi="ar"/>
        </w:rPr>
      </w:pPr>
      <w:r>
        <w:rPr>
          <w:rFonts w:hint="default" w:ascii="Times New Roman" w:hAnsi="Times New Roman" w:eastAsia="宋体" w:cs="Times New Roman"/>
          <w:b/>
          <w:kern w:val="0"/>
          <w:sz w:val="24"/>
          <w:szCs w:val="24"/>
          <w:lang w:val="en-US" w:eastAsia="zh-CN" w:bidi="ar"/>
        </w:rPr>
        <w:t>Supplementary Digital Content for: Development and Evaluation of Deep Learning Models for Accurate Prediction of Survival Outcome of COVID-19</w:t>
      </w:r>
    </w:p>
    <w:p>
      <w:pPr>
        <w:keepNext w:val="0"/>
        <w:keepLines w:val="0"/>
        <w:widowControl/>
        <w:suppressLineNumbers w:val="0"/>
        <w:spacing w:line="35" w:lineRule="atLeast"/>
        <w:jc w:val="left"/>
        <w:rPr>
          <w:rFonts w:hint="default" w:ascii="Times New Roman" w:hAnsi="Times New Roman" w:eastAsia="宋体" w:cs="Times New Roman"/>
          <w:b/>
          <w:kern w:val="0"/>
          <w:sz w:val="24"/>
          <w:szCs w:val="24"/>
          <w:lang w:val="en-US" w:eastAsia="zh-CN" w:bidi="ar"/>
        </w:rPr>
      </w:pPr>
    </w:p>
    <w:p>
      <w:pPr>
        <w:keepNext w:val="0"/>
        <w:keepLines w:val="0"/>
        <w:widowControl/>
        <w:suppressLineNumbers w:val="0"/>
        <w:spacing w:line="35" w:lineRule="atLeast"/>
        <w:jc w:val="left"/>
        <w:rPr>
          <w:rFonts w:hint="default" w:ascii="Times New Roman" w:hAnsi="Times New Roman" w:eastAsia="宋体" w:cs="Times New Roman"/>
          <w:b/>
          <w:kern w:val="0"/>
          <w:sz w:val="24"/>
          <w:szCs w:val="24"/>
          <w:lang w:val="en-US" w:eastAsia="zh-CN" w:bidi="ar"/>
        </w:rPr>
      </w:pPr>
    </w:p>
    <w:p>
      <w:pPr>
        <w:rPr>
          <w:rFonts w:hint="eastAsia"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textAlignment w:val="auto"/>
        <w:rPr>
          <w:rFonts w:hint="eastAsia" w:ascii="Times New Roman" w:hAnsi="Times New Roman" w:cs="Times New Roman"/>
          <w:b w:val="0"/>
          <w:bCs w:val="0"/>
          <w:sz w:val="24"/>
          <w:szCs w:val="24"/>
          <w:lang w:val="en-US" w:eastAsia="zh-CN"/>
        </w:rPr>
      </w:pPr>
      <w:r>
        <w:rPr>
          <w:rFonts w:hint="eastAsia" w:ascii="Times New Roman" w:hAnsi="Times New Roman" w:cs="Times New Roman"/>
          <w:b/>
          <w:bCs/>
          <w:sz w:val="24"/>
          <w:szCs w:val="24"/>
          <w:lang w:val="en-US" w:eastAsia="zh-CN"/>
        </w:rPr>
        <w:t xml:space="preserve">APPEDIX A  </w:t>
      </w:r>
      <w:r>
        <w:rPr>
          <w:rFonts w:hint="eastAsia" w:ascii="Times New Roman" w:hAnsi="Times New Roman" w:cs="Times New Roman"/>
          <w:b w:val="0"/>
          <w:bCs w:val="0"/>
          <w:sz w:val="24"/>
          <w:szCs w:val="24"/>
          <w:lang w:val="en-US" w:eastAsia="zh-CN"/>
        </w:rPr>
        <w:t>List of 152 selected features</w:t>
      </w:r>
    </w:p>
    <w:tbl>
      <w:tblPr>
        <w:tblStyle w:val="7"/>
        <w:tblW w:w="9010" w:type="dxa"/>
        <w:tblInd w:w="0" w:type="dxa"/>
        <w:shd w:val="clear" w:color="auto" w:fill="auto"/>
        <w:tblLayout w:type="autofit"/>
        <w:tblCellMar>
          <w:top w:w="0" w:type="dxa"/>
          <w:left w:w="0" w:type="dxa"/>
          <w:bottom w:w="0" w:type="dxa"/>
          <w:right w:w="0" w:type="dxa"/>
        </w:tblCellMar>
      </w:tblPr>
      <w:tblGrid>
        <w:gridCol w:w="3860"/>
        <w:gridCol w:w="5150"/>
      </w:tblGrid>
      <w:tr>
        <w:tblPrEx>
          <w:shd w:val="clear" w:color="auto" w:fill="auto"/>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Age</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Basophilic granulocyte  (%)</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Female</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Basophilic granulocyte  (%)</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Male</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Eosnophils (×109/L)</w:t>
            </w:r>
          </w:p>
        </w:tc>
      </w:tr>
      <w:tr>
        <w:tblPrEx>
          <w:tblCellMar>
            <w:top w:w="0" w:type="dxa"/>
            <w:left w:w="0" w:type="dxa"/>
            <w:bottom w:w="0" w:type="dxa"/>
            <w:right w:w="0"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Hypertension</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Lymphocyte (×10</w:t>
            </w:r>
            <w:r>
              <w:rPr>
                <w:rFonts w:hint="default" w:ascii="Times New Roman" w:hAnsi="Times New Roman" w:eastAsia="宋体" w:cs="Times New Roman"/>
                <w:i w:val="0"/>
                <w:color w:val="000000"/>
                <w:kern w:val="0"/>
                <w:sz w:val="22"/>
                <w:szCs w:val="22"/>
                <w:u w:val="none"/>
                <w:vertAlign w:val="superscript"/>
                <w:lang w:val="en-US" w:eastAsia="zh-CN" w:bidi="ar"/>
              </w:rPr>
              <w:t>9</w:t>
            </w:r>
            <w:r>
              <w:rPr>
                <w:rFonts w:hint="default" w:ascii="Times New Roman" w:hAnsi="Times New Roman" w:eastAsia="宋体" w:cs="Times New Roman"/>
                <w:i w:val="0"/>
                <w:color w:val="000000"/>
                <w:kern w:val="0"/>
                <w:sz w:val="22"/>
                <w:szCs w:val="22"/>
                <w:u w:val="none"/>
                <w:lang w:val="en-US" w:eastAsia="zh-CN" w:bidi="ar"/>
              </w:rPr>
              <w:t>/L)</w:t>
            </w:r>
          </w:p>
        </w:tc>
      </w:tr>
      <w:tr>
        <w:tblPrEx>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Cardiovascular disease</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Basophilic granulocyte  (×109/L)</w:t>
            </w:r>
          </w:p>
        </w:tc>
      </w:tr>
      <w:tr>
        <w:tblPrEx>
          <w:shd w:val="clear" w:color="auto" w:fill="auto"/>
          <w:tblCellMar>
            <w:top w:w="0" w:type="dxa"/>
            <w:left w:w="0" w:type="dxa"/>
            <w:bottom w:w="0" w:type="dxa"/>
            <w:right w:w="0"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Coronary disease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Lymphocyte (×10</w:t>
            </w:r>
            <w:r>
              <w:rPr>
                <w:rFonts w:hint="default" w:ascii="Times New Roman" w:hAnsi="Times New Roman" w:eastAsia="宋体" w:cs="Times New Roman"/>
                <w:i w:val="0"/>
                <w:color w:val="000000"/>
                <w:kern w:val="0"/>
                <w:sz w:val="22"/>
                <w:szCs w:val="22"/>
                <w:u w:val="none"/>
                <w:vertAlign w:val="superscript"/>
                <w:lang w:val="en-US" w:eastAsia="zh-CN" w:bidi="ar"/>
              </w:rPr>
              <w:t>9</w:t>
            </w:r>
            <w:r>
              <w:rPr>
                <w:rFonts w:hint="default" w:ascii="Times New Roman" w:hAnsi="Times New Roman" w:eastAsia="宋体" w:cs="Times New Roman"/>
                <w:i w:val="0"/>
                <w:color w:val="000000"/>
                <w:kern w:val="0"/>
                <w:sz w:val="22"/>
                <w:szCs w:val="22"/>
                <w:u w:val="none"/>
                <w:lang w:val="en-US" w:eastAsia="zh-CN" w:bidi="ar"/>
              </w:rPr>
              <w:t>/L)</w:t>
            </w:r>
          </w:p>
        </w:tc>
      </w:tr>
      <w:tr>
        <w:tblPrEx>
          <w:tblCellMar>
            <w:top w:w="0" w:type="dxa"/>
            <w:left w:w="0" w:type="dxa"/>
            <w:bottom w:w="0" w:type="dxa"/>
            <w:right w:w="0"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Cerebrovascular disease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White blood cell  (×10</w:t>
            </w:r>
            <w:r>
              <w:rPr>
                <w:rFonts w:hint="default" w:ascii="Times New Roman" w:hAnsi="Times New Roman" w:eastAsia="宋体" w:cs="Times New Roman"/>
                <w:i w:val="0"/>
                <w:color w:val="000000"/>
                <w:kern w:val="0"/>
                <w:sz w:val="22"/>
                <w:szCs w:val="22"/>
                <w:u w:val="none"/>
                <w:vertAlign w:val="superscript"/>
                <w:lang w:val="en-US" w:eastAsia="zh-CN" w:bidi="ar"/>
              </w:rPr>
              <w:t>9</w:t>
            </w:r>
            <w:r>
              <w:rPr>
                <w:rFonts w:hint="default" w:ascii="Times New Roman" w:hAnsi="Times New Roman" w:eastAsia="宋体" w:cs="Times New Roman"/>
                <w:i w:val="0"/>
                <w:color w:val="000000"/>
                <w:kern w:val="0"/>
                <w:sz w:val="22"/>
                <w:szCs w:val="22"/>
                <w:u w:val="none"/>
                <w:lang w:val="en-US" w:eastAsia="zh-CN" w:bidi="ar"/>
              </w:rPr>
              <w:t>/L)</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COPD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Lymphocyte (%)</w:t>
            </w:r>
          </w:p>
        </w:tc>
      </w:tr>
      <w:tr>
        <w:tblPrEx>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Malignancy</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Mono%</w:t>
            </w:r>
          </w:p>
        </w:tc>
      </w:tr>
      <w:tr>
        <w:tblPrEx>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Infectious disease</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Mean platelet volume</w:t>
            </w:r>
          </w:p>
        </w:tc>
      </w:tr>
      <w:tr>
        <w:tblPrEx>
          <w:shd w:val="clear" w:color="auto" w:fill="auto"/>
          <w:tblCellMar>
            <w:top w:w="0" w:type="dxa"/>
            <w:left w:w="0" w:type="dxa"/>
            <w:bottom w:w="0" w:type="dxa"/>
            <w:right w:w="0"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Chronic kidney disease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Platelets (×10</w:t>
            </w:r>
            <w:r>
              <w:rPr>
                <w:rFonts w:hint="default" w:ascii="Times New Roman" w:hAnsi="Times New Roman" w:eastAsia="宋体" w:cs="Times New Roman"/>
                <w:i w:val="0"/>
                <w:color w:val="000000"/>
                <w:kern w:val="0"/>
                <w:sz w:val="22"/>
                <w:szCs w:val="22"/>
                <w:u w:val="none"/>
                <w:vertAlign w:val="superscript"/>
                <w:lang w:val="en-US" w:eastAsia="zh-CN" w:bidi="ar"/>
              </w:rPr>
              <w:t>9</w:t>
            </w:r>
            <w:r>
              <w:rPr>
                <w:rFonts w:hint="default" w:ascii="Times New Roman" w:hAnsi="Times New Roman" w:eastAsia="宋体" w:cs="Times New Roman"/>
                <w:i w:val="0"/>
                <w:color w:val="000000"/>
                <w:kern w:val="0"/>
                <w:sz w:val="22"/>
                <w:szCs w:val="22"/>
                <w:u w:val="none"/>
                <w:lang w:val="en-US" w:eastAsia="zh-CN" w:bidi="ar"/>
              </w:rPr>
              <w:t>/L)</w:t>
            </w:r>
          </w:p>
        </w:tc>
      </w:tr>
      <w:tr>
        <w:tblPrEx>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Any omorbidity</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Percentage of large platelets</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Severity_Moderate</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Eosnophils (%)</w:t>
            </w:r>
          </w:p>
        </w:tc>
      </w:tr>
      <w:tr>
        <w:tblPrEx>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Severity_Severe</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RDW-SD</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Severity_Critical</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Mean corpuscular-hemoglobin concentration (g/L)</w:t>
            </w:r>
          </w:p>
        </w:tc>
      </w:tr>
      <w:tr>
        <w:tblPrEx>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Pant</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RDW-CV (g/L)</w:t>
            </w:r>
          </w:p>
        </w:tc>
      </w:tr>
      <w:tr>
        <w:tblPrEx>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Dyspnea</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Thrombocytocrit</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Pharyngalgia</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Neutrophil (%)</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Dizzy</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Procalcitonin (μg/L)</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Anhelation</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Magnesium (mmol/L)</w:t>
            </w:r>
          </w:p>
        </w:tc>
      </w:tr>
      <w:tr>
        <w:tblPrEx>
          <w:shd w:val="clear" w:color="auto" w:fill="auto"/>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Running nose</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Lipoprotein C (g/L)</w:t>
            </w:r>
          </w:p>
        </w:tc>
      </w:tr>
      <w:tr>
        <w:tblPrEx>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Pulse at admission</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LDL-C (mmol/L)</w:t>
            </w:r>
          </w:p>
        </w:tc>
      </w:tr>
      <w:tr>
        <w:tblPrEx>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Respiratory rate  at admission</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Triglyceride (mmol/L)</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Temperature  at admission</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HDL-C (mmol/L)</w:t>
            </w:r>
          </w:p>
        </w:tc>
      </w:tr>
      <w:tr>
        <w:tblPrEx>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Dry rales</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Phosphorus (mmol/L)</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Lymphadenopathy</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IL-8 (pg/ml)</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Shifting dullness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IL-6 (pg/ml)</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Arrhythmia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TNF-α</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Pulse pressure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IL-2R</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Respiratory rate  (nurse)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IL-10</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Temperature (nurse)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hs-cTnI</w:t>
            </w:r>
          </w:p>
        </w:tc>
      </w:tr>
      <w:tr>
        <w:tblPrEx>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Pulse rate (nurse)</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Myohemoglobin (g/L)</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SpO2 (nurse)</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CK-MB (U/L)</w:t>
            </w:r>
          </w:p>
        </w:tc>
      </w:tr>
      <w:tr>
        <w:tblPrEx>
          <w:shd w:val="clear" w:color="auto" w:fill="auto"/>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Systolic pressure (nurse)</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NT-ProBNP (pmol/L)</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Ground glass opacity in radiology</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Creatine kinase (U/L)</w:t>
            </w:r>
          </w:p>
        </w:tc>
      </w:tr>
      <w:tr>
        <w:tblPrEx>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Patchy shadow in radiolgy</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CD3-CD16+CD56+ Natural killer cell count</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Arterial  pH-corrected ionised calcium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CD3+ lymphocyte count</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hs-CRP  (mmol/L</w:t>
            </w:r>
            <w:r>
              <w:rPr>
                <w:rFonts w:hint="eastAsia" w:ascii="宋体" w:hAnsi="宋体" w:eastAsia="宋体" w:cs="宋体"/>
                <w:i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Ts/Tc lymphocytes count</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Total cholesterol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 lymphocyte + B lymphocyte + NK cell count</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Potassium (mmol/L</w:t>
            </w:r>
            <w:r>
              <w:rPr>
                <w:rFonts w:hint="eastAsia" w:ascii="宋体" w:hAnsi="宋体" w:eastAsia="宋体" w:cs="宋体"/>
                <w:i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 Helper/Inducer lymphocytes percentage</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eGFR (ml/min)</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HDL-C+LDL-C</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Total bilirubin (μmol/L)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Hb-F</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GGT (U/L)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Ferritin</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Albumin/globulin</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C3</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LDH (U/L)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HbA1c</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Total calcium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TSH</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Total protein (g/L)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FT3</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Blood urea nitrogen (mmol/L)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Pathological tubular count (urine)</w:t>
            </w:r>
          </w:p>
        </w:tc>
      </w:tr>
      <w:tr>
        <w:tblPrEx>
          <w:shd w:val="clear" w:color="auto" w:fill="auto"/>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Creatinine (μmol/L)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Epithelial cell count  (urine)</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Chloridion</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Tubular count (urine)</w:t>
            </w:r>
          </w:p>
        </w:tc>
      </w:tr>
      <w:tr>
        <w:tblPrEx>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Albumin (g/L)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WBC  (×109/L) (urine)</w:t>
            </w:r>
          </w:p>
        </w:tc>
      </w:tr>
      <w:tr>
        <w:tblPrEx>
          <w:shd w:val="clear" w:color="auto" w:fill="auto"/>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Indirect bilirubin (μmol/L)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pH  (urine)</w:t>
            </w:r>
          </w:p>
        </w:tc>
      </w:tr>
      <w:tr>
        <w:tblPrEx>
          <w:shd w:val="clear" w:color="auto" w:fill="auto"/>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Globulin (g/L)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SG (urine)</w:t>
            </w:r>
          </w:p>
        </w:tc>
      </w:tr>
      <w:tr>
        <w:tblPrEx>
          <w:shd w:val="clear" w:color="auto" w:fill="auto"/>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Direct bilirubin (μmol/L)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RBC (urine)</w:t>
            </w:r>
          </w:p>
        </w:tc>
      </w:tr>
      <w:tr>
        <w:tblPrEx>
          <w:shd w:val="clear" w:color="auto" w:fill="auto"/>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Sodion</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ESR (urine)</w:t>
            </w:r>
          </w:p>
        </w:tc>
      </w:tr>
      <w:tr>
        <w:tblPrEx>
          <w:shd w:val="clear" w:color="auto" w:fill="auto"/>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ALP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Prealbumin   (urine)</w:t>
            </w:r>
          </w:p>
        </w:tc>
      </w:tr>
      <w:tr>
        <w:tblPrEx>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ALT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Cystatin C  </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AST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Cholinesterase  </w:t>
            </w:r>
          </w:p>
        </w:tc>
      </w:tr>
      <w:tr>
        <w:tblPrEx>
          <w:shd w:val="clear" w:color="auto" w:fill="auto"/>
          <w:tblCellMar>
            <w:top w:w="0" w:type="dxa"/>
            <w:left w:w="0" w:type="dxa"/>
            <w:bottom w:w="0" w:type="dxa"/>
            <w:right w:w="0" w:type="dxa"/>
          </w:tblCellMar>
        </w:tblPrEx>
        <w:trPr>
          <w:trHeight w:val="40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Fasting blood-glucose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Glutamate dehydrogenase  </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HBeAg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Arterial carbon dioxide</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HCV-Ab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Arterial SaO2</w:t>
            </w:r>
          </w:p>
        </w:tc>
      </w:tr>
      <w:tr>
        <w:tblPrEx>
          <w:shd w:val="clear" w:color="auto" w:fill="auto"/>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HBcAb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Arterial standard bicarbonate</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HBsAb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Arterial base surplus </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HBeAb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Arterial partial pressure of carbon dioxide </w:t>
            </w:r>
            <w:r>
              <w:rPr>
                <w:rFonts w:hint="eastAsia" w:ascii="宋体" w:hAnsi="宋体" w:eastAsia="宋体" w:cs="宋体"/>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PaCO2</w:t>
            </w:r>
            <w:r>
              <w:rPr>
                <w:rFonts w:hint="eastAsia" w:ascii="宋体" w:hAnsi="宋体" w:eastAsia="宋体" w:cs="宋体"/>
                <w:i w:val="0"/>
                <w:color w:val="000000"/>
                <w:kern w:val="0"/>
                <w:sz w:val="22"/>
                <w:szCs w:val="22"/>
                <w:u w:val="none"/>
                <w:lang w:val="en-US" w:eastAsia="zh-CN" w:bidi="ar"/>
              </w:rPr>
              <w:t>）</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HIV-Ab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Arterial actual bicarbonate </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Hydrocarbonate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Arterial partial pressure of oxygen </w:t>
            </w:r>
            <w:r>
              <w:rPr>
                <w:rFonts w:hint="eastAsia" w:ascii="宋体" w:hAnsi="宋体" w:eastAsia="宋体" w:cs="宋体"/>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PaO2</w:t>
            </w:r>
            <w:r>
              <w:rPr>
                <w:rFonts w:hint="eastAsia" w:ascii="宋体" w:hAnsi="宋体" w:eastAsia="宋体" w:cs="宋体"/>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 xml:space="preserve">  </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Fibrinogen (g/L)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Arterial standard BE </w:t>
            </w:r>
          </w:p>
        </w:tc>
      </w:tr>
      <w:tr>
        <w:tblPrEx>
          <w:tblCellMar>
            <w:top w:w="0" w:type="dxa"/>
            <w:left w:w="0" w:type="dxa"/>
            <w:bottom w:w="0" w:type="dxa"/>
            <w:right w:w="0"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D-Dimer</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Urinary casts count</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APTT (s)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Reticulocyte percentage </w:t>
            </w:r>
          </w:p>
        </w:tc>
      </w:tr>
      <w:tr>
        <w:tblPrEx>
          <w:shd w:val="clear" w:color="auto" w:fill="auto"/>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Fibrinogen degradation products (mg/L)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Percentage of reticulocytes with fluorescence intensity  </w:t>
            </w:r>
          </w:p>
        </w:tc>
      </w:tr>
      <w:tr>
        <w:tblPrEx>
          <w:shd w:val="clear" w:color="auto" w:fill="auto"/>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INR</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Low fluorescence reticulocyte percentage </w:t>
            </w:r>
          </w:p>
        </w:tc>
      </w:tr>
      <w:tr>
        <w:tblPrEx>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PTA (%)</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Immature reticulocyte index </w:t>
            </w:r>
            <w:r>
              <w:rPr>
                <w:rFonts w:ascii="Helvetica Neue" w:hAnsi="Helvetica Neue" w:eastAsia="Helvetica Neue" w:cs="Helvetica Neue"/>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IRF</w:t>
            </w:r>
            <w:r>
              <w:rPr>
                <w:rFonts w:ascii="Helvetica Neue" w:hAnsi="Helvetica Neue" w:eastAsia="Helvetica Neue" w:cs="Helvetica Neue"/>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 xml:space="preserve">  </w:t>
            </w:r>
          </w:p>
        </w:tc>
      </w:tr>
      <w:tr>
        <w:tblPrEx>
          <w:shd w:val="clear" w:color="auto" w:fill="auto"/>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TT (s)</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Reticulocyte count </w:t>
            </w:r>
            <w:r>
              <w:rPr>
                <w:rFonts w:hint="eastAsia" w:ascii="宋体" w:hAnsi="宋体" w:eastAsia="宋体" w:cs="宋体"/>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RET</w:t>
            </w:r>
            <w:r>
              <w:rPr>
                <w:rFonts w:hint="eastAsia" w:ascii="宋体" w:hAnsi="宋体" w:eastAsia="宋体" w:cs="宋体"/>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 xml:space="preserve">  </w:t>
            </w:r>
          </w:p>
        </w:tc>
      </w:tr>
      <w:tr>
        <w:tblPrEx>
          <w:shd w:val="clear" w:color="auto" w:fill="auto"/>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Antithrombin activity</w:t>
            </w:r>
          </w:p>
        </w:tc>
        <w:tc>
          <w:tcPr>
            <w:tcW w:w="51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High fluorescence reticulocyte percentage </w:t>
            </w:r>
            <w:r>
              <w:rPr>
                <w:rFonts w:hint="eastAsia" w:ascii="宋体" w:hAnsi="宋体" w:eastAsia="宋体" w:cs="宋体"/>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HFR</w:t>
            </w:r>
            <w:r>
              <w:rPr>
                <w:rFonts w:hint="eastAsia" w:ascii="宋体" w:hAnsi="宋体" w:eastAsia="宋体" w:cs="宋体"/>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 xml:space="preserve">  </w:t>
            </w:r>
          </w:p>
        </w:tc>
      </w:tr>
      <w:tr>
        <w:tblPrEx>
          <w:shd w:val="clear" w:color="auto" w:fill="auto"/>
          <w:tblCellMar>
            <w:top w:w="0" w:type="dxa"/>
            <w:left w:w="0" w:type="dxa"/>
            <w:bottom w:w="0" w:type="dxa"/>
            <w:right w:w="0" w:type="dxa"/>
          </w:tblCellMar>
        </w:tblPrEx>
        <w:trPr>
          <w:trHeight w:val="280" w:hRule="atLeast"/>
        </w:trPr>
        <w:tc>
          <w:tcPr>
            <w:tcW w:w="386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PT (s)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NSE</w:t>
            </w:r>
          </w:p>
        </w:tc>
      </w:tr>
      <w:tr>
        <w:tblPrEx>
          <w:shd w:val="clear" w:color="auto" w:fill="auto"/>
          <w:tblCellMar>
            <w:top w:w="0" w:type="dxa"/>
            <w:left w:w="0" w:type="dxa"/>
            <w:bottom w:w="0" w:type="dxa"/>
            <w:right w:w="0"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Neutrophil (×10</w:t>
            </w:r>
            <w:r>
              <w:rPr>
                <w:rFonts w:hint="default" w:ascii="Times New Roman" w:hAnsi="Times New Roman" w:eastAsia="宋体" w:cs="Times New Roman"/>
                <w:i w:val="0"/>
                <w:color w:val="000000"/>
                <w:kern w:val="0"/>
                <w:sz w:val="22"/>
                <w:szCs w:val="22"/>
                <w:u w:val="none"/>
                <w:vertAlign w:val="superscript"/>
                <w:lang w:val="en-US" w:eastAsia="zh-CN" w:bidi="ar"/>
              </w:rPr>
              <w:t>9</w:t>
            </w:r>
            <w:r>
              <w:rPr>
                <w:rFonts w:hint="default" w:ascii="Times New Roman" w:hAnsi="Times New Roman" w:eastAsia="宋体" w:cs="Times New Roman"/>
                <w:i w:val="0"/>
                <w:color w:val="000000"/>
                <w:kern w:val="0"/>
                <w:sz w:val="22"/>
                <w:szCs w:val="22"/>
                <w:u w:val="none"/>
                <w:lang w:val="en-US" w:eastAsia="zh-CN" w:bidi="ar"/>
              </w:rPr>
              <w:t>/L)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top"/>
          </w:tcPr>
          <w:p>
            <w:pPr>
              <w:keepNext w:val="0"/>
              <w:keepLines w:val="0"/>
              <w:widowControl/>
              <w:suppressLineNumbers w:val="0"/>
              <w:jc w:val="left"/>
              <w:textAlignment w:val="top"/>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Neutrophils/lymphocyte Ratio(NLR)</w:t>
            </w:r>
          </w:p>
        </w:tc>
      </w:tr>
    </w:tbl>
    <w:p>
      <w:pPr>
        <w:keepNext w:val="0"/>
        <w:keepLines w:val="0"/>
        <w:pageBreakBefore w:val="0"/>
        <w:widowControl/>
        <w:suppressLineNumbers w:val="0"/>
        <w:kinsoku/>
        <w:wordWrap/>
        <w:overflowPunct/>
        <w:topLinePunct w:val="0"/>
        <w:autoSpaceDE/>
        <w:autoSpaceDN/>
        <w:bidi w:val="0"/>
        <w:adjustRightInd/>
        <w:snapToGrid/>
        <w:spacing w:after="157" w:afterLines="50" w:line="35" w:lineRule="atLeast"/>
        <w:jc w:val="left"/>
        <w:textAlignment w:val="auto"/>
        <w:rPr>
          <w:rFonts w:hint="default" w:ascii="Times New Roman" w:hAnsi="Times New Roman" w:eastAsia="宋体" w:cs="Times New Roman"/>
          <w:b/>
          <w:kern w:val="0"/>
          <w:sz w:val="24"/>
          <w:szCs w:val="24"/>
          <w:lang w:val="en-US" w:eastAsia="zh-CN" w:bidi="ar"/>
        </w:rPr>
      </w:pPr>
      <w:r>
        <w:rPr>
          <w:rFonts w:hint="eastAsia" w:ascii="Times New Roman" w:hAnsi="Times New Roman" w:eastAsia="宋体" w:cs="Times New Roman"/>
          <w:b/>
          <w:kern w:val="0"/>
          <w:sz w:val="24"/>
          <w:szCs w:val="24"/>
          <w:lang w:val="en-US" w:eastAsia="zh-CN" w:bidi="ar"/>
        </w:rPr>
        <w:t>APPENDIX B</w:t>
      </w:r>
    </w:p>
    <w:p>
      <w:pPr>
        <w:keepNext w:val="0"/>
        <w:keepLines w:val="0"/>
        <w:pageBreakBefore w:val="0"/>
        <w:widowControl/>
        <w:suppressLineNumbers w:val="0"/>
        <w:kinsoku/>
        <w:wordWrap/>
        <w:overflowPunct/>
        <w:topLinePunct w:val="0"/>
        <w:autoSpaceDE/>
        <w:autoSpaceDN/>
        <w:bidi w:val="0"/>
        <w:adjustRightInd/>
        <w:snapToGrid/>
        <w:spacing w:after="157" w:afterLines="50" w:line="35" w:lineRule="atLeast"/>
        <w:jc w:val="left"/>
        <w:textAlignment w:val="auto"/>
        <w:rPr>
          <w:rFonts w:hint="eastAsia" w:ascii="Times New Roman" w:hAnsi="Times New Roman" w:eastAsia="宋体" w:cs="Times New Roman"/>
          <w:b/>
          <w:kern w:val="0"/>
          <w:sz w:val="24"/>
          <w:szCs w:val="24"/>
          <w:lang w:val="en-US" w:eastAsia="zh-CN" w:bidi="ar"/>
        </w:rPr>
      </w:pPr>
      <w:r>
        <w:rPr>
          <w:rFonts w:hint="eastAsia" w:ascii="Times New Roman" w:hAnsi="Times New Roman" w:eastAsia="宋体" w:cs="Times New Roman"/>
          <w:b/>
          <w:kern w:val="0"/>
          <w:sz w:val="24"/>
          <w:szCs w:val="24"/>
          <w:lang w:val="en-US" w:eastAsia="zh-CN" w:bidi="ar"/>
        </w:rPr>
        <w:t>Data Cleaning and Validity Audit</w:t>
      </w:r>
    </w:p>
    <w:p>
      <w:pPr>
        <w:keepNext w:val="0"/>
        <w:keepLines w:val="0"/>
        <w:widowControl/>
        <w:suppressLineNumbers w:val="0"/>
        <w:spacing w:line="35" w:lineRule="atLeast"/>
        <w:jc w:val="left"/>
        <w:rPr>
          <w:rFonts w:hint="eastAsia" w:ascii="Times New Roman" w:hAnsi="Times New Roman" w:eastAsia="宋体" w:cs="Times New Roman"/>
          <w:b w:val="0"/>
          <w:bCs/>
          <w:kern w:val="0"/>
          <w:sz w:val="24"/>
          <w:szCs w:val="24"/>
          <w:lang w:val="en-US" w:eastAsia="zh-CN" w:bidi="ar"/>
        </w:rPr>
      </w:pPr>
      <w:r>
        <w:rPr>
          <w:rFonts w:hint="eastAsia" w:ascii="Times New Roman" w:hAnsi="Times New Roman" w:eastAsia="宋体" w:cs="Times New Roman"/>
          <w:b/>
          <w:bCs w:val="0"/>
          <w:kern w:val="0"/>
          <w:sz w:val="24"/>
          <w:szCs w:val="24"/>
          <w:lang w:val="en-US" w:eastAsia="zh-CN" w:bidi="ar"/>
        </w:rPr>
        <w:t xml:space="preserve">Imputation for missing data: </w:t>
      </w:r>
      <w:r>
        <w:rPr>
          <w:rFonts w:hint="eastAsia" w:ascii="Times New Roman" w:hAnsi="Times New Roman" w:eastAsia="宋体" w:cs="Times New Roman"/>
          <w:b w:val="0"/>
          <w:bCs/>
          <w:kern w:val="0"/>
          <w:sz w:val="24"/>
          <w:szCs w:val="24"/>
          <w:lang w:val="en-US" w:eastAsia="zh-CN" w:bidi="ar"/>
        </w:rPr>
        <w:t xml:space="preserve">Missing data were frequently observed in extracted data from electronic medical records, and we have applied several imputation approaches to address these missing data in our current study. For continuous variables, e.g. laboratory testing result, age, weight, data filling effort has been made using median, mode, and mean. Median value was finally selected. For discrete variables, e.g. clinical symptoms, we imputed data as </w:t>
      </w:r>
      <w:r>
        <w:rPr>
          <w:rFonts w:hint="default" w:ascii="Times New Roman" w:hAnsi="Times New Roman" w:eastAsia="宋体" w:cs="Times New Roman"/>
          <w:b w:val="0"/>
          <w:bCs/>
          <w:kern w:val="0"/>
          <w:sz w:val="24"/>
          <w:szCs w:val="24"/>
          <w:lang w:val="en-US" w:eastAsia="zh-CN" w:bidi="ar"/>
        </w:rPr>
        <w:t>“</w:t>
      </w:r>
      <w:r>
        <w:rPr>
          <w:rFonts w:hint="eastAsia" w:ascii="Times New Roman" w:hAnsi="Times New Roman" w:eastAsia="宋体" w:cs="Times New Roman"/>
          <w:b w:val="0"/>
          <w:bCs/>
          <w:kern w:val="0"/>
          <w:sz w:val="24"/>
          <w:szCs w:val="24"/>
          <w:lang w:val="en-US" w:eastAsia="zh-CN" w:bidi="ar"/>
        </w:rPr>
        <w:t>No</w:t>
      </w:r>
      <w:r>
        <w:rPr>
          <w:rFonts w:hint="default" w:ascii="Times New Roman" w:hAnsi="Times New Roman" w:eastAsia="宋体" w:cs="Times New Roman"/>
          <w:b w:val="0"/>
          <w:bCs/>
          <w:kern w:val="0"/>
          <w:sz w:val="24"/>
          <w:szCs w:val="24"/>
          <w:lang w:val="en-US" w:eastAsia="zh-CN" w:bidi="ar"/>
        </w:rPr>
        <w:t>”</w:t>
      </w:r>
      <w:r>
        <w:rPr>
          <w:rFonts w:hint="eastAsia" w:ascii="Times New Roman" w:hAnsi="Times New Roman" w:eastAsia="宋体" w:cs="Times New Roman"/>
          <w:b w:val="0"/>
          <w:bCs/>
          <w:kern w:val="0"/>
          <w:sz w:val="24"/>
          <w:szCs w:val="24"/>
          <w:lang w:val="en-US" w:eastAsia="zh-CN" w:bidi="ar"/>
        </w:rPr>
        <w:t>. Since most data were extracted from texts in electronic medical records, it is most likely that the result were negative.</w:t>
      </w:r>
    </w:p>
    <w:p>
      <w:pPr>
        <w:keepNext w:val="0"/>
        <w:keepLines w:val="0"/>
        <w:widowControl/>
        <w:suppressLineNumbers w:val="0"/>
        <w:spacing w:line="35" w:lineRule="atLeast"/>
        <w:jc w:val="left"/>
        <w:rPr>
          <w:rFonts w:hint="default" w:ascii="Times New Roman" w:hAnsi="Times New Roman" w:eastAsia="宋体" w:cs="Times New Roman"/>
          <w:b w:val="0"/>
          <w:bCs/>
          <w:kern w:val="0"/>
          <w:sz w:val="24"/>
          <w:szCs w:val="24"/>
          <w:lang w:val="en-US" w:eastAsia="zh-CN" w:bidi="ar"/>
        </w:rPr>
      </w:pPr>
    </w:p>
    <w:p>
      <w:pPr>
        <w:keepNext w:val="0"/>
        <w:keepLines w:val="0"/>
        <w:widowControl/>
        <w:suppressLineNumbers w:val="0"/>
        <w:spacing w:line="35" w:lineRule="atLeast"/>
        <w:jc w:val="left"/>
        <w:rPr>
          <w:rFonts w:hint="eastAsia" w:ascii="Times New Roman" w:hAnsi="Times New Roman" w:eastAsia="宋体" w:cs="Times New Roman"/>
          <w:b w:val="0"/>
          <w:bCs/>
          <w:kern w:val="0"/>
          <w:sz w:val="24"/>
          <w:szCs w:val="24"/>
          <w:lang w:val="en-US" w:eastAsia="zh-CN" w:bidi="ar"/>
        </w:rPr>
      </w:pPr>
      <w:r>
        <w:rPr>
          <w:rFonts w:hint="default" w:ascii="Times New Roman" w:hAnsi="Times New Roman" w:eastAsia="宋体" w:cs="Times New Roman"/>
          <w:b/>
          <w:bCs w:val="0"/>
          <w:kern w:val="0"/>
          <w:sz w:val="24"/>
          <w:szCs w:val="24"/>
          <w:lang w:val="en-US" w:eastAsia="zh-CN" w:bidi="ar"/>
        </w:rPr>
        <w:t xml:space="preserve">Consistency </w:t>
      </w:r>
      <w:r>
        <w:rPr>
          <w:rFonts w:hint="eastAsia" w:ascii="Times New Roman" w:hAnsi="Times New Roman" w:eastAsia="宋体" w:cs="Times New Roman"/>
          <w:b/>
          <w:bCs w:val="0"/>
          <w:kern w:val="0"/>
          <w:sz w:val="24"/>
          <w:szCs w:val="24"/>
          <w:lang w:val="en-US" w:eastAsia="zh-CN" w:bidi="ar"/>
        </w:rPr>
        <w:t>ch</w:t>
      </w:r>
      <w:r>
        <w:rPr>
          <w:rFonts w:hint="default" w:ascii="Times New Roman" w:hAnsi="Times New Roman" w:eastAsia="宋体" w:cs="Times New Roman"/>
          <w:b/>
          <w:bCs w:val="0"/>
          <w:kern w:val="0"/>
          <w:sz w:val="24"/>
          <w:szCs w:val="24"/>
          <w:lang w:val="en-US" w:eastAsia="zh-CN" w:bidi="ar"/>
        </w:rPr>
        <w:t>eck</w:t>
      </w:r>
      <w:r>
        <w:rPr>
          <w:rFonts w:hint="eastAsia" w:ascii="Times New Roman" w:hAnsi="Times New Roman" w:eastAsia="宋体" w:cs="Times New Roman"/>
          <w:b w:val="0"/>
          <w:bCs/>
          <w:kern w:val="0"/>
          <w:sz w:val="24"/>
          <w:szCs w:val="24"/>
          <w:lang w:val="en-US" w:eastAsia="zh-CN" w:bidi="ar"/>
        </w:rPr>
        <w:t>: Consistences of data format (character, numeric) and data unit were carefully checked. Particularly for numeric data, all units were standardized.</w:t>
      </w:r>
    </w:p>
    <w:p>
      <w:pPr>
        <w:keepNext w:val="0"/>
        <w:keepLines w:val="0"/>
        <w:widowControl/>
        <w:suppressLineNumbers w:val="0"/>
        <w:spacing w:line="35" w:lineRule="atLeast"/>
        <w:jc w:val="left"/>
        <w:rPr>
          <w:rFonts w:hint="eastAsia" w:ascii="Times New Roman" w:hAnsi="Times New Roman" w:eastAsia="宋体" w:cs="Times New Roman"/>
          <w:b w:val="0"/>
          <w:bCs/>
          <w:kern w:val="0"/>
          <w:sz w:val="24"/>
          <w:szCs w:val="24"/>
          <w:lang w:val="en-US" w:eastAsia="zh-CN" w:bidi="ar"/>
        </w:rPr>
      </w:pPr>
    </w:p>
    <w:p>
      <w:pPr>
        <w:keepNext w:val="0"/>
        <w:keepLines w:val="0"/>
        <w:widowControl/>
        <w:suppressLineNumbers w:val="0"/>
        <w:spacing w:line="35" w:lineRule="atLeast"/>
        <w:jc w:val="left"/>
        <w:rPr>
          <w:rFonts w:hint="default" w:ascii="Times New Roman" w:hAnsi="Times New Roman" w:cs="Times New Roman"/>
          <w:sz w:val="24"/>
          <w:szCs w:val="24"/>
          <w:highlight w:val="none"/>
          <w:lang w:val="en-US" w:eastAsia="zh-CN"/>
        </w:rPr>
      </w:pPr>
      <w:r>
        <w:rPr>
          <w:rFonts w:hint="default" w:ascii="Times New Roman" w:hAnsi="Times New Roman" w:eastAsia="宋体" w:cs="Times New Roman"/>
          <w:b/>
          <w:bCs/>
          <w:sz w:val="24"/>
          <w:szCs w:val="24"/>
        </w:rPr>
        <w:t>Normalization</w:t>
      </w:r>
      <w:r>
        <w:rPr>
          <w:rFonts w:hint="default" w:ascii="Times New Roman" w:hAnsi="Times New Roman" w:eastAsia="宋体" w:cs="Times New Roman"/>
          <w:b/>
          <w:bCs/>
          <w:sz w:val="24"/>
          <w:szCs w:val="24"/>
          <w:lang w:val="en-US" w:eastAsia="zh-CN"/>
        </w:rPr>
        <w:t>:</w:t>
      </w:r>
      <w:r>
        <w:rPr>
          <w:rFonts w:hint="default" w:ascii="Times New Roman" w:hAnsi="Times New Roman" w:eastAsia="宋体" w:cs="Times New Roman"/>
          <w:sz w:val="24"/>
          <w:szCs w:val="24"/>
          <w:lang w:val="en-US" w:eastAsia="zh-CN"/>
        </w:rPr>
        <w:t xml:space="preserve"> </w:t>
      </w:r>
      <w:r>
        <w:rPr>
          <w:rFonts w:hint="default" w:ascii="Times New Roman" w:hAnsi="Times New Roman" w:cs="Times New Roman"/>
          <w:sz w:val="24"/>
          <w:szCs w:val="24"/>
          <w:lang w:val="en-US" w:eastAsia="zh-CN"/>
        </w:rPr>
        <w:t xml:space="preserve">Z-score and Min-max Scalar have been applied </w:t>
      </w:r>
      <w:r>
        <w:rPr>
          <w:rFonts w:hint="eastAsia" w:ascii="Times New Roman" w:hAnsi="Times New Roman" w:cs="Times New Roman"/>
          <w:sz w:val="24"/>
          <w:szCs w:val="24"/>
          <w:lang w:val="en-US" w:eastAsia="zh-CN"/>
        </w:rPr>
        <w:t>for removing the mean and scaling to unit variance. Z-score was proved with superior performance in normalization than m</w:t>
      </w:r>
      <w:r>
        <w:rPr>
          <w:rFonts w:hint="default" w:ascii="Times New Roman" w:hAnsi="Times New Roman" w:cs="Times New Roman"/>
          <w:sz w:val="24"/>
          <w:szCs w:val="24"/>
          <w:lang w:val="en-US" w:eastAsia="zh-CN"/>
        </w:rPr>
        <w:t>in-max Scalar</w:t>
      </w:r>
      <w:r>
        <w:rPr>
          <w:rFonts w:hint="eastAsia" w:ascii="Times New Roman" w:hAnsi="Times New Roman" w:cs="Times New Roman"/>
          <w:sz w:val="24"/>
          <w:szCs w:val="24"/>
          <w:lang w:val="en-US" w:eastAsia="zh-CN"/>
        </w:rPr>
        <w:t xml:space="preserve"> and therefore was used. The formula was </w:t>
      </w:r>
      <w:r>
        <w:rPr>
          <w:rFonts w:hint="default" w:ascii="Times New Roman" w:hAnsi="Times New Roman" w:cs="Times New Roman"/>
          <w:sz w:val="24"/>
          <w:szCs w:val="24"/>
          <w:lang w:eastAsia="zh-CN"/>
        </w:rPr>
        <w:t>x*=(x-μ)/</w:t>
      </w:r>
      <w:r>
        <w:rPr>
          <w:rFonts w:hint="default" w:ascii="Times New Roman" w:hAnsi="Times New Roman" w:cs="Times New Roman"/>
          <w:sz w:val="24"/>
          <w:szCs w:val="24"/>
          <w:lang w:val="en-US" w:eastAsia="zh-CN"/>
        </w:rPr>
        <w:t>σ.</w:t>
      </w:r>
    </w:p>
    <w:p>
      <w:pPr>
        <w:keepNext w:val="0"/>
        <w:keepLines w:val="0"/>
        <w:widowControl/>
        <w:suppressLineNumbers w:val="0"/>
        <w:spacing w:line="35" w:lineRule="atLeast"/>
        <w:jc w:val="left"/>
        <w:rPr>
          <w:rFonts w:hint="default" w:ascii="Times New Roman" w:hAnsi="Times New Roman" w:cs="Times New Roman"/>
          <w:sz w:val="24"/>
          <w:szCs w:val="24"/>
          <w:highlight w:val="none"/>
          <w:lang w:val="en-US" w:eastAsia="zh-CN"/>
        </w:rPr>
      </w:pPr>
    </w:p>
    <w:p>
      <w:pPr>
        <w:rPr>
          <w:rFonts w:hint="default"/>
        </w:rPr>
      </w:pPr>
    </w:p>
    <w:p>
      <w:pPr>
        <w:keepNext w:val="0"/>
        <w:keepLines w:val="0"/>
        <w:pageBreakBefore w:val="0"/>
        <w:widowControl/>
        <w:suppressLineNumbers w:val="0"/>
        <w:kinsoku/>
        <w:wordWrap/>
        <w:overflowPunct/>
        <w:topLinePunct w:val="0"/>
        <w:autoSpaceDE/>
        <w:autoSpaceDN/>
        <w:bidi w:val="0"/>
        <w:adjustRightInd/>
        <w:snapToGrid/>
        <w:spacing w:after="157" w:afterLines="50" w:line="35" w:lineRule="atLeast"/>
        <w:jc w:val="left"/>
        <w:textAlignment w:val="auto"/>
        <w:rPr>
          <w:rFonts w:hint="default" w:ascii="Times New Roman" w:hAnsi="Times New Roman" w:eastAsia="宋体" w:cs="Times New Roman"/>
          <w:b/>
          <w:kern w:val="0"/>
          <w:sz w:val="24"/>
          <w:szCs w:val="24"/>
          <w:lang w:val="en-US" w:eastAsia="zh-CN" w:bidi="ar"/>
        </w:rPr>
      </w:pPr>
      <w:r>
        <w:rPr>
          <w:rFonts w:hint="default" w:ascii="Times New Roman" w:hAnsi="Times New Roman" w:eastAsia="宋体" w:cs="Times New Roman"/>
          <w:b/>
          <w:kern w:val="0"/>
          <w:sz w:val="24"/>
          <w:szCs w:val="24"/>
          <w:lang w:val="en-US" w:eastAsia="zh-CN" w:bidi="ar"/>
        </w:rPr>
        <w:t xml:space="preserve">Modeling </w:t>
      </w:r>
      <w:r>
        <w:rPr>
          <w:rFonts w:hint="eastAsia" w:ascii="Times New Roman" w:hAnsi="Times New Roman" w:eastAsia="宋体" w:cs="Times New Roman"/>
          <w:b/>
          <w:kern w:val="0"/>
          <w:sz w:val="24"/>
          <w:szCs w:val="24"/>
          <w:lang w:val="en-US" w:eastAsia="zh-CN" w:bidi="ar"/>
        </w:rPr>
        <w:t>D</w:t>
      </w:r>
      <w:r>
        <w:rPr>
          <w:rFonts w:hint="default" w:ascii="Times New Roman" w:hAnsi="Times New Roman" w:eastAsia="宋体" w:cs="Times New Roman"/>
          <w:b/>
          <w:kern w:val="0"/>
          <w:sz w:val="24"/>
          <w:szCs w:val="24"/>
          <w:lang w:val="en-US" w:eastAsia="zh-CN" w:bidi="ar"/>
        </w:rPr>
        <w:t>evelopment</w:t>
      </w:r>
    </w:p>
    <w:p>
      <w:pPr>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Features selection</w:t>
      </w:r>
    </w:p>
    <w:p>
      <w:pPr>
        <w:rPr>
          <w:rFonts w:hint="eastAsia" w:ascii="Times New Roman" w:hAnsi="Times New Roman" w:cs="Times New Roman"/>
          <w:color w:val="auto"/>
          <w:sz w:val="24"/>
          <w:szCs w:val="24"/>
          <w:highlight w:val="none"/>
          <w:lang w:val="en-US" w:eastAsia="zh-CN"/>
        </w:rPr>
      </w:pPr>
      <w:r>
        <w:rPr>
          <w:rFonts w:hint="eastAsia" w:ascii="Times New Roman" w:hAnsi="Times New Roman" w:eastAsia="宋体" w:cs="Times New Roman"/>
          <w:sz w:val="24"/>
          <w:szCs w:val="24"/>
          <w:lang w:val="en-US" w:eastAsia="zh-CN"/>
        </w:rPr>
        <w:t xml:space="preserve">A total of 1,226 features were initially extracted from medical records. Univariate chi-square and t-test were used to compare the distribution differences between survivor and non-survivor group. </w:t>
      </w:r>
      <w:r>
        <w:rPr>
          <w:rFonts w:hint="eastAsia" w:ascii="Times New Roman" w:hAnsi="Times New Roman" w:cs="Times New Roman"/>
          <w:sz w:val="24"/>
          <w:szCs w:val="24"/>
          <w:highlight w:val="none"/>
          <w:lang w:val="en-US" w:eastAsia="zh-CN"/>
        </w:rPr>
        <w:t>Eventually, 152 features with</w:t>
      </w:r>
      <w:r>
        <w:rPr>
          <w:rFonts w:hint="default" w:ascii="Times New Roman" w:hAnsi="Times New Roman" w:cs="Times New Roman"/>
          <w:sz w:val="24"/>
          <w:szCs w:val="24"/>
          <w:highlight w:val="none"/>
          <w:lang w:val="en-US" w:eastAsia="zh-CN"/>
        </w:rPr>
        <w:t xml:space="preserve"> p≤0.05</w:t>
      </w:r>
      <w:r>
        <w:rPr>
          <w:rFonts w:hint="eastAsia" w:ascii="Times New Roman" w:hAnsi="Times New Roman" w:cs="Times New Roman"/>
          <w:sz w:val="24"/>
          <w:szCs w:val="24"/>
          <w:highlight w:val="none"/>
          <w:lang w:val="en-US" w:eastAsia="zh-CN"/>
        </w:rPr>
        <w:t xml:space="preserve"> were selected out of total 1,226 features for further model development. Study participants were randomly assigned to training (8</w:t>
      </w:r>
      <w:r>
        <w:rPr>
          <w:rFonts w:hint="eastAsia" w:ascii="Times New Roman" w:hAnsi="Times New Roman" w:cs="Times New Roman"/>
          <w:color w:val="auto"/>
          <w:sz w:val="24"/>
          <w:szCs w:val="24"/>
          <w:highlight w:val="none"/>
          <w:lang w:val="en-US" w:eastAsia="zh-CN"/>
        </w:rPr>
        <w:t>0%) and testing (20%) sets. 5-fold cross validation test was conduced in full set. Random assignment of training and testing set was repeated if differences of AUC was larger than 0.05 between these two sets. Final result of AUC was calculated based on full set, as AUC based on testing set was not stable, especially in classifying non-severe (mild, moderate) and severe (severe and critically ill) cases. Optimal threshold values was selected based on highest Youden index. Each patients</w:t>
      </w:r>
      <w:r>
        <w:rPr>
          <w:rFonts w:hint="default" w:ascii="Times New Roman" w:hAnsi="Times New Roman" w:cs="Times New Roman"/>
          <w:color w:val="auto"/>
          <w:sz w:val="24"/>
          <w:szCs w:val="24"/>
          <w:highlight w:val="none"/>
          <w:lang w:val="en-US" w:eastAsia="zh-CN"/>
        </w:rPr>
        <w:t>’</w:t>
      </w:r>
      <w:r>
        <w:rPr>
          <w:rFonts w:hint="eastAsia" w:ascii="Times New Roman" w:hAnsi="Times New Roman" w:cs="Times New Roman"/>
          <w:color w:val="auto"/>
          <w:sz w:val="24"/>
          <w:szCs w:val="24"/>
          <w:highlight w:val="none"/>
          <w:lang w:val="en-US" w:eastAsia="zh-CN"/>
        </w:rPr>
        <w:t xml:space="preserve"> data were transformed and contained 152 features, which was then randomly assigned to either training set (80%, n=2,339) or testing set (20%, n=585). Models were trained in the training set, and 5-fold areas were calculated based on testing set for further model comparisons. </w:t>
      </w:r>
    </w:p>
    <w:p>
      <w:pPr>
        <w:ind w:firstLine="420" w:firstLineChars="0"/>
        <w:rPr>
          <w:rFonts w:hint="eastAsia" w:ascii="Times New Roman" w:hAnsi="Times New Roman" w:cs="Times New Roman"/>
          <w:sz w:val="24"/>
          <w:szCs w:val="24"/>
          <w:highlight w:val="none"/>
          <w:lang w:val="en-US" w:eastAsia="zh-CN"/>
        </w:rPr>
      </w:pPr>
    </w:p>
    <w:p>
      <w:pPr>
        <w:rPr>
          <w:rFonts w:hint="eastAsia" w:ascii="Times New Roman" w:hAnsi="Times New Roman" w:cs="Times New Roman"/>
          <w:b/>
          <w:bCs/>
          <w:sz w:val="24"/>
          <w:szCs w:val="24"/>
          <w:highlight w:val="none"/>
          <w:lang w:val="en-US" w:eastAsia="zh-CN"/>
        </w:rPr>
      </w:pPr>
      <w:r>
        <w:rPr>
          <w:rFonts w:hint="eastAsia" w:ascii="Times New Roman" w:hAnsi="Times New Roman" w:cs="Times New Roman"/>
          <w:b/>
          <w:bCs/>
          <w:sz w:val="24"/>
          <w:szCs w:val="24"/>
          <w:highlight w:val="none"/>
          <w:lang w:val="en-US" w:eastAsia="zh-CN"/>
        </w:rPr>
        <w:t>GBDT modeling</w:t>
      </w:r>
    </w:p>
    <w:p>
      <w:pPr>
        <w:rPr>
          <w:rFonts w:hint="default" w:ascii="Times New Roman" w:hAnsi="Times New Roman" w:cs="Times New Roman"/>
          <w:sz w:val="24"/>
          <w:szCs w:val="24"/>
          <w:highlight w:val="none"/>
          <w:lang w:val="en-US" w:eastAsia="zh-CN"/>
        </w:rPr>
      </w:pPr>
      <w:r>
        <w:rPr>
          <w:rFonts w:hint="eastAsia" w:ascii="Times New Roman" w:hAnsi="Times New Roman" w:cs="Times New Roman"/>
          <w:sz w:val="24"/>
          <w:szCs w:val="24"/>
          <w:highlight w:val="none"/>
          <w:lang w:val="en-US" w:eastAsia="zh-CN"/>
        </w:rPr>
        <w:t>GBDT modeling has been applied extensively in prediction model due to its advantages of insensitive to missing data, no need of standardization, and was able to rank the features based on their ability of prediction. We trained the GBDT model with 152 features, and the final model retains 83 features. The parameters applied in GBDT were as below:</w:t>
      </w:r>
    </w:p>
    <w:p>
      <w:pPr>
        <w:rPr>
          <w:rFonts w:hint="eastAsia" w:ascii="Times New Roman" w:hAnsi="Times New Roman" w:cs="Times New Roman"/>
          <w:sz w:val="24"/>
          <w:szCs w:val="24"/>
          <w:lang w:val="en-US" w:eastAsia="zh-CN"/>
        </w:rPr>
      </w:pPr>
      <w:r>
        <w:rPr>
          <w:rFonts w:hint="default" w:ascii="Times New Roman" w:hAnsi="Times New Roman" w:cs="Times New Roman"/>
          <w:sz w:val="24"/>
          <w:szCs w:val="24"/>
          <w:lang w:eastAsia="zh-CN"/>
        </w:rPr>
        <w:t>col_sample_bytree: 0.362,learning_rate: 0.22,max_depth: 3, n_estimators: 50</w:t>
      </w:r>
      <w:r>
        <w:rPr>
          <w:rFonts w:hint="eastAsia" w:ascii="Times New Roman" w:hAnsi="Times New Roman" w:cs="Times New Roman"/>
          <w:sz w:val="24"/>
          <w:szCs w:val="24"/>
          <w:lang w:val="en-US" w:eastAsia="zh-CN"/>
        </w:rPr>
        <w:t>.</w:t>
      </w:r>
    </w:p>
    <w:p>
      <w:pPr>
        <w:rPr>
          <w:rFonts w:hint="eastAsia" w:ascii="Times New Roman" w:hAnsi="Times New Roman" w:cs="Times New Roman"/>
          <w:sz w:val="24"/>
          <w:szCs w:val="24"/>
          <w:lang w:val="en-US" w:eastAsia="zh-CN"/>
        </w:rPr>
      </w:pPr>
    </w:p>
    <w:p>
      <w:pPr>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Logistic regression (LR) modeling</w:t>
      </w:r>
    </w:p>
    <w:p>
      <w:pPr>
        <w:rPr>
          <w:rFonts w:hint="default" w:ascii="Times New Roman" w:hAnsi="Times New Roman" w:eastAsia="宋体" w:cs="Times New Roman"/>
          <w:sz w:val="24"/>
          <w:szCs w:val="24"/>
          <w:lang w:val="en-US" w:eastAsia="zh-CN"/>
        </w:rPr>
      </w:pPr>
      <w:r>
        <w:rPr>
          <w:rFonts w:hint="eastAsia" w:ascii="Times New Roman" w:hAnsi="Times New Roman" w:cs="Times New Roman"/>
          <w:b w:val="0"/>
          <w:bCs w:val="0"/>
          <w:sz w:val="24"/>
          <w:szCs w:val="24"/>
          <w:lang w:val="en-US" w:eastAsia="zh-CN"/>
        </w:rPr>
        <w:t xml:space="preserve">LR is a linear model providing high efficiency and results that are easy to be interpreted. As LR is requiring </w:t>
      </w:r>
      <w:r>
        <w:rPr>
          <w:rFonts w:hint="default" w:ascii="Times New Roman" w:hAnsi="Times New Roman" w:cs="Times New Roman"/>
          <w:b w:val="0"/>
          <w:bCs w:val="0"/>
          <w:sz w:val="24"/>
          <w:szCs w:val="24"/>
          <w:lang w:val="en-US" w:eastAsia="zh-CN"/>
        </w:rPr>
        <w:t xml:space="preserve">data </w:t>
      </w:r>
      <w:r>
        <w:rPr>
          <w:rFonts w:hint="default" w:ascii="Times New Roman" w:hAnsi="Times New Roman" w:eastAsia="宋体" w:cs="Times New Roman"/>
          <w:sz w:val="24"/>
          <w:szCs w:val="24"/>
        </w:rPr>
        <w:t>regularization</w:t>
      </w:r>
      <w:r>
        <w:rPr>
          <w:rFonts w:hint="eastAsia" w:ascii="Times New Roman" w:hAnsi="Times New Roman" w:eastAsia="宋体" w:cs="Times New Roman"/>
          <w:sz w:val="24"/>
          <w:szCs w:val="24"/>
          <w:lang w:val="en-US" w:eastAsia="zh-CN"/>
        </w:rPr>
        <w:t xml:space="preserve">, L1 and L2 </w:t>
      </w:r>
      <w:r>
        <w:rPr>
          <w:rFonts w:hint="default" w:ascii="Times New Roman" w:hAnsi="Times New Roman" w:eastAsia="宋体" w:cs="Times New Roman"/>
          <w:sz w:val="24"/>
          <w:szCs w:val="24"/>
        </w:rPr>
        <w:t>regularization</w:t>
      </w:r>
      <w:r>
        <w:rPr>
          <w:rFonts w:hint="eastAsia" w:ascii="Times New Roman" w:hAnsi="Times New Roman" w:eastAsia="宋体" w:cs="Times New Roman"/>
          <w:sz w:val="24"/>
          <w:szCs w:val="24"/>
          <w:lang w:val="en-US" w:eastAsia="zh-CN"/>
        </w:rPr>
        <w:t xml:space="preserve"> parameters were applied to convert </w:t>
      </w:r>
      <w:r>
        <w:rPr>
          <w:rFonts w:hint="default" w:ascii="Times New Roman" w:hAnsi="Times New Roman" w:eastAsia="宋体" w:cs="Times New Roman"/>
          <w:sz w:val="24"/>
          <w:szCs w:val="24"/>
        </w:rPr>
        <w:t>regularization</w:t>
      </w:r>
      <w:r>
        <w:rPr>
          <w:rFonts w:hint="eastAsia" w:ascii="Times New Roman" w:hAnsi="Times New Roman" w:eastAsia="宋体" w:cs="Times New Roman"/>
          <w:sz w:val="24"/>
          <w:szCs w:val="24"/>
          <w:lang w:val="en-US" w:eastAsia="zh-CN"/>
        </w:rPr>
        <w:t xml:space="preserve"> for continuous variables. L2 was finally chose to conduct data </w:t>
      </w:r>
      <w:r>
        <w:rPr>
          <w:rFonts w:hint="default" w:ascii="Times New Roman" w:hAnsi="Times New Roman" w:eastAsia="宋体" w:cs="Times New Roman"/>
          <w:sz w:val="24"/>
          <w:szCs w:val="24"/>
        </w:rPr>
        <w:t>regularization</w:t>
      </w:r>
      <w:r>
        <w:rPr>
          <w:rFonts w:hint="eastAsia" w:ascii="Times New Roman" w:hAnsi="Times New Roman" w:eastAsia="宋体" w:cs="Times New Roman"/>
          <w:sz w:val="24"/>
          <w:szCs w:val="24"/>
          <w:lang w:val="en-US" w:eastAsia="zh-CN"/>
        </w:rPr>
        <w:t xml:space="preserve"> for its superior performance compared with L1.</w:t>
      </w:r>
    </w:p>
    <w:p>
      <w:pPr>
        <w:rPr>
          <w:rFonts w:hint="eastAsia" w:ascii="Times New Roman" w:hAnsi="Times New Roman" w:eastAsia="宋体" w:cs="Times New Roman"/>
          <w:sz w:val="24"/>
          <w:szCs w:val="24"/>
          <w:lang w:val="en-US" w:eastAsia="zh-CN"/>
        </w:rPr>
      </w:pPr>
    </w:p>
    <w:p>
      <w:pPr>
        <w:numPr>
          <w:ilvl w:val="0"/>
          <w:numId w:val="1"/>
        </w:numPr>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index LR modeling</w:t>
      </w:r>
    </w:p>
    <w:p>
      <w:pPr>
        <w:numPr>
          <w:ilvl w:val="0"/>
          <w:numId w:val="0"/>
        </w:numPr>
        <w:rPr>
          <w:rFonts w:hint="eastAsia" w:ascii="Times New Roman" w:hAnsi="Times New Roman" w:cs="Times New Roman"/>
          <w:lang w:val="en-US" w:eastAsia="zh-CN"/>
        </w:rPr>
      </w:pPr>
      <w:r>
        <w:rPr>
          <w:rFonts w:hint="eastAsia" w:ascii="Times New Roman" w:hAnsi="Times New Roman" w:cs="Times New Roman"/>
          <w:b w:val="0"/>
          <w:bCs w:val="0"/>
          <w:sz w:val="24"/>
          <w:szCs w:val="24"/>
          <w:lang w:val="en-US" w:eastAsia="zh-CN"/>
        </w:rPr>
        <w:t xml:space="preserve">In order to make our LR model more user-friendly for clinicians, we also developed a simplified LR model using only five features selected by stepwise regression. The five features in 5-index LR model were serum lactic dehydrogenase (LDH), urea, leukomonocyte (%), </w:t>
      </w:r>
      <w:r>
        <w:rPr>
          <w:rFonts w:hint="default" w:ascii="Times New Roman" w:hAnsi="Times New Roman" w:cs="Times New Roman"/>
          <w:b w:val="0"/>
          <w:bCs w:val="0"/>
          <w:sz w:val="24"/>
          <w:szCs w:val="24"/>
          <w:lang w:val="en-US" w:eastAsia="zh-CN"/>
        </w:rPr>
        <w:t xml:space="preserve">age and </w:t>
      </w:r>
      <w:r>
        <w:rPr>
          <w:rFonts w:hint="default" w:ascii="Times New Roman" w:hAnsi="Times New Roman" w:cs="Times New Roman"/>
        </w:rPr>
        <w:t>S</w:t>
      </w:r>
      <w:r>
        <w:rPr>
          <w:rFonts w:hint="eastAsia" w:ascii="Times New Roman" w:hAnsi="Times New Roman" w:cs="Times New Roman"/>
          <w:lang w:val="en-US" w:eastAsia="zh-CN"/>
        </w:rPr>
        <w:t>P</w:t>
      </w:r>
      <w:r>
        <w:rPr>
          <w:rFonts w:hint="default" w:ascii="Times New Roman" w:hAnsi="Times New Roman" w:cs="Times New Roman"/>
        </w:rPr>
        <w:t>O2</w:t>
      </w:r>
      <w:r>
        <w:rPr>
          <w:rFonts w:hint="eastAsia" w:ascii="Times New Roman" w:hAnsi="Times New Roman" w:cs="Times New Roman"/>
          <w:lang w:val="en-US" w:eastAsia="zh-CN"/>
        </w:rPr>
        <w:t>.</w:t>
      </w:r>
    </w:p>
    <w:p>
      <w:pPr>
        <w:numPr>
          <w:ilvl w:val="0"/>
          <w:numId w:val="0"/>
        </w:numPr>
        <w:rPr>
          <w:rFonts w:hint="eastAsia" w:ascii="Times New Roman" w:hAnsi="Times New Roman" w:cs="Times New Roman"/>
          <w:lang w:val="en-US" w:eastAsia="zh-CN"/>
        </w:rPr>
      </w:pPr>
    </w:p>
    <w:p>
      <w:pPr>
        <w:numPr>
          <w:ilvl w:val="0"/>
          <w:numId w:val="0"/>
        </w:numPr>
        <w:rPr>
          <w:rFonts w:hint="default"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5-index LR modeling on filled</w:t>
      </w:r>
    </w:p>
    <w:p>
      <w:pPr>
        <w:numPr>
          <w:ilvl w:val="0"/>
          <w:numId w:val="0"/>
        </w:numP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Additional 5-index model based on nonmissing data of five selected features containing in 5-index LR model was also performed. Total 2,348 survivors and 192 non-survivors were retained in this filled dataset.</w:t>
      </w:r>
    </w:p>
    <w:p>
      <w:pPr>
        <w:rPr>
          <w:rFonts w:hint="eastAsia"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textAlignment w:val="auto"/>
        <w:rPr>
          <w:rFonts w:hint="eastAsia"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textAlignment w:val="auto"/>
        <w:rPr>
          <w:rFonts w:hint="eastAsia" w:ascii="Times New Roman" w:hAnsi="Times New Roman" w:cs="Times New Roman"/>
          <w:b w:val="0"/>
          <w:bCs w:val="0"/>
          <w:sz w:val="24"/>
          <w:szCs w:val="24"/>
          <w:lang w:val="en-US" w:eastAsia="zh-CN"/>
        </w:rPr>
      </w:pPr>
      <w:r>
        <w:rPr>
          <w:rFonts w:hint="eastAsia" w:ascii="Times New Roman" w:hAnsi="Times New Roman" w:cs="Times New Roman"/>
          <w:b/>
          <w:bCs/>
          <w:sz w:val="24"/>
          <w:szCs w:val="24"/>
          <w:lang w:val="en-US" w:eastAsia="zh-CN"/>
        </w:rPr>
        <w:t xml:space="preserve">APPEDIX C  </w:t>
      </w:r>
      <w:r>
        <w:rPr>
          <w:rFonts w:hint="eastAsia" w:ascii="Times New Roman" w:hAnsi="Times New Roman" w:cs="Times New Roman"/>
          <w:b w:val="0"/>
          <w:bCs w:val="0"/>
          <w:sz w:val="24"/>
          <w:szCs w:val="24"/>
          <w:lang w:val="en-US" w:eastAsia="zh-CN"/>
        </w:rPr>
        <w:t>List of 83 selected features in GMBT model</w:t>
      </w:r>
    </w:p>
    <w:tbl>
      <w:tblPr>
        <w:tblStyle w:val="7"/>
        <w:tblW w:w="8470" w:type="dxa"/>
        <w:tblInd w:w="0" w:type="dxa"/>
        <w:shd w:val="clear" w:color="auto" w:fill="auto"/>
        <w:tblLayout w:type="autofit"/>
        <w:tblCellMar>
          <w:top w:w="0" w:type="dxa"/>
          <w:left w:w="0" w:type="dxa"/>
          <w:bottom w:w="0" w:type="dxa"/>
          <w:right w:w="0" w:type="dxa"/>
        </w:tblCellMar>
      </w:tblPr>
      <w:tblGrid>
        <w:gridCol w:w="4486"/>
        <w:gridCol w:w="4902"/>
      </w:tblGrid>
      <w:tr>
        <w:tblPrEx>
          <w:shd w:val="clear" w:color="auto" w:fill="auto"/>
          <w:tblCellMar>
            <w:top w:w="0" w:type="dxa"/>
            <w:left w:w="0" w:type="dxa"/>
            <w:bottom w:w="0" w:type="dxa"/>
            <w:right w:w="0" w:type="dxa"/>
          </w:tblCellMar>
        </w:tblPrEx>
        <w:trPr>
          <w:trHeight w:val="280" w:hRule="atLeast"/>
        </w:trPr>
        <w:tc>
          <w:tcPr>
            <w:tcW w:w="3630" w:type="dxa"/>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Lymphocyte (%)</w:t>
            </w:r>
          </w:p>
        </w:tc>
        <w:tc>
          <w:tcPr>
            <w:tcW w:w="4840" w:type="dxa"/>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Fibrinogen degradation products (mg/L)</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INR</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Basophilic granulocyte  (%)</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LDH (U/L)</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HDL-C (mmol/L)</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Eosnophils (%)</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Mono%</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SpO2 (nurse)</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Severity_Critical</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Age</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HDL-C+LDL-C</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Procalcitonin (μg/L)</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Any omorbidity</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Blood urea nitrogen (mmol/L)</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HBeAg</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hs-CRP  (mmol/L）</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Albumin (g/L)</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hs-cTnI</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Neutrophils/lymphocyte Ratio(NLR)</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Neutrophil (×109/L)</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RBC (urine)</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Respiratory rate  (nurse)</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HBcAb</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Direct bilirubin (μmol/L)</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Chloridion</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D-Dimer</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Total bilirubin (μmol/L)</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Neutrophil (%)</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IL-2R</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AST</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Female</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PT (s)</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Pulse rate (nurse)</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Fasting blood-glucose </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Ferritin</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Thrombocytocrit</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Total calcium</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Lymphocyte (×109/L)</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ALP </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NT-ProBNP (pmol/L)</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Total cholesterol</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Temperature  at admission</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White blood cell  (×109/L)</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Hydrocarbonate</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Temperature (nurse)</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Sodion</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Arterial standard bicarbonate</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Platelets (×109/L)</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Arterial base surplus </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ALT </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Arterial partial pressure of carbon dioxide （PaCO2）</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Lymphocyte (×109/L)</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Respiratory rate  at admission</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ESR (urine)</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Reticulocyte percentage </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Arterial  pH-corrected ionised calcium</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Myohemoglobin (g/L)</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RDW-SD</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Globulin (g/L)</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APTT (s)</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Pulse pressure</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RDW-CV (g/L)</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Arterial partial pressure of oxygen （PaO2）  </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IL-10</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Arrhythmia</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Creatine kinase (U/L)</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Indirect bilirubin (μmol/L)</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GGT (U/L)</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TT (s)</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Epithelial cell count  (urine)</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Lymphadenopathy</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Albumin/globulin</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Phosphorus (mmol/L)</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Total protein (g/L)</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Potassium (mmol/L）</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Mean corpuscular-hemoglobin concentration (g/L)</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Antithrombin activity</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Fibrinogen (g/L)</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Percentage of large platelets</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Pulse at admission</w:t>
            </w: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HIV-Ab</w:t>
            </w:r>
          </w:p>
        </w:tc>
      </w:tr>
      <w:tr>
        <w:tblPrEx>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bottom"/>
          </w:tcPr>
          <w:p>
            <w:pPr>
              <w:rPr>
                <w:rFonts w:hint="default" w:ascii="Times New Roman" w:hAnsi="Times New Roman" w:eastAsia="宋体" w:cs="Times New Roman"/>
                <w:i w:val="0"/>
                <w:color w:val="000000"/>
                <w:sz w:val="22"/>
                <w:szCs w:val="22"/>
                <w:u w:val="none"/>
              </w:rPr>
            </w:pPr>
          </w:p>
        </w:tc>
        <w:tc>
          <w:tcPr>
            <w:tcW w:w="0" w:type="auto"/>
            <w:tcBorders>
              <w:top w:val="nil"/>
              <w:left w:val="nil"/>
              <w:bottom w:val="nil"/>
              <w:right w:val="nil"/>
            </w:tcBorders>
            <w:shd w:val="clear" w:color="auto" w:fill="auto"/>
            <w:noWrap/>
            <w:tcMar>
              <w:top w:w="10" w:type="dxa"/>
              <w:left w:w="10" w:type="dxa"/>
              <w:right w:w="10" w:type="dxa"/>
            </w:tcMar>
            <w:vAlign w:val="bottom"/>
          </w:tcPr>
          <w:p>
            <w:pPr>
              <w:keepNext w:val="0"/>
              <w:keepLines w:val="0"/>
              <w:widowControl/>
              <w:suppressLineNumbers w:val="0"/>
              <w:jc w:val="left"/>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HCV-Ab</w:t>
            </w:r>
          </w:p>
        </w:tc>
      </w:tr>
    </w:tbl>
    <w:p>
      <w:pPr>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textAlignment w:val="auto"/>
        <w:rPr>
          <w:rFonts w:hint="default" w:ascii="Times New Roman" w:hAnsi="Times New Roman" w:cs="Times New Roman"/>
          <w:b w:val="0"/>
          <w:bCs w:val="0"/>
          <w:sz w:val="24"/>
          <w:szCs w:val="24"/>
          <w:lang w:val="en-US" w:eastAsia="zh-CN"/>
        </w:rPr>
      </w:pPr>
      <w:r>
        <w:rPr>
          <w:rFonts w:hint="eastAsia" w:ascii="Times New Roman" w:hAnsi="Times New Roman" w:cs="Times New Roman"/>
          <w:b/>
          <w:bCs/>
          <w:sz w:val="24"/>
          <w:szCs w:val="24"/>
          <w:lang w:val="en-US" w:eastAsia="zh-CN"/>
        </w:rPr>
        <w:t xml:space="preserve">APPEDIX D </w:t>
      </w:r>
      <w:r>
        <w:rPr>
          <w:rFonts w:hint="default" w:ascii="Times New Roman" w:hAnsi="Times New Roman" w:cs="Times New Roman"/>
          <w:b w:val="0"/>
          <w:bCs w:val="0"/>
          <w:sz w:val="24"/>
          <w:szCs w:val="24"/>
          <w:lang w:eastAsia="zh-CN"/>
        </w:rPr>
        <w:t xml:space="preserve"> </w:t>
      </w:r>
      <w:r>
        <w:rPr>
          <w:rFonts w:hint="eastAsia" w:ascii="Times New Roman" w:hAnsi="Times New Roman" w:cs="Times New Roman"/>
          <w:b w:val="0"/>
          <w:bCs w:val="0"/>
          <w:sz w:val="24"/>
          <w:szCs w:val="24"/>
          <w:lang w:val="en-US" w:eastAsia="zh-CN"/>
        </w:rPr>
        <w:t xml:space="preserve">Formula used in </w:t>
      </w:r>
      <w:r>
        <w:rPr>
          <w:rFonts w:hint="default" w:ascii="Times New Roman" w:hAnsi="Times New Roman" w:cs="Times New Roman"/>
          <w:b w:val="0"/>
          <w:bCs w:val="0"/>
          <w:sz w:val="24"/>
          <w:szCs w:val="24"/>
          <w:lang w:eastAsia="zh-CN"/>
        </w:rPr>
        <w:t>5-index logistic regression</w:t>
      </w:r>
      <w:r>
        <w:rPr>
          <w:rFonts w:hint="eastAsia" w:ascii="Times New Roman" w:hAnsi="Times New Roman" w:cs="Times New Roman"/>
          <w:b w:val="0"/>
          <w:bCs w:val="0"/>
          <w:sz w:val="24"/>
          <w:szCs w:val="24"/>
          <w:lang w:val="en-US" w:eastAsia="zh-CN"/>
        </w:rPr>
        <w:t xml:space="preserve"> (LR-5)</w:t>
      </w:r>
    </w:p>
    <w:p>
      <w:pPr>
        <w:keepNext w:val="0"/>
        <w:keepLines w:val="0"/>
        <w:widowControl/>
        <w:suppressLineNumbers w:val="0"/>
        <w:jc w:val="left"/>
        <w:rPr>
          <w:rFonts w:hint="default" w:ascii="Times New Roman" w:hAnsi="Times New Roman" w:cs="Times New Roman"/>
          <w:sz w:val="24"/>
          <w:szCs w:val="24"/>
        </w:rPr>
      </w:pPr>
      <w:r>
        <w:rPr>
          <w:rFonts w:hint="default" w:ascii="Times New Roman" w:hAnsi="Times New Roman" w:cs="Times New Roman"/>
          <w:color w:val="000000"/>
          <w:position w:val="-8"/>
          <w:sz w:val="24"/>
          <w:szCs w:val="24"/>
        </w:rPr>
        <w:t>Death risk score =1/[1+e</w:t>
      </w:r>
      <w:r>
        <w:rPr>
          <w:rFonts w:hint="default" w:ascii="Times New Roman" w:hAnsi="Times New Roman" w:cs="Times New Roman"/>
          <w:color w:val="000000"/>
          <w:sz w:val="24"/>
          <w:szCs w:val="24"/>
        </w:rPr>
        <w:t>−(</w:t>
      </w:r>
      <w:r>
        <w:rPr>
          <w:rFonts w:hint="default" w:ascii="Times New Roman" w:hAnsi="Times New Roman" w:cs="Times New Roman"/>
          <w:color w:val="000000"/>
          <w:sz w:val="24"/>
          <w:szCs w:val="24"/>
          <w:lang w:val="en-US" w:eastAsia="zh-CN"/>
        </w:rPr>
        <w:t>-</w:t>
      </w:r>
      <w:r>
        <w:rPr>
          <w:rFonts w:hint="default" w:ascii="Times New Roman" w:hAnsi="Times New Roman" w:cs="Times New Roman"/>
          <w:color w:val="000000"/>
          <w:sz w:val="24"/>
          <w:szCs w:val="24"/>
          <w:lang w:eastAsia="zh-CN"/>
        </w:rPr>
        <w:t>2.025421</w:t>
      </w:r>
      <w:r>
        <w:rPr>
          <w:rFonts w:hint="default" w:ascii="Times New Roman" w:hAnsi="Times New Roman" w:cs="Times New Roman"/>
          <w:color w:val="000000"/>
          <w:sz w:val="24"/>
          <w:szCs w:val="24"/>
        </w:rPr>
        <w:t>+</w:t>
      </w:r>
      <w:r>
        <w:rPr>
          <w:rFonts w:hint="default" w:ascii="Times New Roman" w:hAnsi="Times New Roman" w:cs="Times New Roman"/>
          <w:color w:val="000000"/>
          <w:sz w:val="24"/>
          <w:szCs w:val="24"/>
          <w:lang w:val="en-US" w:eastAsia="zh-CN"/>
        </w:rPr>
        <w:t>0.0951370824603599</w:t>
      </w:r>
      <w:r>
        <w:rPr>
          <w:rFonts w:hint="default" w:ascii="Times New Roman" w:hAnsi="Times New Roman" w:cs="Times New Roman"/>
          <w:color w:val="000000"/>
          <w:sz w:val="24"/>
          <w:szCs w:val="24"/>
        </w:rPr>
        <w:t>×Urea</w:t>
      </w:r>
      <w:r>
        <w:rPr>
          <w:rFonts w:hint="default" w:ascii="Times New Roman" w:hAnsi="Times New Roman" w:cs="Times New Roman"/>
          <w:color w:val="000000"/>
          <w:sz w:val="24"/>
          <w:szCs w:val="24"/>
          <w:lang w:val="en-US" w:eastAsia="zh-CN"/>
        </w:rPr>
        <w:t>-0.05733300704235773</w:t>
      </w:r>
      <w:r>
        <w:rPr>
          <w:rFonts w:hint="default" w:ascii="Times New Roman" w:hAnsi="Times New Roman" w:cs="Times New Roman"/>
          <w:color w:val="000000"/>
          <w:sz w:val="24"/>
          <w:szCs w:val="24"/>
        </w:rPr>
        <w:t>×Lympct+</w:t>
      </w:r>
      <w:r>
        <w:rPr>
          <w:rFonts w:hint="default" w:ascii="Times New Roman" w:hAnsi="Times New Roman" w:cs="Times New Roman"/>
          <w:color w:val="000000"/>
          <w:sz w:val="24"/>
          <w:szCs w:val="24"/>
          <w:lang w:val="en-US" w:eastAsia="zh-CN"/>
        </w:rPr>
        <w:t>0.04281368900611645</w:t>
      </w:r>
      <w:r>
        <w:rPr>
          <w:rFonts w:hint="default" w:ascii="Times New Roman" w:hAnsi="Times New Roman" w:cs="Times New Roman"/>
          <w:color w:val="000000"/>
          <w:sz w:val="24"/>
          <w:szCs w:val="24"/>
        </w:rPr>
        <w:t>×Age</w:t>
      </w:r>
      <w:r>
        <w:rPr>
          <w:rFonts w:hint="default" w:ascii="Times New Roman" w:hAnsi="Times New Roman" w:cs="Times New Roman"/>
          <w:color w:val="000000"/>
          <w:sz w:val="24"/>
          <w:szCs w:val="24"/>
          <w:lang w:val="en-US" w:eastAsia="zh-CN"/>
        </w:rPr>
        <w:t>- 0.04997875547816403</w:t>
      </w:r>
      <w:r>
        <w:rPr>
          <w:rFonts w:hint="default" w:ascii="Times New Roman" w:hAnsi="Times New Roman" w:cs="Times New Roman"/>
          <w:color w:val="000000"/>
          <w:sz w:val="24"/>
          <w:szCs w:val="24"/>
        </w:rPr>
        <w:t>× SpO2+</w:t>
      </w:r>
      <w:r>
        <w:rPr>
          <w:rFonts w:hint="default" w:ascii="Times New Roman" w:hAnsi="Times New Roman" w:cs="Times New Roman"/>
          <w:color w:val="000000"/>
          <w:sz w:val="24"/>
          <w:szCs w:val="24"/>
          <w:lang w:val="en-US" w:eastAsia="zh-CN"/>
        </w:rPr>
        <w:t>0.005572412414488311</w:t>
      </w:r>
      <w:r>
        <w:rPr>
          <w:rFonts w:hint="default" w:ascii="Times New Roman" w:hAnsi="Times New Roman" w:cs="Times New Roman"/>
          <w:color w:val="000000"/>
          <w:sz w:val="24"/>
          <w:szCs w:val="24"/>
        </w:rPr>
        <w:t>×LDH)</w:t>
      </w:r>
      <w:r>
        <w:rPr>
          <w:rFonts w:hint="default" w:ascii="Times New Roman" w:hAnsi="Times New Roman" w:cs="Times New Roman"/>
          <w:color w:val="000000"/>
          <w:position w:val="-8"/>
          <w:sz w:val="24"/>
          <w:szCs w:val="24"/>
        </w:rPr>
        <w:t>]</w:t>
      </w:r>
    </w:p>
    <w:p>
      <w:pPr>
        <w:keepNext w:val="0"/>
        <w:keepLines w:val="0"/>
        <w:pageBreakBefore w:val="0"/>
        <w:widowControl w:val="0"/>
        <w:kinsoku/>
        <w:wordWrap/>
        <w:overflowPunct/>
        <w:topLinePunct w:val="0"/>
        <w:autoSpaceDE/>
        <w:autoSpaceDN/>
        <w:bidi w:val="0"/>
        <w:adjustRightInd/>
        <w:snapToGrid/>
        <w:spacing w:after="157" w:afterLines="50"/>
        <w:textAlignment w:val="auto"/>
        <w:rPr>
          <w:rFonts w:hint="eastAsia"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textAlignment w:val="auto"/>
        <w:rPr>
          <w:rFonts w:hint="eastAsia" w:ascii="Times New Roman" w:hAnsi="Times New Roman" w:cs="Times New Roman" w:eastAsiaTheme="minorEastAsia"/>
          <w:b w:val="0"/>
          <w:bCs w:val="0"/>
          <w:sz w:val="24"/>
          <w:szCs w:val="24"/>
          <w:highlight w:val="none"/>
          <w:lang w:val="en-US" w:eastAsia="zh-CN"/>
        </w:rPr>
      </w:pPr>
      <w:r>
        <w:rPr>
          <w:rFonts w:hint="eastAsia" w:ascii="Times New Roman" w:hAnsi="Times New Roman" w:cs="Times New Roman"/>
          <w:b/>
          <w:bCs/>
          <w:sz w:val="24"/>
          <w:szCs w:val="24"/>
          <w:lang w:val="en-US" w:eastAsia="zh-CN"/>
        </w:rPr>
        <w:t xml:space="preserve">APPEDIX E </w:t>
      </w:r>
      <w:r>
        <w:rPr>
          <w:rFonts w:hint="eastAsia" w:ascii="Times New Roman" w:hAnsi="Times New Roman" w:cs="Times New Roman"/>
          <w:b w:val="0"/>
          <w:bCs w:val="0"/>
          <w:sz w:val="24"/>
          <w:szCs w:val="24"/>
          <w:lang w:val="en-US" w:eastAsia="zh-CN"/>
        </w:rPr>
        <w:t>Baseline characteristic of 72 cases of COVID-19</w:t>
      </w:r>
      <w:r>
        <w:rPr>
          <w:rFonts w:hint="eastAsia" w:ascii="Times New Roman" w:hAnsi="Times New Roman" w:cs="Times New Roman"/>
          <w:b w:val="0"/>
          <w:bCs w:val="0"/>
          <w:sz w:val="24"/>
          <w:szCs w:val="24"/>
          <w:highlight w:val="none"/>
          <w:lang w:val="en-US" w:eastAsia="zh-CN"/>
        </w:rPr>
        <w:t xml:space="preserve"> from </w:t>
      </w:r>
      <w:r>
        <w:rPr>
          <w:rFonts w:hint="eastAsia" w:ascii="Times New Roman" w:hAnsi="Times New Roman" w:cs="Times New Roman"/>
          <w:b w:val="0"/>
          <w:bCs w:val="0"/>
          <w:sz w:val="24"/>
          <w:szCs w:val="24"/>
          <w:highlight w:val="none"/>
        </w:rPr>
        <w:t>Brunei</w:t>
      </w:r>
      <w:r>
        <w:rPr>
          <w:rFonts w:hint="eastAsia" w:ascii="Times New Roman" w:hAnsi="Times New Roman" w:cs="Times New Roman"/>
          <w:b w:val="0"/>
          <w:bCs w:val="0"/>
          <w:sz w:val="24"/>
          <w:szCs w:val="24"/>
          <w:highlight w:val="none"/>
          <w:lang w:val="en-US" w:eastAsia="zh-CN"/>
        </w:rPr>
        <w:t>.</w:t>
      </w:r>
    </w:p>
    <w:tbl>
      <w:tblPr>
        <w:tblStyle w:val="7"/>
        <w:tblW w:w="9520" w:type="dxa"/>
        <w:tblInd w:w="0" w:type="dxa"/>
        <w:shd w:val="clear" w:color="auto" w:fill="auto"/>
        <w:tblLayout w:type="autofit"/>
        <w:tblCellMar>
          <w:top w:w="0" w:type="dxa"/>
          <w:left w:w="0" w:type="dxa"/>
          <w:bottom w:w="0" w:type="dxa"/>
          <w:right w:w="0" w:type="dxa"/>
        </w:tblCellMar>
      </w:tblPr>
      <w:tblGrid>
        <w:gridCol w:w="2240"/>
        <w:gridCol w:w="2260"/>
        <w:gridCol w:w="1970"/>
        <w:gridCol w:w="1980"/>
        <w:gridCol w:w="1070"/>
      </w:tblGrid>
      <w:tr>
        <w:tblPrEx>
          <w:shd w:val="clear" w:color="auto" w:fill="auto"/>
          <w:tblCellMar>
            <w:top w:w="0" w:type="dxa"/>
            <w:left w:w="0" w:type="dxa"/>
            <w:bottom w:w="0" w:type="dxa"/>
            <w:right w:w="0" w:type="dxa"/>
          </w:tblCellMar>
        </w:tblPrEx>
        <w:trPr>
          <w:trHeight w:val="280" w:hRule="atLeast"/>
        </w:trPr>
        <w:tc>
          <w:tcPr>
            <w:tcW w:w="2240" w:type="dxa"/>
            <w:tcBorders>
              <w:top w:val="single" w:color="auto" w:sz="4" w:space="0"/>
              <w:left w:val="nil"/>
              <w:bottom w:val="single" w:color="auto" w:sz="4" w:space="0"/>
              <w:right w:val="nil"/>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Feature</w:t>
            </w:r>
          </w:p>
        </w:tc>
        <w:tc>
          <w:tcPr>
            <w:tcW w:w="2260" w:type="dxa"/>
            <w:tcBorders>
              <w:top w:val="single" w:color="auto" w:sz="4" w:space="0"/>
              <w:left w:val="nil"/>
              <w:bottom w:val="single" w:color="auto"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Total (N = 72)</w:t>
            </w:r>
          </w:p>
        </w:tc>
        <w:tc>
          <w:tcPr>
            <w:tcW w:w="1970" w:type="dxa"/>
            <w:tcBorders>
              <w:top w:val="single" w:color="auto" w:sz="4" w:space="0"/>
              <w:left w:val="nil"/>
              <w:bottom w:val="single" w:color="auto"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 xml:space="preserve"> Survival (n = 70)</w:t>
            </w:r>
          </w:p>
        </w:tc>
        <w:tc>
          <w:tcPr>
            <w:tcW w:w="1980" w:type="dxa"/>
            <w:tcBorders>
              <w:top w:val="single" w:color="auto" w:sz="4" w:space="0"/>
              <w:left w:val="nil"/>
              <w:bottom w:val="single" w:color="auto"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 xml:space="preserve"> Death (n = 2)</w:t>
            </w:r>
          </w:p>
        </w:tc>
        <w:tc>
          <w:tcPr>
            <w:tcW w:w="1070" w:type="dxa"/>
            <w:tcBorders>
              <w:top w:val="single" w:color="auto" w:sz="4" w:space="0"/>
              <w:left w:val="nil"/>
              <w:bottom w:val="single" w:color="auto"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P value</w:t>
            </w:r>
          </w:p>
        </w:tc>
      </w:tr>
      <w:tr>
        <w:tblPrEx>
          <w:shd w:val="clear" w:color="auto" w:fill="auto"/>
          <w:tblCellMar>
            <w:top w:w="0" w:type="dxa"/>
            <w:left w:w="0" w:type="dxa"/>
            <w:bottom w:w="0" w:type="dxa"/>
            <w:right w:w="0" w:type="dxa"/>
          </w:tblCellMar>
        </w:tblPrEx>
        <w:trPr>
          <w:trHeight w:val="280" w:hRule="atLeast"/>
        </w:trPr>
        <w:tc>
          <w:tcPr>
            <w:tcW w:w="0" w:type="auto"/>
            <w:tcBorders>
              <w:top w:val="single" w:color="auto" w:sz="4" w:space="0"/>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Lymphocyte (%)</w:t>
            </w:r>
          </w:p>
        </w:tc>
        <w:tc>
          <w:tcPr>
            <w:tcW w:w="0" w:type="auto"/>
            <w:tcBorders>
              <w:top w:val="single" w:color="auto" w:sz="4" w:space="0"/>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30.97 (10.3-59.2)</w:t>
            </w:r>
          </w:p>
        </w:tc>
        <w:tc>
          <w:tcPr>
            <w:tcW w:w="0" w:type="auto"/>
            <w:tcBorders>
              <w:top w:val="single" w:color="auto" w:sz="4" w:space="0"/>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31.45 (10.3-59.2)</w:t>
            </w:r>
          </w:p>
        </w:tc>
        <w:tc>
          <w:tcPr>
            <w:tcW w:w="0" w:type="auto"/>
            <w:tcBorders>
              <w:top w:val="single" w:color="auto" w:sz="4" w:space="0"/>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14.1 (13.6-14.6)</w:t>
            </w:r>
          </w:p>
        </w:tc>
        <w:tc>
          <w:tcPr>
            <w:tcW w:w="0" w:type="auto"/>
            <w:tcBorders>
              <w:top w:val="single" w:color="auto" w:sz="4" w:space="0"/>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0.022</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Blood Urea Nitrogen</w:t>
            </w:r>
          </w:p>
        </w:tc>
        <w:tc>
          <w:tcPr>
            <w:tcW w:w="0" w:type="auto"/>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3.52 (1.1-8.1)</w:t>
            </w:r>
          </w:p>
        </w:tc>
        <w:tc>
          <w:tcPr>
            <w:tcW w:w="0" w:type="auto"/>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3.48 (1.1-8.1)</w:t>
            </w:r>
          </w:p>
        </w:tc>
        <w:tc>
          <w:tcPr>
            <w:tcW w:w="0" w:type="auto"/>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4.95 (4.0-5.9)</w:t>
            </w:r>
          </w:p>
        </w:tc>
        <w:tc>
          <w:tcPr>
            <w:tcW w:w="0" w:type="auto"/>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0.045</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 xml:space="preserve">SPO2 </w:t>
            </w:r>
          </w:p>
        </w:tc>
        <w:tc>
          <w:tcPr>
            <w:tcW w:w="0" w:type="auto"/>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97.72 (92.0-100.0)</w:t>
            </w:r>
          </w:p>
        </w:tc>
        <w:tc>
          <w:tcPr>
            <w:tcW w:w="0" w:type="auto"/>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97.74 (92.0-100.0)</w:t>
            </w:r>
          </w:p>
        </w:tc>
        <w:tc>
          <w:tcPr>
            <w:tcW w:w="0" w:type="auto"/>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97.0 (96.0-98.0)</w:t>
            </w:r>
          </w:p>
        </w:tc>
        <w:tc>
          <w:tcPr>
            <w:tcW w:w="0" w:type="auto"/>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0.169</w:t>
            </w:r>
          </w:p>
        </w:tc>
      </w:tr>
      <w:tr>
        <w:tblPrEx>
          <w:shd w:val="clear" w:color="auto" w:fill="auto"/>
          <w:tblCellMar>
            <w:top w:w="0" w:type="dxa"/>
            <w:left w:w="0" w:type="dxa"/>
            <w:bottom w:w="0" w:type="dxa"/>
            <w:right w:w="0" w:type="dxa"/>
          </w:tblCellMar>
        </w:tblPrEx>
        <w:trPr>
          <w:trHeight w:val="280" w:hRule="atLeast"/>
        </w:trPr>
        <w:tc>
          <w:tcPr>
            <w:tcW w:w="0" w:type="auto"/>
            <w:tcBorders>
              <w:top w:val="nil"/>
              <w:left w:val="nil"/>
              <w:bottom w:val="single" w:color="auto" w:sz="4" w:space="0"/>
              <w:right w:val="nil"/>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Age</w:t>
            </w:r>
          </w:p>
        </w:tc>
        <w:tc>
          <w:tcPr>
            <w:tcW w:w="0" w:type="auto"/>
            <w:tcBorders>
              <w:top w:val="nil"/>
              <w:left w:val="nil"/>
              <w:bottom w:val="single" w:color="auto"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40.05 (12.17-72.69)</w:t>
            </w:r>
          </w:p>
        </w:tc>
        <w:tc>
          <w:tcPr>
            <w:tcW w:w="0" w:type="auto"/>
            <w:tcBorders>
              <w:top w:val="nil"/>
              <w:left w:val="nil"/>
              <w:bottom w:val="single" w:color="auto"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39.55 (12.17-72.69)</w:t>
            </w:r>
          </w:p>
        </w:tc>
        <w:tc>
          <w:tcPr>
            <w:tcW w:w="0" w:type="auto"/>
            <w:tcBorders>
              <w:top w:val="nil"/>
              <w:left w:val="nil"/>
              <w:bottom w:val="single" w:color="auto"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57.59 (50.92-64.25)</w:t>
            </w:r>
          </w:p>
        </w:tc>
        <w:tc>
          <w:tcPr>
            <w:tcW w:w="0" w:type="auto"/>
            <w:tcBorders>
              <w:top w:val="nil"/>
              <w:left w:val="nil"/>
              <w:bottom w:val="single" w:color="auto" w:sz="4" w:space="0"/>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0.064</w:t>
            </w:r>
          </w:p>
        </w:tc>
      </w:tr>
    </w:tbl>
    <w:p>
      <w:pPr>
        <w:rPr>
          <w:rFonts w:hint="eastAsia" w:ascii="Times New Roman" w:hAnsi="Times New Roman" w:cs="Times New Roman"/>
          <w:b w:val="0"/>
          <w:bCs w:val="0"/>
          <w:sz w:val="24"/>
          <w:szCs w:val="24"/>
          <w:lang w:val="en-US" w:eastAsia="zh-CN"/>
        </w:rPr>
      </w:pPr>
    </w:p>
    <w:p>
      <w:pPr>
        <w:rPr>
          <w:rFonts w:hint="eastAsia" w:ascii="Times New Roman" w:hAnsi="Times New Roman" w:cs="Times New Roman"/>
          <w:b/>
          <w:bCs/>
          <w:sz w:val="24"/>
          <w:szCs w:val="24"/>
          <w:lang w:val="en-US" w:eastAsia="zh-CN"/>
        </w:rPr>
      </w:pPr>
    </w:p>
    <w:p>
      <w:pPr>
        <w:rPr>
          <w:rFonts w:hint="eastAsia" w:ascii="Times New Roman" w:hAnsi="Times New Roman" w:cs="Times New Roman"/>
          <w:b/>
          <w:bCs/>
          <w:sz w:val="24"/>
          <w:szCs w:val="24"/>
          <w:lang w:val="en-US" w:eastAsia="zh-CN"/>
        </w:rPr>
      </w:pPr>
    </w:p>
    <w:p>
      <w:pPr>
        <w:ind w:firstLine="420" w:firstLineChars="0"/>
        <w:rPr>
          <w:rFonts w:hint="default"/>
          <w:lang w:eastAsia="zh-CN"/>
        </w:rPr>
      </w:pPr>
    </w:p>
    <w:p>
      <w:pPr>
        <w:ind w:firstLine="420" w:firstLineChars="0"/>
        <w:rPr>
          <w:rFonts w:hint="default"/>
          <w:lang w:eastAsia="zh-CN"/>
        </w:rPr>
      </w:pPr>
    </w:p>
    <w:p>
      <w:pPr>
        <w:ind w:firstLine="420" w:firstLineChars="0"/>
        <w:rPr>
          <w:rFonts w:hint="default"/>
          <w:lang w:val="en-US" w:eastAsia="zh-CN"/>
        </w:rPr>
      </w:pPr>
      <w:bookmarkStart w:id="0" w:name="_GoBack"/>
      <w:bookmarkEnd w:id="0"/>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Segoe Print"/>
    <w:panose1 w:val="00000000000000000000"/>
    <w:charset w:val="00"/>
    <w:family w:val="auto"/>
    <w:pitch w:val="default"/>
    <w:sig w:usb0="00000000" w:usb1="00000000" w:usb2="00000000" w:usb3="00000000" w:csb0="00000000" w:csb1="00000000"/>
  </w:font>
  <w:font w:name="Helvetica Neue">
    <w:altName w:val="NumberOnly"/>
    <w:panose1 w:val="02000503000000020004"/>
    <w:charset w:val="00"/>
    <w:family w:val="auto"/>
    <w:pitch w:val="default"/>
    <w:sig w:usb0="00000000" w:usb1="00000000" w:usb2="00000010" w:usb3="00000000" w:csb0="00000000" w:csb1="00000000"/>
  </w:font>
  <w:font w:name="NumberOnly">
    <w:panose1 w:val="020B0500000000000000"/>
    <w:charset w:val="00"/>
    <w:family w:val="auto"/>
    <w:pitch w:val="default"/>
    <w:sig w:usb0="8000002F" w:usb1="10000048" w:usb2="00000000" w:usb3="00000000" w:csb0="00000111" w:csb1="4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D0C41DC"/>
    <w:multiLevelType w:val="singleLevel"/>
    <w:tmpl w:val="BD0C41DC"/>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6F50ECC"/>
    <w:rsid w:val="01490765"/>
    <w:rsid w:val="02DB7C09"/>
    <w:rsid w:val="045B754E"/>
    <w:rsid w:val="061F5422"/>
    <w:rsid w:val="069B3D24"/>
    <w:rsid w:val="06AC02BB"/>
    <w:rsid w:val="0905700B"/>
    <w:rsid w:val="092A4407"/>
    <w:rsid w:val="0979749D"/>
    <w:rsid w:val="09F100CD"/>
    <w:rsid w:val="0B562751"/>
    <w:rsid w:val="0B6E195B"/>
    <w:rsid w:val="0C3651B9"/>
    <w:rsid w:val="0F1747AE"/>
    <w:rsid w:val="0FD049EC"/>
    <w:rsid w:val="0FF725F3"/>
    <w:rsid w:val="11DB53ED"/>
    <w:rsid w:val="149825FB"/>
    <w:rsid w:val="158E5F7C"/>
    <w:rsid w:val="17495B53"/>
    <w:rsid w:val="17FE6638"/>
    <w:rsid w:val="18563062"/>
    <w:rsid w:val="19894641"/>
    <w:rsid w:val="1BEB493C"/>
    <w:rsid w:val="1C80769A"/>
    <w:rsid w:val="1D2A1B81"/>
    <w:rsid w:val="1D504854"/>
    <w:rsid w:val="1E2668F5"/>
    <w:rsid w:val="2021363D"/>
    <w:rsid w:val="20A35CBE"/>
    <w:rsid w:val="245804DE"/>
    <w:rsid w:val="27F91758"/>
    <w:rsid w:val="2B5E2935"/>
    <w:rsid w:val="2DA37ED6"/>
    <w:rsid w:val="2EB86C78"/>
    <w:rsid w:val="315646E3"/>
    <w:rsid w:val="31735ECD"/>
    <w:rsid w:val="33396EDB"/>
    <w:rsid w:val="33C70F74"/>
    <w:rsid w:val="368A371E"/>
    <w:rsid w:val="3A613C5A"/>
    <w:rsid w:val="3BA16067"/>
    <w:rsid w:val="3C3F2FAC"/>
    <w:rsid w:val="3C7F315B"/>
    <w:rsid w:val="3DE15F8B"/>
    <w:rsid w:val="3EA61EAC"/>
    <w:rsid w:val="3F776E59"/>
    <w:rsid w:val="3F9E69F4"/>
    <w:rsid w:val="40E423A6"/>
    <w:rsid w:val="418255E7"/>
    <w:rsid w:val="41C34850"/>
    <w:rsid w:val="426418BC"/>
    <w:rsid w:val="42A908C5"/>
    <w:rsid w:val="42D177F5"/>
    <w:rsid w:val="489D011E"/>
    <w:rsid w:val="4B195204"/>
    <w:rsid w:val="4B991F71"/>
    <w:rsid w:val="4BF051CF"/>
    <w:rsid w:val="4DC21C06"/>
    <w:rsid w:val="4EF78970"/>
    <w:rsid w:val="511B5B9D"/>
    <w:rsid w:val="56F66159"/>
    <w:rsid w:val="570054D7"/>
    <w:rsid w:val="59332137"/>
    <w:rsid w:val="599A0354"/>
    <w:rsid w:val="59A87E02"/>
    <w:rsid w:val="59C1029B"/>
    <w:rsid w:val="5C1779C9"/>
    <w:rsid w:val="5D671262"/>
    <w:rsid w:val="5DE70133"/>
    <w:rsid w:val="5DFD8668"/>
    <w:rsid w:val="5EF55922"/>
    <w:rsid w:val="5F673193"/>
    <w:rsid w:val="60CE192A"/>
    <w:rsid w:val="61A86185"/>
    <w:rsid w:val="634243E2"/>
    <w:rsid w:val="64D10A3E"/>
    <w:rsid w:val="66162B70"/>
    <w:rsid w:val="668C39FD"/>
    <w:rsid w:val="66F35F62"/>
    <w:rsid w:val="66F96499"/>
    <w:rsid w:val="67717E1F"/>
    <w:rsid w:val="67FEE166"/>
    <w:rsid w:val="6CC7526B"/>
    <w:rsid w:val="6DDC132D"/>
    <w:rsid w:val="6FEF7DD6"/>
    <w:rsid w:val="709220A1"/>
    <w:rsid w:val="70C603C0"/>
    <w:rsid w:val="72396571"/>
    <w:rsid w:val="75561286"/>
    <w:rsid w:val="75D76D87"/>
    <w:rsid w:val="76341DD9"/>
    <w:rsid w:val="76FFFEE9"/>
    <w:rsid w:val="7A520888"/>
    <w:rsid w:val="7AFA7168"/>
    <w:rsid w:val="7B634C33"/>
    <w:rsid w:val="7C050102"/>
    <w:rsid w:val="7E7F71DB"/>
    <w:rsid w:val="7EB5B837"/>
    <w:rsid w:val="7EF7D5AC"/>
    <w:rsid w:val="7F19E7B6"/>
    <w:rsid w:val="7F23210B"/>
    <w:rsid w:val="7FE15584"/>
    <w:rsid w:val="8F775AED"/>
    <w:rsid w:val="9FFBCCE4"/>
    <w:rsid w:val="BA59C37A"/>
    <w:rsid w:val="C7FD687B"/>
    <w:rsid w:val="DBDFE563"/>
    <w:rsid w:val="EBFBACF4"/>
    <w:rsid w:val="EF7E5E19"/>
    <w:rsid w:val="EF9FBC6E"/>
    <w:rsid w:val="F6F50ECC"/>
    <w:rsid w:val="F79FFE3F"/>
    <w:rsid w:val="F97F8CA9"/>
    <w:rsid w:val="FB2E3C60"/>
    <w:rsid w:val="FB8A9D7E"/>
    <w:rsid w:val="FBA1D624"/>
    <w:rsid w:val="FBFE553C"/>
    <w:rsid w:val="FF7A564B"/>
    <w:rsid w:val="FFED3F8E"/>
    <w:rsid w:val="FFFF3C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4">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paragraph" w:styleId="5">
    <w:name w:val="heading 5"/>
    <w:basedOn w:val="1"/>
    <w:next w:val="1"/>
    <w:unhideWhenUsed/>
    <w:qFormat/>
    <w:uiPriority w:val="0"/>
    <w:pPr>
      <w:spacing w:before="0" w:beforeAutospacing="1" w:after="0" w:afterAutospacing="1"/>
      <w:jc w:val="left"/>
    </w:pPr>
    <w:rPr>
      <w:rFonts w:hint="eastAsia" w:ascii="宋体" w:hAnsi="宋体" w:eastAsia="宋体" w:cs="宋体"/>
      <w:b/>
      <w:kern w:val="0"/>
      <w:sz w:val="20"/>
      <w:szCs w:val="20"/>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Emphasis"/>
    <w:basedOn w:val="9"/>
    <w:qFormat/>
    <w:uiPriority w:val="0"/>
    <w:rPr>
      <w:i/>
    </w:rPr>
  </w:style>
  <w:style w:type="paragraph" w:customStyle="1" w:styleId="12">
    <w:name w:val="p1"/>
    <w:basedOn w:val="1"/>
    <w:qFormat/>
    <w:uiPriority w:val="0"/>
    <w:pPr>
      <w:spacing w:before="0" w:beforeAutospacing="0" w:after="0" w:afterAutospacing="0"/>
      <w:ind w:left="0" w:right="0"/>
      <w:jc w:val="left"/>
    </w:pPr>
    <w:rPr>
      <w:rFonts w:ascii="helvetica" w:hAnsi="helvetica" w:eastAsia="helvetica" w:cs="helvetica"/>
      <w:kern w:val="0"/>
      <w:sz w:val="18"/>
      <w:szCs w:val="18"/>
      <w:lang w:val="en-US" w:eastAsia="zh-CN" w:bidi="ar"/>
    </w:rPr>
  </w:style>
  <w:style w:type="character" w:customStyle="1" w:styleId="13">
    <w:name w:val="font31"/>
    <w:basedOn w:val="9"/>
    <w:qFormat/>
    <w:uiPriority w:val="0"/>
    <w:rPr>
      <w:rFonts w:hint="eastAsia" w:ascii="宋体" w:hAnsi="宋体" w:eastAsia="宋体" w:cs="宋体"/>
      <w:color w:val="000000"/>
      <w:sz w:val="22"/>
      <w:szCs w:val="22"/>
      <w:u w:val="none"/>
    </w:rPr>
  </w:style>
  <w:style w:type="character" w:customStyle="1" w:styleId="14">
    <w:name w:val="font21"/>
    <w:basedOn w:val="9"/>
    <w:qFormat/>
    <w:uiPriority w:val="0"/>
    <w:rPr>
      <w:rFonts w:hint="default" w:ascii="Times New Roman" w:hAnsi="Times New Roman" w:cs="Times New Roman"/>
      <w:color w:val="000000"/>
      <w:sz w:val="22"/>
      <w:szCs w:val="22"/>
      <w:u w:val="none"/>
      <w:vertAlign w:val="superscript"/>
    </w:rPr>
  </w:style>
  <w:style w:type="character" w:customStyle="1" w:styleId="15">
    <w:name w:val="font41"/>
    <w:basedOn w:val="9"/>
    <w:qFormat/>
    <w:uiPriority w:val="0"/>
    <w:rPr>
      <w:rFonts w:hint="default" w:ascii="Times New Roman" w:hAnsi="Times New Roman" w:cs="Times New Roman"/>
      <w:color w:val="000000"/>
      <w:sz w:val="22"/>
      <w:szCs w:val="22"/>
      <w:u w:val="none"/>
    </w:rPr>
  </w:style>
  <w:style w:type="character" w:customStyle="1" w:styleId="16">
    <w:name w:val="font51"/>
    <w:basedOn w:val="9"/>
    <w:qFormat/>
    <w:uiPriority w:val="0"/>
    <w:rPr>
      <w:rFonts w:hint="default" w:ascii="Times New Roman" w:hAnsi="Times New Roman" w:cs="Times New Roman"/>
      <w:color w:val="000000"/>
      <w:sz w:val="22"/>
      <w:szCs w:val="22"/>
      <w:u w:val="none"/>
    </w:rPr>
  </w:style>
  <w:style w:type="character" w:customStyle="1" w:styleId="17">
    <w:name w:val="font11"/>
    <w:basedOn w:val="9"/>
    <w:qFormat/>
    <w:uiPriority w:val="0"/>
    <w:rPr>
      <w:rFonts w:ascii="Helvetica Neue" w:hAnsi="Helvetica Neue" w:eastAsia="Helvetica Neue" w:cs="Helvetica Neue"/>
      <w:color w:val="000000"/>
      <w:sz w:val="22"/>
      <w:szCs w:val="22"/>
      <w:u w:val="none"/>
    </w:rPr>
  </w:style>
  <w:style w:type="character" w:customStyle="1" w:styleId="18">
    <w:name w:val="font01"/>
    <w:basedOn w:val="9"/>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67</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2020-04-13T16:51:00Z</dcterms:created>
  <dc:creator>xushicheng</dc:creator>
  <cp:lastModifiedBy>Shaw</cp:lastModifiedBy>
  <dcterms:modified xsi:type="dcterms:W3CDTF">2020-06-06T14:42:40Z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